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(ปรับ 2026-08-07): ทีม 6 คนเหลือ FE 2 คนและ BE 4 คน โดย Peerakorn ย้ายจากสาย FE ไปสาย BE · Aphiwit เป็นเจ้าของ Database Structure + Data Migration/Cutover และ Job 1, 2, 3, 4, 6, 8 · Peerakorn รับ Job 5, 7, 9, 10 · Tunyatorn รับ Job 8b เพราะเป็น job เดียวที่เรียก workflow engine และถือ Workflow Engine Definition อยู่แล้ว ชั่วโมงคิดที่ 5 วันต่อสัปดาห์และ 6 ชั่วโมงต่อวัน (30 ชั่วโมงต่อสัปดาห์) · ตัวเลขในตารางเป็นค่าประเมินตรง ๆ </w:t>
      </w:r>
      <w:r>
        <w:rPr>
          <w:b/>
        </w:rPr>
        <w:t>ไม่มีส่วนเผื่อ (buffer)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หน้าจอธุรกิจ (ไม่ทับกับงานระบบเดิมของ lin): Create Document -&gt; Document Detail/Action (+ role pack 5 ฉบับ) -&gt; Report -&gt; Master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เอกสาร/สัญญากลางของ SBPGI เอง: Common Contracts -&gt; List/Search -&gt; Create/Update -&gt; Detail Aggregate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ที่ต่อกับระบบเดิม (นิยามสัญญาให้ฝั่ง FE ใช้ต่อ): Integration with SBP Platform -&gt; Workflow Engine Definition -&gt; Workflow Actions -&gt; Workflow Instances -&gt; Lookup -&gt;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support/interface (ย้ายจากสาย FE 2026-08-07): Attachment/Sales/Timeline -&gt; Report and Master Data -&gt; Batch/Email -&gt; Job 5, 7, 9, 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data ownership: Database Structure -&gt; Data Migration/Cutover -&gt; Job 1, 2, 3, 4, 6, 8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form shell, Tab: สร้างเอกสารทั่วไป, Tab: เอกสารจาก FS ผ่าน hidden iframe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ผลการพิจารณาเต็มแถว), Summary table (sortable 14 columns), Export Excel action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 master, External factor master, Menu permission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ครบ 19 ตารางของ target schema (โซน A 7 · โซน B 9 · โซน C 3), Index, unique/partial index, check constraint และ FK ที่ต้องมีก่อน SIT, Seed data ที่ต้องมีก่อนเปิดระบบ (external_factors · 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Source-to-target mapping ระดับตาราง/คอลัมน์ (ORA FCS_FRN · MSSQL CPA_FRN_FGI -&gt; 20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ตัวตนผู้ใช้จาก BFF header (x-api-key, x-user-id, x-user-group-id, x-user-permissions),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workflow version ของ SBPGI 1 version (url_main + url_param_mapping), นิยาม state/status 5 ขั้น 06 -&gt; 08 -&gt; 01 -&gt; 02 -&gt; 03 และปลายทางจบ flow, นิยาม route ของทุกปุ่ม · การแตก route ตามวงเงินอนุมัติ GM 50,000 / AVP 300,000 เขียนเป็น</w:t>
            </w:r>
            <w:r>
              <w:rPr>
                <w:rFonts w:ascii="Arial" w:hAnsi="Arial" w:eastAsia="Arial"/>
                <w:b/>
                <w:sz w:val="18"/>
              </w:rPr>
              <w:t>ตัวอย่างทางเลือก B เท่านั้น</w:t>
            </w:r>
            <w:r>
              <w:rPr>
                <w:rFonts w:ascii="Arial" w:hAnsi="Arial" w:eastAsia="Arial"/>
                <w:sz w:val="18"/>
              </w:rPr>
              <w:t xml:space="preserve"> — แหล่งเก็บวงเงินยังไม่ตัดสิน (มติเดิมคือ common_code · ดูข้อค้าง 5.6), สำรวจทางเลือกผู้อนุมัติ: workflow_group / workflow_group_map เทียบกับ add-prepared-approver รายคน — </w:t>
            </w:r>
            <w:r>
              <w:rPr>
                <w:rFonts w:ascii="Arial" w:hAnsi="Arial" w:eastAsia="Arial"/>
                <w:b/>
                <w:sz w:val="18"/>
              </w:rPr>
              <w:t>ยังไม่ตัดสิน</w:t>
            </w:r>
            <w:r>
              <w:rPr>
                <w:rFonts w:ascii="Arial" w:hAnsi="Arial" w:eastAsia="Arial"/>
                <w:sz w:val="18"/>
              </w:rPr>
              <w:t xml:space="preserve"> (ดูข้อค้าง 5.6)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tracking และ pending ACK APIs (3 เส้น), Job runner guard และ application log, Notification adapter ผ่าน @gosoft-sbp/email-lib, STA ACK callback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1 ImportQSSI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LLDD-BE-Job-1-ImportQSSI.pdf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6 ExportImpactStoreToFS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Foundation เรียก /auth/profile + /users/current + /menus + /groups/current-user/permissions ของระบบเดิม; SBPGI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1-10 + 8b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