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 — มติ 2026-09-01 (เดิมส่งกลับ GM ส่งเสริมธุรกิจฯ)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P-03 เท่านั้น: เห็นควรชดเชย; เห็นควรไม่ชดเชย; ส่งกลับฝ่าย SBP DSA; comment rules: เห็นควรชดเชย: comment optional; เห็นควรไม่ชดเชย: comment ตาม actionOptions.requireComment; ส่งกลับฝ่าย SBP DSA: comment ตาม actionOptions.requireComment — มติ 2026-09-01 (เดิมส่งกลับ GM ส่งเสริมธุรกิจฯ)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03;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03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RoleView03 — view ของหน้า Document Detail สำหรับ workflow section 03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RoleView03({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P-03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03;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`src/components/sgi/document-detail/ActionForm03.tsx`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ActionForm03 — ฟอร์ม "ผลการพิจารณา" ของ workflow section 03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EDITABLE_SECTIONS_03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ActionForm03({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