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  <w:r>
              <w:rPr>
                <w:rFonts w:ascii="Arial" w:hAnsi="Arial" w:eastAsia="Arial" w:cs="Tahoma"/>
                <w:sz w:val="18"/>
              </w:rPr>
              <w:t xml:space="preserve"> (impl 14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(ปรับ 2026-08-07): ทีม 6 คนเหลือ FE 2 คนและ BE 4 คน โดย Peerakorn ย้ายจากสาย FE ไปสาย BE · Aphiwit เป็นเจ้าของ Database Structure + Data Migration/Cutover และ Job 2, 3, 4, 6, 8 · Peerakorn รับ Job 5, 7, 9, 10 · Tunyatorn รับ Job 8b เพราะเป็น job เดียวที่เรียก workflow engine และถือ Workflow Engine Definition อยู่แล้ว ชั่วโมงคิดที่ 5 วันต่อสัปดาห์และ 6 ชั่วโมงต่อวัน (30 ชั่วโมงต่อสัปดาห์) · ตัวเลขในตารางเป็นค่าประเมินตรง ๆ </w:t>
      </w:r>
      <w:r>
        <w:rPr>
          <w:b/>
        </w:rPr>
        <w:t>ไม่มีส่วนเผื่อ (buffer)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128</w:t>
            </w:r>
            <w:r>
              <w:rPr>
                <w:rFonts w:ascii="Arial" w:hAnsi="Arial" w:eastAsia="Arial" w:cs="Tahoma"/>
                <w:sz w:val="18"/>
              </w:rPr>
              <w:t xml:space="preserve"> (impl 102 + test 26)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หน้าจอธุรกิจ (ไม่ทับกับงานระบบเดิมของ lin): Create Document -&gt; Document Detail/Action (+ role pack 5 ฉบับ) -&gt; Report -&gt; Master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98</w:t>
            </w:r>
            <w:r>
              <w:rPr>
                <w:rFonts w:ascii="Arial" w:hAnsi="Arial" w:eastAsia="Arial" w:cs="Tahoma"/>
                <w:sz w:val="18"/>
              </w:rPr>
              <w:t xml:space="preserve"> (impl 84 + test 14)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SBPGI เอง: Common Contracts -&gt; List/Search -&gt; Create/Update -&gt; Detail Aggregate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155</w:t>
            </w:r>
            <w:r>
              <w:rPr>
                <w:rFonts w:ascii="Arial" w:hAnsi="Arial" w:eastAsia="Arial" w:cs="Tahoma"/>
                <w:sz w:val="18"/>
              </w:rPr>
              <w:t xml:space="preserve"> (impl 128 + test 27)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ที่ต่อกับระบบเดิม (นิยามสัญญาให้ฝั่ง FE ใช้ต่อ): Integration with SBP Platform -&gt; Workflow Engine Definition -&gt; Workflow Actions -&gt; Workflow Instances -&gt; Lookup -&gt;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152</w:t>
            </w:r>
            <w:r>
              <w:rPr>
                <w:rFonts w:ascii="Arial" w:hAnsi="Arial" w:eastAsia="Arial" w:cs="Tahoma"/>
                <w:sz w:val="18"/>
              </w:rPr>
              <w:t xml:space="preserve"> (impl 115 + test 37)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Attachment/Sales/Timeline -&gt; Report and Master Data -&gt; Batch/Email -&gt; Job 5, 7, 9, 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183</w:t>
            </w:r>
            <w:r>
              <w:rPr>
                <w:rFonts w:ascii="Arial" w:hAnsi="Arial" w:eastAsia="Arial" w:cs="Tahoma"/>
                <w:sz w:val="18"/>
              </w:rPr>
              <w:t xml:space="preserve"> (impl 156 + test 27)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data ownership: Database Structure -&gt; Data Migration/Cutover -&gt; Job 2, 3, 4, 6, 8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ผลการพิจารณาเต็มแถว), Summary table (sortable 14 columns), ปุ่มออกผล 3 ตัว (Preview Report · Export Excel · Export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20 ตารางของ target schema (โซน A 8 · โซน B 9 · โซน C 3), Index, unique/partial index, check constraint และ FK ที่ต้องมีก่อน SIT, Seed data ที่ต้องมีก่อนเปิดระบบ (external_factors · 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20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(x-api-key, x-user-id, x-user-group-id, x-user-permissions),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workflow version ของ SBPGI 1 version (url_main + url_param_mapping), นิยาม state/status 5 ขั้น 06 -&gt; 08 -&gt; 01 -&gt; 02 -&gt; 03 และปลายทางจบ flow, นิยาม route ของทุกปุ่ม · การแตก route ตามวงเงินอนุมัติ เกณฑ์เดียว 100,000 เขียนเป็น</w:t>
            </w:r>
            <w:r>
              <w:rPr>
                <w:rFonts w:ascii="Arial" w:hAnsi="Arial" w:eastAsia="Arial" w:cs="Tahoma"/>
                <w:b/>
                <w:sz w:val="18"/>
              </w:rPr>
              <w:t>ตัวอย่างทางเลือก B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แหล่งเก็บวงเงินยังไม่ตัดสิน (มติเดิมคือ common_code · ดูข้อค้าง 5.6), สำรวจทางเลือกผู้อนุมัติ: workflow_group / workflow_group_map เทียบกับ addPreApprover 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</w:t>
            </w:r>
            <w:r>
              <w:rPr>
                <w:rFonts w:ascii="Arial" w:hAnsi="Arial" w:eastAsia="Arial" w:cs="Tahoma"/>
                <w:sz w:val="18"/>
              </w:rPr>
              <w:t xml:space="preserve"> (ดูข้อค้าง 5.6)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และ pending ACK APIs (3 เส้น), Job runner guard และ application log, Notification adapter ผ่าน @gosoft-sbp/email-lib, STA ACK callback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ExportImpactStoreToFS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SBPGI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2-10 + 8b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