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/api/v1/documents/{docNo}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01;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sec-newstore, sec-competitor, sec-factor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(ต้องกรอกความคิดเห็น)</w:t>
        <w:br/>
        <w:t>//   - ฝ่าย SBP DSA ดำเนินการ (ส่งกลับ)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P-01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01; Section 02 ส่งต่อ AVP (03) เมื่อยอดรวม ≥ 100,000 บาท และจบที่ GM เมื่อ &lt; 100,000 บาท (มติ 2026-08-18)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string[];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requireComment=true)</w:t>
        <w:br/>
        <w:t>//   - ฝ่าย SBP DSA ดำเนินการ (ส่งกลับ) (value='ฝ่าย SBP DSA ดำเนินการ (ส่งกลับ)',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['sec-newstore', 'sec-competitor', 'sec-factor']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