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 xml:space="preserve">สอบทานย้อนกลับ (traceability) ระหว่าง </w:t>
      </w:r>
      <w:r>
        <w:rPr>
          <w:b/>
        </w:rPr>
        <w:t>SDD ปรับปรุงการชดเชยรายได้ในระบบ SBP GI (24/02/2026) หัวข้อ 1.9 To-Be Business Process</w:t>
      </w:r>
      <w:r>
        <w:t xml:space="preserve"> กับ</w:t>
      </w:r>
      <w:r>
        <w:rPr>
          <w:b/>
        </w:rPr>
        <w:t>เอกสาร LLDD 38 ฉบับที่มีชั่วโมงทำงาน</w:t>
      </w:r>
      <w:r>
        <w:t xml:space="preserve"> (ไม่รวมเอกสารอ้างอิง LLDD-API.pdf · LLDD-Database.pdf และฉบับนี้) — ตอบว่า To-Be แต่ละข้อ </w:t>
      </w:r>
      <w:r>
        <w:rPr>
          <w:b/>
        </w:rPr>
        <w:t>ใช้เอกสาร FE ฉบับไหน BE ฉบับไหน และกินเวลากี่ชั่วโมง</w:t>
      </w:r>
    </w:p>
    <w:p>
      <w:r>
        <w:t>ชั่วโมงในเอกสารนี้ = ชั่วโมงเดียวกับที่ประกาศในแต่ละฉบับ (implementation + unit test) แต่</w:t>
      </w:r>
      <w:r>
        <w:rPr>
          <w:b/>
        </w:rPr>
        <w:t>แบ่งตามสัดส่วนงาน</w:t>
      </w:r>
      <w:r>
        <w:t>เมื่อเอกสารหนึ่งรับใช้ To-Be มากกว่าหนึ่งข้อ · ผลรวมทุกข้อจึงเท่ากับยอดรวมของชุดส่งมอบพอดี ไม่มีการนับซ้ำ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 To-Be 3 ข้อของ SDD (สไลด์ 43-62) + กลุ่มงานฐานรากที่ทุกข้อใช้ร่วมกัน</w:t>
      </w:r>
    </w:p>
    <w:p>
      <w:pPr>
        <w:pStyle w:val="ListBullet"/>
        <w:keepLines/>
      </w:pPr>
      <w:r>
        <w:t>ไม่ใช่เอกสารออกแบบ — รายละเอียดการทำงานอยู่ในเอกสาร LLDD ที่อ้างถึงในแต่ละตาราง</w:t>
      </w:r>
    </w:p>
    <w:p>
      <w:pPr>
        <w:pStyle w:val="ListBullet"/>
        <w:keepLines/>
      </w:pPr>
      <w:r>
        <w:t>สัดส่วนการแบ่งชั่วโมงเป็นค่าที่กำหนดไว้ใน TOBE_ALLOCATION ของ tools/build_lldd_documents.py (แก้ที่เดียว)</w:t>
      </w:r>
    </w:p>
    <w:p>
      <w:pPr>
        <w:pStyle w:val="Heading1"/>
        <w:keepNext/>
        <w:keepLines/>
        <w:pageBreakBefore w:val="0"/>
      </w:pPr>
      <w:r>
        <w:t>3. สรุปชั่วโมงต่อข้อ To-Be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รหัส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 To-Be (SDD)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งานฐานรากที่ To-Be ทุกข้อใช้ร่วมกัน (ไม่ได้ระบุเป็นข้อใน SDD)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330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รวมทั้งชุดส่งมอบ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597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823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43 · 46-51 · </w:t>
      </w:r>
      <w:r>
        <w:rPr>
          <w:b/>
        </w:rPr>
        <w:t>รวม 316 ชั่วโมง</w:t>
      </w:r>
      <w:r>
        <w:t xml:space="preserve"> (implementation 242 + unit test 74)</w:t>
      </w:r>
    </w:p>
    <w:p>
      <w:pPr>
        <w:pStyle w:val="Heading2"/>
        <w:keepNext/>
        <w:keepLines/>
        <w:pageBreakBefore w:val="0"/>
      </w:pPr>
      <w:r>
        <w:t>4.1 สิ่งที่ SDD ระบุไว้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</w:t>
      </w:r>
      <w:r>
        <w:t xml:space="preserve"> เมื่อเป็นเคสต่อเนื่อง และเมื่อฝ่าย SBP DSA คลิก เห็นควรไม่ชดเชย</w:t>
      </w:r>
    </w:p>
    <w:p>
      <w:pPr>
        <w:pStyle w:val="ListBullet"/>
        <w:keepLines/>
      </w:pPr>
      <w:r>
        <w:t>ยอดชดเชย 0: เดือน 1-3 คลิก หน่วยงานส่งเสริมธุรกิจ SBP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4.2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88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228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TB-2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52-58 · </w:t>
      </w:r>
      <w:r>
        <w:rPr>
          <w:b/>
        </w:rPr>
        <w:t>รวม 125 ชั่วโมง</w:t>
      </w:r>
      <w:r>
        <w:t xml:space="preserve"> (implementation 107 + unit test 18)</w:t>
      </w:r>
    </w:p>
    <w:p>
      <w:pPr>
        <w:pStyle w:val="Heading2"/>
        <w:keepNext/>
        <w:keepLines/>
        <w:pageBreakBefore w:val="0"/>
      </w:pPr>
      <w:r>
        <w:t>5.1 สิ่งที่ SDD ระบุไว้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5.2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95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TB-3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ที่มาใน SDD:</w:t>
      </w:r>
      <w:r>
        <w:t xml:space="preserve"> สไลด์ 59-62 · </w:t>
      </w:r>
      <w:r>
        <w:rPr>
          <w:b/>
        </w:rPr>
        <w:t>รวม 52 ชั่วโมง</w:t>
      </w:r>
      <w:r>
        <w:t xml:space="preserve"> (implementation 41 + unit test 11)</w:t>
      </w:r>
    </w:p>
    <w:p>
      <w:pPr>
        <w:pStyle w:val="Heading2"/>
        <w:keepNext/>
        <w:keepLines/>
        <w:pageBreakBefore w:val="0"/>
      </w:pPr>
      <w:r>
        <w:t>6.1 สิ่งที่ SDD ระบุไว้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>ตัวกรอง 7 ตัว — สถานะ (บังคับ)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6.2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TB-0 — งานฐานรากที่ To-Be ทุกข้อใช้ร่วมกัน (ไม่ได้ระบุเป็นข้อใน SDD)</w:t>
      </w:r>
    </w:p>
    <w:p>
      <w:pPr>
        <w:keepNext w:val="0"/>
      </w:pPr>
      <w:r>
        <w:rPr>
          <w:b/>
        </w:rPr>
        <w:t>ที่มาใน SDD:</w:t>
      </w:r>
      <w:r>
        <w:t xml:space="preserve"> — · </w:t>
      </w:r>
      <w:r>
        <w:rPr>
          <w:b/>
        </w:rPr>
        <w:t>รวม 330 ชั่วโมง</w:t>
      </w:r>
      <w:r>
        <w:t xml:space="preserve"> (implementation 279 + unit test 51)</w:t>
      </w:r>
    </w:p>
    <w:p>
      <w:pPr>
        <w:pStyle w:val="Heading2"/>
        <w:keepNext/>
        <w:keepLines/>
        <w:pageBreakBefore w:val="0"/>
      </w:pPr>
      <w:r>
        <w:t>7.1 สิ่งที่ SDD ระบุไว้</w:t>
      </w:r>
    </w:p>
    <w:p>
      <w:pPr>
        <w:pStyle w:val="ListBullet"/>
        <w:keepLines/>
      </w:pPr>
      <w:r>
        <w:t>โครงฐานข้อมูลเป้าหมาย 19 ตาราง + migration/cutover จากระบบเดิม</w:t>
      </w:r>
    </w:p>
    <w:p>
      <w:pPr>
        <w:pStyle w:val="ListBullet"/>
        <w:keepLines/>
      </w:pPr>
      <w:r>
        <w:t>pipeline FGI/FCS ที่ป้อนข้อมูลให้ทุก To-Be (Job 1-6, Job 10 และงาน interface/อีเมล)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SBPGI ดูแลเอง (ปัจจัยภายนอก · แบรนด์คู่แข่ง) และงานทดสอบ/ส่งมอบ</w:t>
      </w:r>
    </w:p>
    <w:p>
      <w:pPr>
        <w:pStyle w:val="Heading2"/>
        <w:keepNext/>
        <w:keepLines/>
        <w:pageBreakBefore w:val="0"/>
      </w:pPr>
      <w:r>
        <w:t>7.2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7.3 Backend / Batch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unit test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LLDD-BE-Job-1-ImportQSSI.pdf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247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6-enum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Related LLDD</w:t>
      </w:r>
    </w:p>
    <w:p>
      <w:pPr>
        <w:pStyle w:val="ListBullet"/>
        <w:keepLines/>
      </w:pPr>
      <w:r>
        <w:t>รายละเอียดต่อหัวข้อ: เอกสาร LLDD ที่อ้างในตารางข้างต้น (</w:t>
      </w:r>
      <w:r>
        <w:rPr>
          <w:rFonts w:ascii="Courier New" w:hAnsi="Courier New" w:eastAsia="Courier New" w:cs="Tahoma"/>
        </w:rPr>
        <w:t>LLDD/md/FE</w:t>
      </w:r>
      <w:r>
        <w:t xml:space="preserve">, </w:t>
      </w:r>
      <w:r>
        <w:rPr>
          <w:rFonts w:ascii="Courier New" w:hAnsi="Courier New" w:eastAsia="Courier New" w:cs="Tahoma"/>
        </w:rPr>
        <w:t>LLDD/md/BE</w:t>
      </w:r>
      <w:r>
        <w:t xml:space="preserve">, </w:t>
      </w:r>
      <w:r>
        <w:rPr>
          <w:rFonts w:ascii="Courier New" w:hAnsi="Courier New" w:eastAsia="Courier New" w:cs="Tahoma"/>
        </w:rPr>
        <w:t>LLDD/md/BE/Jobs</w:t>
      </w:r>
      <w:r>
        <w:t>)</w:t>
      </w:r>
    </w:p>
    <w:p>
      <w:pPr>
        <w:pStyle w:val="ListBullet"/>
        <w:keepLines/>
      </w:pPr>
      <w:r>
        <w:t xml:space="preserve">ลำดับงานและ dependency: </w:t>
      </w:r>
      <w:r>
        <w:rPr>
          <w:rFonts w:ascii="Courier New" w:hAnsi="Courier New" w:eastAsia="Courier New" w:cs="Tahoma"/>
        </w:rPr>
        <w:t>LLDD-Main-Index-Phase4-4-3-SBP-Operating-Management.pdf</w:t>
      </w:r>
      <w:r>
        <w:t xml:space="preserve"> หัวข้อ Dependency</w:t>
      </w:r>
    </w:p>
    <w:p>
      <w:pPr>
        <w:pStyle w:val="ListBullet"/>
        <w:keepLines/>
      </w:pPr>
      <w:r>
        <w:t xml:space="preserve">flow ปลายทางที่ To-Be ทั้ง 3 ข้อรวมกันแล้ว: </w:t>
      </w:r>
      <w:r>
        <w:rPr>
          <w:rFonts w:ascii="Courier New" w:hAnsi="Courier New" w:eastAsia="Courier New" w:cs="Tahoma"/>
        </w:rPr>
        <w:t>Workflow design</w:t>
      </w:r>
      <w:r>
        <w:t xml:space="preserve"> · </w:t>
      </w:r>
      <w:r>
        <w:rPr>
          <w:rFonts w:ascii="Courier New" w:hAnsi="Courier New" w:eastAsia="Courier New" w:cs="Tahoma"/>
        </w:rPr>
        <w:t>Integrated flow screen</w:t>
      </w:r>
    </w:p>
    <w:p>
      <w:pPr>
        <w:pStyle w:val="ListBullet"/>
        <w:keepLines/>
      </w:pPr>
      <w:r>
        <w:t xml:space="preserve">SDD ต้นทาง: </w:t>
      </w:r>
      <w:r>
        <w:rPr>
          <w:color w:val="8A3324"/>
        </w:rPr>
        <w:t>SDD ปรับปรุงการชดเชยรายได้ในระบบ SBP GI(2402026).pptx</w:t>
      </w:r>
      <w:r>
        <w:t xml:space="preserve"> · ฉบับแปลง </w:t>
      </w:r>
      <w:r>
        <w:rPr>
          <w:color w:val="8A3324"/>
        </w:rPr>
        <w:t>SDD ปรับปรุงการชดเชยรายได้ SBP GI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