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sgi_consideration_logs; sgi_fgi_impact_processes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(N ไม่ปิดรอบ · ยึดระบบเดิม 2026-10-26)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 id ของ template </w:t>
            </w:r>
            <w:r>
              <w:rPr>
                <w:rFonts w:ascii="Arial" w:hAnsi="Arial" w:eastAsia="Arial" w:cs="Tahoma"/>
                <w:b/>
                <w:sz w:val="18"/>
              </w:rPr>
              <w:t>ตามชื่อ</w:t>
            </w:r>
            <w:r>
              <w:rPr>
                <w:rFonts w:ascii="Arial" w:hAnsi="Arial" w:eastAsia="Arial" w:cs="Tahoma"/>
                <w:sz w:val="18"/>
              </w:rPr>
              <w:t xml:space="preserve"> เมื่อ transition ระบุ template เอง — 01/02/03 "เห็นควรไม่ชดเชย" ใช้ EM-09 "พิจารณาไม่อนุมัติประกันรายได้" แทน EM-03 ของ route ส่งกลับ · id ต่างกันตามฐานจึงค้นด้วยชื่อ · ไม่เจอ = ใช้ของ route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FgiImpactProcess } from '../../entitys/sgi-fgi-impact-processes.entity';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(N ไม่ปิดรอบ · ยึดระบบเดิม 2026-10-26)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idx_fgi_impact_processes_gate ON sgi_fgi_impact_processes (workflow_generation_status, period_year, period_month);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