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7 ค่าของ enum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ไม่ตีกลับให้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ไม่ตีกลับเป็นทอด ๆ)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2026-09-02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เหมือน 01/02 · เดิมตีกลับ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ได้ publisher confirm จึง update เป็น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แต่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ต้องคืนทันที</w:t>
            </w:r>
            <w:r>
              <w:rPr>
                <w:rFonts w:ascii="Arial" w:hAnsi="Arial" w:eastAsia="Arial" w:cs="Tahoma"/>
                <w:sz w:val="18"/>
              </w:rPr>
              <w:t xml:space="preserve"> พร้อม stoppedReopenable=true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20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route ระบุตัวบุคคล (เช่น ตีกลับหาเจ้าของงานคนเดิม) — เรียกหลัง eventWorkflow สำเร็จ ใน transaction เดียวกัน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BusinessUser } from '../../entitys/business-user.entity';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SgiDocumentWorkflowActionsBffService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this.client.post(`/api/v1/sgi/document/${docNo}/actions`,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this.client.get(`/api/v1/sgi/document/${docNo}/timeline`, { params, headers: this.userHeaders(user)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