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read-only; แสดงเกณฑ์วงเงินอนุมัติจาก API (&lt; 100,000 จบที่ GM · ≥ 100,000 ส่ง AVP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comment optional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  <w:r>
              <w:rPr>
                <w:rFonts w:ascii="Arial" w:hAnsi="Arial" w:eastAsia="Arial" w:cs="Tahoma"/>
                <w:sz w:val="18"/>
              </w:rPr>
              <w:t xml:space="preserve"> ส่งยอดกลับ section 06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1 รายการของ role 08 (มติ 2026-09-01)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P-08: doc-header, sec-sales,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 Officer;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actionOptions ของ P-08 เท่านั้น: คำนวณเงินชดเชยเรียบร้อย; comment rules: คำนวณเงินชดเชยเรียบร้อย: comment optional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  <w:r>
              <w:rPr>
                <w:rFonts w:ascii="Arial" w:hAnsi="Arial" w:eastAsia="Arial" w:cs="Tahoma"/>
                <w:sz w:val="18"/>
              </w:rPr>
              <w:t xml:space="preserve"> ส่งยอดกลับ section 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08;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"คำนวณเงินชดเชยเรียบร้อย",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"06",</w:t>
              <w:br/>
              <w:t xml:space="preserve">  "nextSection": "06",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08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RoleView08 — view ของหน้า Document Detail สำหรับ workflow section 08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คำนวณเงินชดเชยเรียบร้อย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RoleView08({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P-08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08;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`src/components/sgi/document-detail/ActionForm08.tsx`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ActionForm08 — ฟอร์ม "ผลการพิจารณา" ของ workflow section 08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คำนวณเงินชดเชยเรียบร้อย (value='คำนวณเงินชดเชยเรียบร้อย',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EDITABLE_SECTIONS_08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ActionForm08({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1 รายการของ role 08 (มติ 2026-09-01)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