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เอกสารนี้ตอบอะไร</w:t>
      </w:r>
    </w:p>
    <w:p>
      <w:pPr>
        <w:keepNext w:val="0"/>
      </w:pPr>
      <w:r>
        <w:t xml:space="preserve">ตอบคำถามเดียว: </w:t>
      </w:r>
      <w:r>
        <w:rPr>
          <w:b/>
        </w:rPr>
        <w:t>SDD สั่งให้ทำอะไรเพิ่ม · ใช้เวลากี่ชั่วโมง · ใครทำฝั่ง FE ใครทำฝั่ง BE · รายละเอียดอยู่ใน LLDD ฉบับไหน</w:t>
      </w:r>
      <w:r>
        <w:t xml:space="preserve"> — ใช้คู่กับ SDD ปรับปรุงการชดเชยรายได้ในระบบ SBP GI (24/02/2026) หัวข้อ 1.9 To-Be Business Process</w:t>
      </w:r>
    </w:p>
    <w:p>
      <w:r>
        <w:t xml:space="preserve">⚠️ </w:t>
      </w:r>
      <w:r>
        <w:rPr>
          <w:b/>
        </w:rPr>
        <w:t>กติกาการนับเวลา (มติ 2026-08-25):</w:t>
      </w:r>
      <w:r>
        <w:t xml:space="preserve"> นับ</w:t>
      </w:r>
      <w:r>
        <w:rPr>
          <w:b/>
        </w:rPr>
        <w:t>เฉพาะงานที่ To-Be เพิ่มเข้ามาใหม่ = 501 ชั่วโมง</w:t>
      </w:r>
      <w:r>
        <w:t xml:space="preserve"> เท่านั้น · งานฐานรากที่ต้องทำอยู่แล้วไม่ว่าจะมี To-Be หรือไม่ (323 ชั่วโมง — โครงฐานข้อมูล, pipeline FGI/FCS, สัญญากลาง API/FE, shell ของ portal, งานทดสอบ/ส่งมอบ) แยกไว้ท้ายเอกสารและ</w:t>
      </w:r>
      <w:r>
        <w:rPr>
          <w:b/>
        </w:rPr>
        <w:t>ไม่นับรวมเป็นเวลาของ To-Be</w:t>
      </w:r>
    </w:p>
    <w:p>
      <w:r>
        <w:t>ชั่วโมงที่แสดงคือชั่วโมงเดียวกับที่ประกาศในแต่ละฉบับ (implementation + unit test) · เอกสารที่รับใช้ To-Be หลายข้อจะถูกแบ่งตามสัดส่วนในคอลัมน์ *สัดส่วนของฉบับ* จึงไม่มีการนับซ้ำ</w:t>
      </w:r>
    </w:p>
    <w:p>
      <w:pPr>
        <w:pStyle w:val="Heading1"/>
        <w:keepNext/>
        <w:keepLines/>
        <w:pageBreakBefore w:val="0"/>
      </w:pPr>
      <w:r>
        <w:t>2. สรุปงานที่ To-Be เพิ่มเข้ามา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SDD สไลด์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รวมงานที่ To-Be เพิ่ม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501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*(ฐานราก — ไม่นับเป็นเวลาของ To-Be)*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*83*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*240*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*323*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TB-1 · SDD สไลด์ 43 · 46-51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ใช้เวลา 324 ชั่วโมง</w:t>
      </w:r>
      <w:r>
        <w:t xml:space="preserve"> (FE 88 + BE 236)  ·  FE: </w:t>
      </w:r>
      <w:r>
        <w:rPr>
          <w:b/>
        </w:rPr>
        <w:t>New</w:t>
      </w:r>
      <w:r>
        <w:t xml:space="preserve"> 53 ชม. · </w:t>
      </w:r>
      <w:r>
        <w:rPr>
          <w:b/>
        </w:rPr>
        <w:t>lin</w:t>
      </w:r>
      <w:r>
        <w:t xml:space="preserve"> 35 ชม.   |  BE: </w:t>
      </w:r>
      <w:r>
        <w:rPr>
          <w:b/>
        </w:rPr>
        <w:t>But</w:t>
      </w:r>
      <w:r>
        <w:t xml:space="preserve"> 90 ชม. · </w:t>
      </w:r>
      <w:r>
        <w:rPr>
          <w:b/>
        </w:rPr>
        <w:t>Bank</w:t>
      </w:r>
      <w:r>
        <w:t xml:space="preserve"> 81 ชม. · </w:t>
      </w:r>
      <w:r>
        <w:rPr>
          <w:b/>
        </w:rPr>
        <w:t>Pete</w:t>
      </w:r>
      <w:r>
        <w:t xml:space="preserve"> 34 ชม. · </w:t>
      </w:r>
      <w:r>
        <w:rPr>
          <w:b/>
        </w:rPr>
        <w:t>Vava</w:t>
      </w:r>
      <w:r>
        <w:t xml:space="preserve"> 31 ชม.</w:t>
      </w:r>
    </w:p>
    <w:p>
      <w:pPr>
        <w:pStyle w:val="Heading2"/>
        <w:keepNext/>
        <w:keepLines/>
        <w:pageBreakBefore w:val="0"/>
      </w:pPr>
      <w:r>
        <w:t>3.1 SDD สั่งให้ทำอะไร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· checkbox เลือกหลายเอกสาร · popup ยืนยัน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 (สไลด์ 48)</w:t>
      </w:r>
      <w:r>
        <w:t xml:space="preserve"> — (ก) เคสต่อเนื่อง ระบบส่งงานให้เจ้าหน้าที่ SBP DSA </w:t>
      </w:r>
      <w:r>
        <w:rPr>
          <w:b/>
        </w:rPr>
        <w:t>คนเดิม</w:t>
      </w:r>
      <w:r>
        <w:t xml:space="preserve"> อัตโนมัติ · (ข) ฝ่าย SBP DSA คลิก </w:t>
      </w:r>
      <w:r>
        <w:rPr>
          <w:b/>
        </w:rPr>
        <w:t>เห็นควรไม่ชดเชย</w:t>
      </w:r>
      <w:r>
        <w:t xml:space="preserve"> เอกสารจบและ</w:t>
      </w:r>
      <w:r>
        <w:rPr>
          <w:b/>
        </w:rPr>
        <w:t>ไม่แสดง</w:t>
      </w:r>
      <w:r>
        <w:t>ในหน้ารอดำเนินการของ 06 ในเดือนนั้น แล้ว</w:t>
      </w:r>
      <w:r>
        <w:rPr>
          <w:b/>
        </w:rPr>
        <w:t>เดือนถัดไป</w:t>
      </w:r>
      <w:r>
        <w:t>ระบบดึงเข้ามาใหม่พร้อมเจ้าของงานคนเดิม</w:t>
      </w:r>
    </w:p>
    <w:p>
      <w:pPr>
        <w:pStyle w:val="ListBullet"/>
        <w:keepLines/>
      </w:pPr>
      <w:r>
        <w:rPr>
          <w:b/>
        </w:rPr>
        <w:t>หยุดชดเชยประกันรายได้ (สไลด์ 46 ข้อ 1.9)</w:t>
      </w:r>
      <w:r>
        <w:t xml:space="preserve"> — เอกสารกลับมาแสดงใน</w:t>
      </w:r>
      <w:r>
        <w:rPr>
          <w:b/>
        </w:rPr>
        <w:t>หน้ารอดำเนินการของ ฝ่าย SBP DSA (06) ทันทีในเดือนนั้น</w:t>
      </w:r>
      <w:r>
        <w:t xml:space="preserve"> ให้พิจารณาคำขอชดเชยอีกครั้งได้เอง · เปิดเอกสารแล้วเห็นข้อมูลเดิมครบ + แผงพิจารณาชุดเดียวกับสถานะ รอฝ่าย SBP DSA ดำเนินการ · บทบาทอื่นไม่เห็น</w:t>
      </w:r>
    </w:p>
    <w:p>
      <w:pPr>
        <w:pStyle w:val="ListBullet"/>
        <w:keepLines/>
      </w:pPr>
      <w:r>
        <w:rPr>
          <w:b/>
        </w:rPr>
        <w:t>หลังพัฒนาไม่ต้องเปิด SR เพื่อลบข้อมูล (สไลด์ 46 · Note)</w:t>
      </w:r>
      <w:r>
        <w:t xml:space="preserve"> — กระบวนการลบ/แก้ข้อมูลเอกสารที่เดิมต้องเปิด SR (มี log ที่ TransectionDeleteStore พร้อม SRNumber) ต้องทำได้ในระบบ · ขอบเขตที่ระบบรองรับคือ </w:t>
      </w:r>
      <w:r>
        <w:rPr>
          <w:b/>
        </w:rPr>
        <w:t>ฝ่าย SBP DSA (06) เปิดพิจารณาเอกสารที่จบแล้วใหม่ได้เอง</w:t>
      </w:r>
      <w:r>
        <w:t xml:space="preserve"> โดยไม่ต้องเปิด SR — ไม่มีการลบเอกสารถาวรจากหน้าจอ</w:t>
      </w:r>
    </w:p>
    <w:p>
      <w:pPr>
        <w:pStyle w:val="ListBullet"/>
        <w:keepLines/>
      </w:pPr>
      <w:r>
        <w:rPr>
          <w:b/>
        </w:rPr>
        <w:t>แก้ไขครอบคลุมเอกสารทุก Type (สไลด์ 46 · Note)</w:t>
      </w:r>
      <w:r>
        <w:t xml:space="preserve"> — การเปลี่ยนแปลงข้อ TB-1 มีผลกับเอกสารทุกประเภทร้าน ไม่จำกัดเฉพาะ Type ใด Type หนึ่ง</w:t>
      </w:r>
    </w:p>
    <w:p>
      <w:pPr>
        <w:pStyle w:val="ListBullet"/>
        <w:keepLines/>
      </w:pPr>
      <w:r>
        <w:t xml:space="preserve">ยอดชดเชย 0: เดือน 1-3 คลิก </w:t>
      </w:r>
      <w:r>
        <w:rPr>
          <w:b/>
        </w:rPr>
        <w:t>ส่งเจ้าหน้าที่ SBP DSA</w:t>
      </w:r>
      <w:r>
        <w:t xml:space="preserve"> (มติ 2026-09-01 · เดิม หน่วยงานส่งเสริมธุรกิจ SBP)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3.2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TB-2 · SDD สไลด์ 52-58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ใช้เวลา 125 ชั่วโมง</w:t>
      </w:r>
      <w:r>
        <w:t xml:space="preserve"> (FE 30 + BE 95)  ·  FE: </w:t>
      </w:r>
      <w:r>
        <w:rPr>
          <w:b/>
        </w:rPr>
        <w:t>New</w:t>
      </w:r>
      <w:r>
        <w:t xml:space="preserve"> 30 ชม.   |  BE: </w:t>
      </w:r>
      <w:r>
        <w:rPr>
          <w:b/>
        </w:rPr>
        <w:t>Vava</w:t>
      </w:r>
      <w:r>
        <w:t xml:space="preserve"> 71 ชม. · </w:t>
      </w:r>
      <w:r>
        <w:rPr>
          <w:b/>
        </w:rPr>
        <w:t>Bank</w:t>
      </w:r>
      <w:r>
        <w:t xml:space="preserve"> 24 ชม.</w:t>
      </w:r>
    </w:p>
    <w:p>
      <w:pPr>
        <w:pStyle w:val="Heading2"/>
        <w:keepNext/>
        <w:keepLines/>
        <w:pageBreakBefore w:val="0"/>
      </w:pPr>
      <w:r>
        <w:t>4.1 SDD สั่งให้ทำอะไร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 (เลิกตีกลับให้ SBP DSA รับทราบก่อน)</w:t>
      </w:r>
    </w:p>
    <w:p>
      <w:pPr>
        <w:pStyle w:val="Heading2"/>
        <w:keepNext/>
        <w:keepLines/>
        <w:pageBreakBefore w:val="0"/>
      </w:pPr>
      <w:r>
        <w:t>4.2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TB-3 · SDD สไลด์ 59-62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ใช้เวลา 52 ชั่วโมง</w:t>
      </w:r>
      <w:r>
        <w:t xml:space="preserve"> (FE 25 + BE 27)  ·  FE: </w:t>
      </w:r>
      <w:r>
        <w:rPr>
          <w:b/>
        </w:rPr>
        <w:t>lin</w:t>
      </w:r>
      <w:r>
        <w:t xml:space="preserve"> 25 ชม.   |  BE: </w:t>
      </w:r>
      <w:r>
        <w:rPr>
          <w:b/>
        </w:rPr>
        <w:t>Pete</w:t>
      </w:r>
      <w:r>
        <w:t xml:space="preserve"> 27 ชม.</w:t>
      </w:r>
    </w:p>
    <w:p>
      <w:pPr>
        <w:pStyle w:val="Heading2"/>
        <w:keepNext/>
        <w:keepLines/>
        <w:pageBreakBefore w:val="0"/>
      </w:pPr>
      <w:r>
        <w:t>5.1 SDD สั่งให้ทำอะไร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>ตัวกรอง 7 ตัว — สถานะ (บังคับ) · รหัสร้านถูกกระทบ · รหัสร้านเปิดกระทบ · Period Statement (ค.ศ.)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Export Excel · เคลียร์ค่าเริ่มต้น · Preview Report · Export CSV to Batch</w:t>
      </w:r>
    </w:p>
    <w:p>
      <w:pPr>
        <w:pStyle w:val="Heading2"/>
        <w:keepNext/>
        <w:keepLines/>
        <w:pageBreakBefore w:val="0"/>
      </w:pPr>
      <w:r>
        <w:t>5.2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TB-0 · งานฐานราก — **ไม่นับเป็นเวลาของ To-Be**</w:t>
      </w:r>
    </w:p>
    <w:p>
      <w:pPr>
        <w:keepNext w:val="0"/>
      </w:pPr>
      <w:r>
        <w:t>งานชุดนี้ (323 ชั่วโมง · FE 83 + BE 240) ต้องทำอยู่แล้วไม่ว่าจะมี To-Be หรือไม่ — SDD ไม่ได้ระบุเป็นข้อ และไม่ควรนับเป็นต้นทุนของการเปลี่ยนแปลงตาม To-Be · แสดงไว้เพื่อให้เห็นภาพรวมของชุดส่งมอบทั้งหมดเท่านั้น</w:t>
      </w:r>
    </w:p>
    <w:p>
      <w:pPr>
        <w:pStyle w:val="ListBullet"/>
        <w:keepLines/>
      </w:pPr>
      <w:r>
        <w:t>โครงฐานข้อมูลเป้าหมาย 20 ตาราง + migration/cutover จากระบบเดิม</w:t>
      </w:r>
    </w:p>
    <w:p>
      <w:pPr>
        <w:pStyle w:val="ListBullet"/>
        <w:keepLines/>
      </w:pPr>
      <w:r>
        <w:t>pipeline FGI/FCS ที่ป้อนข้อมูลให้ทุก To-Be (Job 2-6, Job 10 และงาน interface/อีเมล)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SGI ดูแลเอง (ปัจจัยภายนอก · แบรนด์คู่แข่ง) และงานทดสอบ/ส่งมอบ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LLDD-BE-Job-6-ExportImpactStoreToFS.pdf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7-enum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 ฐานราก)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p>
      <w:pPr>
        <w:keepNext w:val="0"/>
      </w:pPr>
      <w:r>
        <w:t xml:space="preserve">รายละเอียดการทำงานจริงอยู่ในเอกสารที่อ้างถึงข้างบน · ภาพรวมชุดส่งมอบดูที่ </w:t>
      </w:r>
      <w:r>
        <w:rPr>
          <w:rFonts w:ascii="Courier New" w:hAnsi="Courier New" w:eastAsia="Courier New" w:cs="Tahoma"/>
        </w:rPr>
        <w:t>README</w:t>
      </w:r>
      <w:r>
        <w:t xml:space="preserve"> · สัญญา API ดูที่ </w:t>
      </w:r>
      <w:r>
        <w:rPr>
          <w:rFonts w:ascii="Courier New" w:hAnsi="Courier New" w:eastAsia="Courier New" w:cs="Tahoma"/>
        </w:rPr>
        <w:t>LLDD-API.pdf</w:t>
      </w:r>
      <w:r>
        <w:t xml:space="preserve"> · โครงฐานข้อมูลดูที่ </w:t>
      </w:r>
      <w:r>
        <w:rPr>
          <w:rFonts w:ascii="Courier New" w:hAnsi="Courier New" w:eastAsia="Courier New" w:cs="Tahoma"/>
        </w:rPr>
        <w:t>LLDD-Database.pdf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