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จาก API; ใช้แสดงช่วงวงเงินอนุมัติ (&lt;=50,000 จบที่ GM · 50,001-300,000 ผ่าน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P-02 เท่านั้น: เห็นควรชดเชย; เห็นควรไม่ชดเชย; ส่งกลับหน่วยงานส่งเสริมธุรกิจ SBP; comment rules: เห็นควรชดเชย: comment optional; เห็นควรไม่ชดเชย: comment ตาม actionOptions.requireComment; ส่งกลับหน่วยงานส่งเสริมธุรกิจ SBP: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02;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"03",</w:t>
              <w:br/>
              <w:t xml:space="preserve">  "nextSection": "03",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ส่งกลับหน่วยงานส่งเสริมธุรกิจ SBP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P-02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02;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ส่งกลับหน่วยงานส่งเสริมธุรกิจ SBP (value='ส่งกลับหน่วยงานส่งเสริมธุรกิจ SBP',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result: yup.string().required('กรุณาเลือกผลการพิจารณา'),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