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ต้องเป็นค่าที่ API detail ส่งมาให้ผู้ใช้ในเอกสารนั้น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08;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 และ totalCompensationAmount &gt; 100000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 และ totalCompensationAmount &lt;= 100000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ส่งกลับ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 section ปลายทางตาม action option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ปลายทาง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current; reopen target with new task id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close 06; complete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workflow_history / workflow_approver (@srm/glb-workflow); compensation_documents; 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compensate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triggerEvent()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ผู้รับอีเมลตาม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กัน action ซ้ำด้วย getTransaction/getPermissionEvents ก่อน triggerEvent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action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