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P-06: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P-06 เท่านั้น: เห็นควรไม่ชดเชย; หยุดชดเชยประกันรายได้; ส่งหน่วยงานส่งเสริมธุรกิจ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ส่งหน่วยงานส่งเสริมธุรกิจ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[],</w:t>
              <w:br/>
              <w:t xml:space="preserve">  "competitors": [</w:t>
              <w:br/>
              <w:t xml:space="preserve">    {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"submitAccountMonth": "2026-05",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06;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06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RoleView06 — view ของหน้า Document Detail สำหรับ workflow section 06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RoleView06({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P-06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06;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 xml:space="preserve">  competitors: {</w:t>
        <w:br/>
        <w:t xml:space="preserve">    competitorCode: string;</w:t>
        <w:br/>
        <w:t xml:space="preserve">    nameTh: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`src/components/sgi/document-detail/ActionForm06.tsx`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ActionForm06 — ฟอร์ม "ผลการพิจารณา" ของ workflow section 06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EDITABLE_SECTIONS_06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ActionForm06({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