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8.png" ContentType="image/png"/>
  <Override PartName="/word/media/rId61.png" ContentType="image/png"/>
  <Override PartName="/word/media/rId68.png" ContentType="image/png"/>
  <Override PartName="/word/media/rId71.png" ContentType="image/png"/>
  <Override PartName="/word/media/rId74.png" ContentType="image/png"/>
  <Override PartName="/word/media/rId77.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20.png" ContentType="image/png"/>
  <Override PartName="/word/media/rId24.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Countdown</w:t>
      </w:r>
      <w:r>
        <w:t xml:space="preserve"> </w:t>
      </w:r>
      <w:r>
        <w:t xml:space="preserve">Analysis</w:t>
      </w:r>
      <w:r>
        <w:t xml:space="preserve"> </w:t>
      </w:r>
      <w:r>
        <w:t xml:space="preserve">Report</w:t>
      </w:r>
    </w:p>
    <w:bookmarkStart w:id="23" w:name="X9302d00faa47c97c3c9bde37bcc4215105e1ffe"/>
    <w:p>
      <w:pPr>
        <w:pStyle w:val="Heading3"/>
      </w:pPr>
      <w:r>
        <w:t xml:space="preserve">Health facility data quality assessment: numerators</w:t>
      </w:r>
    </w:p>
    <w:p>
      <w:pPr>
        <w:pStyle w:val="FirstParagraph"/>
      </w:pPr>
      <w:r>
        <w:rPr>
          <w:b/>
          <w:bCs/>
        </w:rPr>
        <w:t xml:space="preserve">BACKGROUND:</w:t>
      </w:r>
      <w:r>
        <w:t xml:space="preserve"> </w:t>
      </w:r>
      <w:r>
        <w:t xml:space="preserve">Routinely reported health facility data are an important data source for health indicators. The data are reported by health facilities on events such as immunizations given, or live births attended. As with any data, quality is an issue. Data are checked to consider completeness of reporting by health facilities, identify extreme outliers and internal consistency.</w:t>
      </w:r>
    </w:p>
    <w:p>
      <w:pPr>
        <w:pStyle w:val="BodyText"/>
      </w:pPr>
      <w:r>
        <w:drawing>
          <wp:inline>
            <wp:extent cx="4620126" cy="3696101"/>
            <wp:effectExtent b="0" l="0" r="0" t="0"/>
            <wp:docPr descr="" title="" id="21" name="Picture"/>
            <a:graphic>
              <a:graphicData uri="http://schemas.openxmlformats.org/drawingml/2006/picture">
                <pic:pic>
                  <pic:nvPicPr>
                    <pic:cNvPr descr="D:/Dev/R/aphrc/cd2030/inst/app/report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X6156fce0c3b8b4c9147b401e82fe6cf45315192"/>
    <w:p>
      <w:pPr>
        <w:pStyle w:val="Heading3"/>
      </w:pPr>
      <w:r>
        <w:t xml:space="preserve">Health facility data quality assessment: numerators</w:t>
      </w:r>
    </w:p>
    <w:p>
      <w:pPr>
        <w:pStyle w:val="FirstParagraph"/>
      </w:pPr>
      <w:r>
        <w:rPr>
          <w:b/>
          <w:bCs/>
        </w:rPr>
        <w:t xml:space="preserve">BACKGROUND:</w:t>
      </w:r>
      <w:r>
        <w:t xml:space="preserve"> </w:t>
      </w:r>
      <w:r>
        <w:t xml:space="preserve">Routinely reported health facility data are essential for monitoring</w:t>
      </w:r>
      <w:r>
        <w:t xml:space="preserve"> </w:t>
      </w:r>
      <w:r>
        <w:t xml:space="preserve">immunization coverage. Data quality assessments often reveal discrepancies in the</w:t>
      </w:r>
      <w:r>
        <w:t xml:space="preserve"> </w:t>
      </w:r>
      <w:r>
        <w:t xml:space="preserve">Penta1/Penta3 ratio, which should ideally be close to 1.</w:t>
      </w:r>
    </w:p>
    <w:p>
      <w:pPr>
        <w:pStyle w:val="BodyText"/>
      </w:pPr>
      <w:r>
        <w:drawing>
          <wp:inline>
            <wp:extent cx="4620126" cy="3696101"/>
            <wp:effectExtent b="0" l="0" r="0" t="0"/>
            <wp:docPr descr="" title="" id="25" name="Picture"/>
            <a:graphic>
              <a:graphicData uri="http://schemas.openxmlformats.org/drawingml/2006/picture">
                <pic:pic>
                  <pic:nvPicPr>
                    <pic:cNvPr descr="D:/Dev/R/aphrc/cd2030/inst/app/repor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40" w:name="Xd0f1f61075326c87da8050bc5a5d1a77a05bbf5"/>
    <w:p>
      <w:pPr>
        <w:pStyle w:val="Heading3"/>
      </w:pPr>
      <w:r>
        <w:t xml:space="preserve">Health facility data adjustment: Numerators - reported live births and Pentavalent 1 doses</w:t>
      </w:r>
    </w:p>
    <w:p>
      <w:pPr>
        <w:pStyle w:val="FirstParagraph"/>
      </w:pPr>
      <w:r>
        <w:rPr>
          <w:b/>
          <w:bCs/>
        </w:rPr>
        <w:t xml:space="preserve">BACKGROUND:</w:t>
      </w:r>
      <w:r>
        <w:t xml:space="preserve"> </w:t>
      </w:r>
      <w:r>
        <w:t xml:space="preserve">Completeness of reporting affects analysis, especially if it</w:t>
      </w:r>
      <w:r>
        <w:t xml:space="preserve"> </w:t>
      </w:r>
      <w:r>
        <w:t xml:space="preserve">is low or varies between years. Extreme outliers can have a large impact,</w:t>
      </w:r>
      <w:r>
        <w:t xml:space="preserve"> </w:t>
      </w:r>
      <w:r>
        <w:t xml:space="preserve">especially on subnational numbers. Several steps are necessary to obtain a</w:t>
      </w:r>
      <w:r>
        <w:t xml:space="preserve"> </w:t>
      </w:r>
      <w:r>
        <w:t xml:space="preserve">clean data set for</w:t>
      </w:r>
      <w:r>
        <w:t xml:space="preserve"> </w:t>
      </w:r>
      <w:r>
        <w:t xml:space="preserve">“</w:t>
      </w:r>
      <w:r>
        <w:t xml:space="preserve">endline</w:t>
      </w:r>
      <w:r>
        <w:t xml:space="preserve">”</w:t>
      </w:r>
      <w:r>
        <w:t xml:space="preserve"> </w:t>
      </w:r>
      <w:r>
        <w:t xml:space="preserve">analysis, including adjusting for incomplete</w:t>
      </w:r>
      <w:r>
        <w:t xml:space="preserve"> </w:t>
      </w:r>
      <w:r>
        <w:t xml:space="preserve">reporting and correcting for extreme outliers. These graphs show the impact</w:t>
      </w:r>
      <w:r>
        <w:t xml:space="preserve"> </w:t>
      </w:r>
      <w:r>
        <w:t xml:space="preserve">on the numbers.</w:t>
      </w:r>
    </w:p>
    <w:p>
      <w:pPr>
        <w:pStyle w:val="BodyText"/>
      </w:pPr>
      <w:r>
        <w:drawing>
          <wp:inline>
            <wp:extent cx="4620126" cy="3696101"/>
            <wp:effectExtent b="0" l="0" r="0" t="0"/>
            <wp:docPr descr="" title="" id="29" name="Picture"/>
            <a:graphic>
              <a:graphicData uri="http://schemas.openxmlformats.org/drawingml/2006/picture">
                <pic:pic>
                  <pic:nvPicPr>
                    <pic:cNvPr descr="D:/Dev/R/aphrc/cd2030/inst/app/report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2" name="Picture"/>
            <a:graphic>
              <a:graphicData uri="http://schemas.openxmlformats.org/drawingml/2006/picture">
                <pic:pic>
                  <pic:nvPicPr>
                    <pic:cNvPr descr="D:/Dev/R/aphrc/cd2030/inst/app/report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5" name="Picture"/>
            <a:graphic>
              <a:graphicData uri="http://schemas.openxmlformats.org/drawingml/2006/picture">
                <pic:pic>
                  <pic:nvPicPr>
                    <pic:cNvPr descr="D:/Dev/R/aphrc/cd2030/inst/app/report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8" name="Picture"/>
            <a:graphic>
              <a:graphicData uri="http://schemas.openxmlformats.org/drawingml/2006/picture">
                <pic:pic>
                  <pic:nvPicPr>
                    <pic:cNvPr descr="D:/Dev/R/aphrc/cd2030/inst/app/report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7" w:name="X1c5883f50147337b1cd94ae0efde603244c637d"/>
    <w:p>
      <w:pPr>
        <w:pStyle w:val="Heading3"/>
      </w:pPr>
      <w:r>
        <w:t xml:space="preserve">Health facility data denominator assessment: DHIS2, UN Population and livebirths projections</w:t>
      </w:r>
    </w:p>
    <w:p>
      <w:pPr>
        <w:pStyle w:val="FirstParagraph"/>
      </w:pPr>
      <w:r>
        <w:rPr>
          <w:b/>
          <w:bCs/>
        </w:rPr>
        <w:t xml:space="preserve">BACKGROUND:</w:t>
      </w:r>
      <w:r>
        <w:t xml:space="preserve"> </w:t>
      </w:r>
      <w:r>
        <w:t xml:space="preserve">Service coverage is defined as the population who received the</w:t>
      </w:r>
      <w:r>
        <w:t xml:space="preserve"> </w:t>
      </w:r>
      <w:r>
        <w:t xml:space="preserve">service divided by the population who need the services: the denominator. The</w:t>
      </w:r>
      <w:r>
        <w:t xml:space="preserve"> </w:t>
      </w:r>
      <w:r>
        <w:t xml:space="preserve">quality of the population projections in DHIS2 is assessed through</w:t>
      </w:r>
      <w:r>
        <w:t xml:space="preserve"> </w:t>
      </w:r>
      <w:r>
        <w:t xml:space="preserve">consistency over time and comparison with the UN projections.</w:t>
      </w:r>
    </w:p>
    <w:p>
      <w:pPr>
        <w:pStyle w:val="BodyText"/>
      </w:pPr>
      <w:r>
        <w:drawing>
          <wp:inline>
            <wp:extent cx="4620126" cy="3696101"/>
            <wp:effectExtent b="0" l="0" r="0" t="0"/>
            <wp:docPr descr="" title="" id="42" name="Picture"/>
            <a:graphic>
              <a:graphicData uri="http://schemas.openxmlformats.org/drawingml/2006/picture">
                <pic:pic>
                  <pic:nvPicPr>
                    <pic:cNvPr descr="D:/Dev/R/aphrc/cd2030/inst/app/report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5" name="Picture"/>
            <a:graphic>
              <a:graphicData uri="http://schemas.openxmlformats.org/drawingml/2006/picture">
                <pic:pic>
                  <pic:nvPicPr>
                    <pic:cNvPr descr="D:/Dev/R/aphrc/cd2030/inst/app/report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Start w:id="56" w:name="selection-of-the-best-denominator"/>
    <w:p>
      <w:pPr>
        <w:pStyle w:val="Heading4"/>
      </w:pPr>
      <w:r>
        <w:t xml:space="preserve">Selection of the best denominator</w:t>
      </w:r>
    </w:p>
    <w:p>
      <w:pPr>
        <w:pStyle w:val="FirstParagraph"/>
      </w:pPr>
      <w:r>
        <w:drawing>
          <wp:inline>
            <wp:extent cx="4620126" cy="3696101"/>
            <wp:effectExtent b="0" l="0" r="0" t="0"/>
            <wp:docPr descr="" title="" id="48" name="Picture"/>
            <a:graphic>
              <a:graphicData uri="http://schemas.openxmlformats.org/drawingml/2006/picture">
                <pic:pic>
                  <pic:nvPicPr>
                    <pic:cNvPr descr="D:/Dev/R/aphrc/cd2030/inst/app/report_files/figure-docx/unnamed-chunk-1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D:/Dev/R/aphrc/cd2030/inst/app/report_files/figure-docx/unnamed-chunk-12-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D:/Dev/R/aphrc/cd2030/inst/app/report_files/figure-docx/unnamed-chunk-12-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End w:id="57"/>
    <w:bookmarkStart w:id="65" w:name="national-estimates"/>
    <w:p>
      <w:pPr>
        <w:pStyle w:val="Heading2"/>
      </w:pPr>
      <w:r>
        <w:t xml:space="preserve">National Estimates</w:t>
      </w:r>
    </w:p>
    <w:bookmarkStart w:id="64" w:name="X09d6a68c20ef0e9ca677a89355234964a75491e"/>
    <w:p>
      <w:pPr>
        <w:pStyle w:val="Heading3"/>
      </w:pPr>
      <w:r>
        <w:t xml:space="preserve">National Vaccination Coverage trends using all sources of data</w:t>
      </w:r>
    </w:p>
    <w:p>
      <w:pPr>
        <w:pStyle w:val="FirstParagraph"/>
      </w:pPr>
      <w:r>
        <w:rPr>
          <w:b/>
          <w:bCs/>
        </w:rPr>
        <w:t xml:space="preserve">BACKGROUND:</w:t>
      </w:r>
      <w:r>
        <w:t xml:space="preserve"> </w:t>
      </w:r>
      <w:r>
        <w:t xml:space="preserve">Monitoring the coverage of interventions is a critical and</w:t>
      </w:r>
      <w:r>
        <w:t xml:space="preserve"> </w:t>
      </w:r>
      <w:r>
        <w:t xml:space="preserve">direct output of health systems. It is most useful if the national plan has</w:t>
      </w:r>
      <w:r>
        <w:t xml:space="preserve"> </w:t>
      </w:r>
      <w:r>
        <w:t xml:space="preserve">meaningful targets. Both health facility and survey data need to be used.</w:t>
      </w:r>
    </w:p>
    <w:p>
      <w:pPr>
        <w:pStyle w:val="BodyText"/>
      </w:pPr>
      <w:r>
        <w:drawing>
          <wp:inline>
            <wp:extent cx="4620126" cy="3696101"/>
            <wp:effectExtent b="0" l="0" r="0" t="0"/>
            <wp:docPr descr="" title="" id="59" name="Picture"/>
            <a:graphic>
              <a:graphicData uri="http://schemas.openxmlformats.org/drawingml/2006/picture">
                <pic:pic>
                  <pic:nvPicPr>
                    <pic:cNvPr descr="D:/Dev/R/aphrc/cd2030/inst/app/report_files/figure-docx/unnamed-chunk-1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2" name="Picture"/>
            <a:graphic>
              <a:graphicData uri="http://schemas.openxmlformats.org/drawingml/2006/picture">
                <pic:pic>
                  <pic:nvPicPr>
                    <pic:cNvPr descr="D:/Dev/R/aphrc/cd2030/inst/app/report_files/figure-docx/unnamed-chunk-1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End w:id="65"/>
    <w:bookmarkStart w:id="67" w:name="regional-estimates"/>
    <w:p>
      <w:pPr>
        <w:pStyle w:val="Heading2"/>
      </w:pPr>
      <w:r>
        <w:t xml:space="preserve">Regional Estimates</w:t>
      </w:r>
    </w:p>
    <w:bookmarkStart w:id="66" w:name="X20407bca2d4abd32c5a2799d1cfd470117dcdfd"/>
    <w:p>
      <w:pPr>
        <w:pStyle w:val="Heading3"/>
      </w:pPr>
      <w:r>
        <w:t xml:space="preserve">Vaccination Access level (Pentavalent 1 – Pentavalent 3 dropout rates)</w:t>
      </w:r>
    </w:p>
    <w:p>
      <w:pPr>
        <w:pStyle w:val="FirstParagraph"/>
      </w:pPr>
      <w:r>
        <w:t xml:space="preserve">BACKGROUND: Monitoring the coverage of interventions is a critical and direct</w:t>
      </w:r>
      <w:r>
        <w:t xml:space="preserve"> </w:t>
      </w:r>
      <w:r>
        <w:t xml:space="preserve">output of health systems. It is most useful if the national plan has</w:t>
      </w:r>
      <w:r>
        <w:t xml:space="preserve"> </w:t>
      </w:r>
      <w:r>
        <w:t xml:space="preserve">meaningful targets. Both health facility and survey data need to be used.</w:t>
      </w:r>
    </w:p>
    <w:bookmarkEnd w:id="66"/>
    <w:bookmarkEnd w:id="67"/>
    <w:bookmarkStart w:id="102" w:name="equity-analysis"/>
    <w:p>
      <w:pPr>
        <w:pStyle w:val="Heading2"/>
      </w:pPr>
      <w:r>
        <w:t xml:space="preserve">Equity Analysis</w:t>
      </w:r>
    </w:p>
    <w:bookmarkStart w:id="80" w:name="Xe0ec9f9104528ffeb81e8032702d3dcdd59f57e"/>
    <w:p>
      <w:pPr>
        <w:pStyle w:val="Heading3"/>
      </w:pPr>
      <w:r>
        <w:t xml:space="preserve">Regional Vaccination Coverage inequality using routine health facility data</w:t>
      </w:r>
    </w:p>
    <w:p>
      <w:pPr>
        <w:pStyle w:val="FirstParagraph"/>
      </w:pPr>
      <w:r>
        <w:rPr>
          <w:b/>
          <w:bCs/>
        </w:rPr>
        <w:t xml:space="preserve">BACKGROUND:</w:t>
      </w:r>
      <w:r>
        <w:t xml:space="preserve"> </w:t>
      </w:r>
      <w:r>
        <w:t xml:space="preserve">Monitoring intervention coverage is a crucial output of health</w:t>
      </w:r>
      <w:r>
        <w:t xml:space="preserve"> </w:t>
      </w:r>
      <w:r>
        <w:t xml:space="preserve">systems, especially when national plans set clear and actionable targets. To</w:t>
      </w:r>
      <w:r>
        <w:t xml:space="preserve"> </w:t>
      </w:r>
      <w:r>
        <w:t xml:space="preserve">effectively assess vaccination coverage inequality at the subnational level,</w:t>
      </w:r>
      <w:r>
        <w:t xml:space="preserve"> </w:t>
      </w:r>
      <w:r>
        <w:t xml:space="preserve">particularly for MCV1 and Penta 3, it is essential to utilize both health</w:t>
      </w:r>
      <w:r>
        <w:t xml:space="preserve"> </w:t>
      </w:r>
      <w:r>
        <w:t xml:space="preserve">facility data and survey data.</w:t>
      </w:r>
    </w:p>
    <w:p>
      <w:pPr>
        <w:pStyle w:val="BodyText"/>
      </w:pPr>
      <w:r>
        <w:drawing>
          <wp:inline>
            <wp:extent cx="4620126" cy="3696101"/>
            <wp:effectExtent b="0" l="0" r="0" t="0"/>
            <wp:docPr descr="" title="" id="69" name="Picture"/>
            <a:graphic>
              <a:graphicData uri="http://schemas.openxmlformats.org/drawingml/2006/picture">
                <pic:pic>
                  <pic:nvPicPr>
                    <pic:cNvPr descr="D:/Dev/R/aphrc/cd2030/inst/app/report_files/figure-docx/unnamed-chunk-16-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2" name="Picture"/>
            <a:graphic>
              <a:graphicData uri="http://schemas.openxmlformats.org/drawingml/2006/picture">
                <pic:pic>
                  <pic:nvPicPr>
                    <pic:cNvPr descr="D:/Dev/R/aphrc/cd2030/inst/app/report_files/figure-docx/unnamed-chunk-17-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D:/Dev/R/aphrc/cd2030/inst/app/report_files/figure-docx/unnamed-chunk-18-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8" name="Picture"/>
            <a:graphic>
              <a:graphicData uri="http://schemas.openxmlformats.org/drawingml/2006/picture">
                <pic:pic>
                  <pic:nvPicPr>
                    <pic:cNvPr descr="D:/Dev/R/aphrc/cd2030/inst/app/report_files/figure-docx/unnamed-chunk-19-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101" w:name="equity-analysis-1"/>
    <w:p>
      <w:pPr>
        <w:pStyle w:val="Heading3"/>
      </w:pPr>
      <w:r>
        <w:t xml:space="preserve">Equity Analysis</w:t>
      </w:r>
    </w:p>
    <w:p>
      <w:pPr>
        <w:pStyle w:val="FirstParagraph"/>
      </w:pPr>
      <w:r>
        <w:rPr>
          <w:b/>
          <w:bCs/>
        </w:rPr>
        <w:t xml:space="preserve">BACKGROUND:</w:t>
      </w:r>
      <w:r>
        <w:t xml:space="preserve"> </w:t>
      </w:r>
      <w:r>
        <w:t xml:space="preserve">Household surveys provide critical information on inequalities. The focus is on two major dimensions of inequality: household</w:t>
      </w:r>
      <w:r>
        <w:t xml:space="preserve"> </w:t>
      </w:r>
      <w:r>
        <w:t xml:space="preserve">wealth quintile and education of the mother. Equiplots are used to assess</w:t>
      </w:r>
      <w:r>
        <w:t xml:space="preserve"> </w:t>
      </w:r>
      <w:r>
        <w:t xml:space="preserve">whether the country has made progress since 2010 in reducing the poor rich gap</w:t>
      </w:r>
      <w:r>
        <w:t xml:space="preserve"> </w:t>
      </w:r>
      <w:r>
        <w:t xml:space="preserve">or the gap between women with no education or low education and women with</w:t>
      </w:r>
      <w:r>
        <w:t xml:space="preserve"> </w:t>
      </w:r>
      <w:r>
        <w:t xml:space="preserve">higher education.</w:t>
      </w:r>
    </w:p>
    <w:bookmarkStart w:id="90" w:name="X2a92751243cde90eafd61b3983f04357fd24dec"/>
    <w:p>
      <w:pPr>
        <w:pStyle w:val="Heading4"/>
      </w:pPr>
      <w:r>
        <w:t xml:space="preserve">Equity analysis using survey data: Pentavalent 3 coverage by household wealth status and education</w:t>
      </w:r>
    </w:p>
    <w:p>
      <w:pPr>
        <w:pStyle w:val="FirstParagraph"/>
      </w:pPr>
      <w:r>
        <w:rPr>
          <w:b/>
          <w:bCs/>
        </w:rPr>
        <w:t xml:space="preserve">Fig 4g: Pentavalent 3 coverage by wealth, recent surveys</w:t>
      </w:r>
      <w:r>
        <w:t xml:space="preserve"> </w:t>
      </w:r>
      <w:r>
        <w:drawing>
          <wp:inline>
            <wp:extent cx="4620126" cy="3696101"/>
            <wp:effectExtent b="0" l="0" r="0" t="0"/>
            <wp:docPr descr="" title="" id="82" name="Picture"/>
            <a:graphic>
              <a:graphicData uri="http://schemas.openxmlformats.org/drawingml/2006/picture">
                <pic:pic>
                  <pic:nvPicPr>
                    <pic:cNvPr descr="D:/Dev/R/aphrc/cd2030/inst/app/report_files/figure-docx/unnamed-chunk-20-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 4h: Pentavalent 3 coverage by level of education of the mother, recent surveys</w:t>
      </w:r>
      <w:r>
        <w:t xml:space="preserve"> </w:t>
      </w:r>
      <w:r>
        <w:drawing>
          <wp:inline>
            <wp:extent cx="4620126" cy="3696101"/>
            <wp:effectExtent b="0" l="0" r="0" t="0"/>
            <wp:docPr descr="" title="" id="85" name="Picture"/>
            <a:graphic>
              <a:graphicData uri="http://schemas.openxmlformats.org/drawingml/2006/picture">
                <pic:pic>
                  <pic:nvPicPr>
                    <pic:cNvPr descr="D:/Dev/R/aphrc/cd2030/inst/app/report_files/figure-docx/unnamed-chunk-21-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 4g: Pentavalent 3 coverage by place of residence, recent surveys</w:t>
      </w:r>
      <w:r>
        <w:t xml:space="preserve"> </w:t>
      </w:r>
      <w:r>
        <w:drawing>
          <wp:inline>
            <wp:extent cx="4620126" cy="3696101"/>
            <wp:effectExtent b="0" l="0" r="0" t="0"/>
            <wp:docPr descr="" title="" id="88" name="Picture"/>
            <a:graphic>
              <a:graphicData uri="http://schemas.openxmlformats.org/drawingml/2006/picture">
                <pic:pic>
                  <pic:nvPicPr>
                    <pic:cNvPr descr="D:/Dev/R/aphrc/cd2030/inst/app/report_files/figure-docx/unnamed-chunk-2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100" w:name="Xe76f18f9812163a21e409e56ee36f8287b9aad4"/>
    <w:p>
      <w:pPr>
        <w:pStyle w:val="Heading4"/>
      </w:pPr>
      <w:r>
        <w:t xml:space="preserve">Equity analysis using survey data: Measles 1 coverage by household wealth status and education</w:t>
      </w:r>
    </w:p>
    <w:p>
      <w:pPr>
        <w:pStyle w:val="FirstParagraph"/>
      </w:pPr>
      <w:r>
        <w:rPr>
          <w:b/>
          <w:bCs/>
        </w:rPr>
        <w:t xml:space="preserve">Fig 4g: Measles 1 coverage by wealth, recent surveys</w:t>
      </w:r>
      <w:r>
        <w:t xml:space="preserve"> </w:t>
      </w:r>
      <w:r>
        <w:drawing>
          <wp:inline>
            <wp:extent cx="4620126" cy="3696101"/>
            <wp:effectExtent b="0" l="0" r="0" t="0"/>
            <wp:docPr descr="" title="" id="92" name="Picture"/>
            <a:graphic>
              <a:graphicData uri="http://schemas.openxmlformats.org/drawingml/2006/picture">
                <pic:pic>
                  <pic:nvPicPr>
                    <pic:cNvPr descr="D:/Dev/R/aphrc/cd2030/inst/app/report_files/figure-docx/unnamed-chunk-23-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 4h: Measles 1coverage by level of education of the mother, recent surveys</w:t>
      </w:r>
      <w:r>
        <w:t xml:space="preserve"> </w:t>
      </w:r>
      <w:r>
        <w:drawing>
          <wp:inline>
            <wp:extent cx="4620126" cy="3696101"/>
            <wp:effectExtent b="0" l="0" r="0" t="0"/>
            <wp:docPr descr="" title="" id="95" name="Picture"/>
            <a:graphic>
              <a:graphicData uri="http://schemas.openxmlformats.org/drawingml/2006/picture">
                <pic:pic>
                  <pic:nvPicPr>
                    <pic:cNvPr descr="D:/Dev/R/aphrc/cd2030/inst/app/report_files/figure-docx/unnamed-chunk-2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 4g: Measles 1 coverage by place of residence, recent surveys</w:t>
      </w:r>
      <w:r>
        <w:t xml:space="preserve"> </w:t>
      </w:r>
      <w:r>
        <w:drawing>
          <wp:inline>
            <wp:extent cx="4620126" cy="3696101"/>
            <wp:effectExtent b="0" l="0" r="0" t="0"/>
            <wp:docPr descr="" title="" id="98" name="Picture"/>
            <a:graphic>
              <a:graphicData uri="http://schemas.openxmlformats.org/drawingml/2006/picture">
                <pic:pic>
                  <pic:nvPicPr>
                    <pic:cNvPr descr="D:/Dev/R/aphrc/cd2030/inst/app/report_files/figure-docx/unnamed-chunk-25-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Countdown Analysis Report</dc:title>
  <dc:creator/>
  <cp:keywords/>
  <dcterms:created xsi:type="dcterms:W3CDTF">2024-12-27T05:00:31Z</dcterms:created>
  <dcterms:modified xsi:type="dcterms:W3CDTF">2024-12-27T05:00:31Z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