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DDF2" w14:textId="77777777" w:rsidR="00C210F5" w:rsidRDefault="00000000">
      <w:pPr>
        <w:pStyle w:val="Title"/>
      </w:pPr>
      <w:r>
        <w:t>Senegal - Countdown Analysis</w:t>
      </w:r>
    </w:p>
    <w:p w14:paraId="4E6B4C14" w14:textId="77777777" w:rsidR="00C210F5" w:rsidRDefault="00C210F5">
      <w:pPr>
        <w:sectPr w:rsidR="00C210F5">
          <w:type w:val="continuous"/>
          <w:pgSz w:w="11952" w:h="16848"/>
          <w:pgMar w:top="1440" w:right="720" w:bottom="720" w:left="720" w:header="720" w:footer="720" w:gutter="0"/>
          <w:cols w:space="720"/>
        </w:sectPr>
      </w:pPr>
    </w:p>
    <w:p w14:paraId="055279D5" w14:textId="77777777" w:rsidR="00C210F5" w:rsidRDefault="00000000">
      <w:pPr>
        <w:pStyle w:val="Heading2"/>
      </w:pPr>
      <w:bookmarkStart w:id="0" w:name="health-facility-data-quality"/>
      <w:r>
        <w:t>Health Facility Data Quality</w:t>
      </w:r>
    </w:p>
    <w:p w14:paraId="481881CC" w14:textId="77777777" w:rsidR="00C210F5" w:rsidRDefault="00000000">
      <w:pPr>
        <w:pStyle w:val="Heading3"/>
      </w:pPr>
      <w:bookmarkStart w:id="1" w:name="Xd72b0f2ac61b26b8abadab68344c1869f56b29b"/>
      <w:r>
        <w:t>Summary reported immunization health facility data DHIS2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72"/>
        <w:gridCol w:w="2180"/>
        <w:gridCol w:w="512"/>
        <w:gridCol w:w="512"/>
        <w:gridCol w:w="512"/>
        <w:gridCol w:w="512"/>
        <w:gridCol w:w="512"/>
      </w:tblGrid>
      <w:tr w:rsidR="00C210F5" w14:paraId="0587D44A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4965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A32C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Data Quality Metrics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B602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6191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AE73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4327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ECB0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2023</w:t>
            </w:r>
          </w:p>
        </w:tc>
      </w:tr>
      <w:tr w:rsidR="00C210F5" w14:paraId="438E8BFE" w14:textId="77777777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AFA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BEC6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type: 1. Completeness of monthly facility reporting (Immunization)</w:t>
            </w:r>
          </w:p>
        </w:tc>
      </w:tr>
      <w:tr w:rsidR="00C210F5" w14:paraId="72D0F4DB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75DA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F93A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expected monthly reports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CF0D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33A4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CF40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BEB1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4A45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</w:tr>
      <w:tr w:rsidR="00C210F5" w14:paraId="07B4338F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3D0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1b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DCEF3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districts with complete report &gt;= 90%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18B2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2508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5882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3A56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B72F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</w:tr>
      <w:tr w:rsidR="00C210F5" w14:paraId="4EEF1E46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B23E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1c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BE54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districts with no missing values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7322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B84C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E007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2AA9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5F21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</w:tr>
      <w:tr w:rsidR="00C210F5" w14:paraId="4EDBF9D0" w14:textId="77777777">
        <w:trPr>
          <w:jc w:val="center"/>
        </w:trPr>
        <w:tc>
          <w:tcPr>
            <w:tcW w:w="0" w:type="auto"/>
            <w:gridSpan w:val="7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AFA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407E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type: 2. Extreme outliers (Common Vaccine antigens)</w:t>
            </w:r>
          </w:p>
        </w:tc>
      </w:tr>
      <w:tr w:rsidR="00C210F5" w14:paraId="568FEF03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8ACF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16C5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values not extreme outliers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48CD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4B404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EB9A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26DE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0E22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C210F5" w14:paraId="02ABC173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3CEC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2b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2D15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districts with no extreme outliers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6881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E9AA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FF91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2B3A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29D5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C210F5" w14:paraId="4C54C4F3" w14:textId="77777777">
        <w:trPr>
          <w:jc w:val="center"/>
        </w:trPr>
        <w:tc>
          <w:tcPr>
            <w:tcW w:w="0" w:type="auto"/>
            <w:gridSpan w:val="7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AFA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0FED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type: 3. Consistency of annual reporting</w:t>
            </w:r>
          </w:p>
        </w:tc>
      </w:tr>
      <w:tr w:rsidR="00C210F5" w14:paraId="6B22B4DC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848D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3f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131B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district with anc1/penta1 in expected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AC47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05D8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1871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9353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9CC2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C210F5" w14:paraId="7FD0A87D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5BD3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3g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89E3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district with penta1/penta3 in expected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BA4F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314F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578D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8A60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49A8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</w:t>
            </w:r>
          </w:p>
        </w:tc>
      </w:tr>
      <w:tr w:rsidR="00C210F5" w14:paraId="0204552C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CA5C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E424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Annual data quality score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262D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68E3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87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8C75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1CA1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01D7" w14:textId="77777777" w:rsidR="00C210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83</w:t>
            </w:r>
          </w:p>
        </w:tc>
      </w:tr>
    </w:tbl>
    <w:p w14:paraId="7B443812" w14:textId="65D3F394" w:rsidR="00C210F5" w:rsidRDefault="00C210F5">
      <w:pPr>
        <w:pStyle w:val="FirstParagraph"/>
      </w:pPr>
    </w:p>
    <w:p w14:paraId="03280880" w14:textId="77777777" w:rsidR="00C210F5" w:rsidRDefault="00000000">
      <w:pPr>
        <w:pStyle w:val="Heading2"/>
      </w:pPr>
      <w:bookmarkStart w:id="2" w:name="equity-analysis"/>
      <w:bookmarkEnd w:id="0"/>
      <w:bookmarkEnd w:id="1"/>
      <w:r>
        <w:t>Equity Analysis</w:t>
      </w:r>
    </w:p>
    <w:p w14:paraId="31DAC794" w14:textId="77777777" w:rsidR="00C210F5" w:rsidRDefault="00000000" w:rsidP="00926C4D">
      <w:pPr>
        <w:pStyle w:val="Heading3"/>
        <w:spacing w:after="0"/>
      </w:pPr>
      <w:bookmarkStart w:id="3" w:name="Xc53f978cc1c818dc2a2e4bd97c0ca86a530768b"/>
      <w:r>
        <w:t>Wealth an urban-rural inequity for Penta 3 Coverage</w:t>
      </w:r>
    </w:p>
    <w:p w14:paraId="312751A2" w14:textId="77777777" w:rsidR="00C210F5" w:rsidRDefault="00000000">
      <w:pPr>
        <w:pStyle w:val="Heading4"/>
      </w:pPr>
      <w:bookmarkStart w:id="4" w:name="wealth-status"/>
      <w:r>
        <w:t>Wealth Status</w:t>
      </w:r>
    </w:p>
    <w:p w14:paraId="4C738EAA" w14:textId="77777777" w:rsidR="00C210F5" w:rsidRDefault="00000000">
      <w:pPr>
        <w:pStyle w:val="Figure"/>
        <w:jc w:val="center"/>
      </w:pPr>
      <w:r>
        <w:rPr>
          <w:noProof/>
        </w:rPr>
        <w:drawing>
          <wp:inline distT="0" distB="0" distL="0" distR="0" wp14:anchorId="0E553D66" wp14:editId="7721193D">
            <wp:extent cx="27432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34EF4C" w14:textId="77777777" w:rsidR="00C210F5" w:rsidRDefault="00000000">
      <w:pPr>
        <w:pStyle w:val="Heading4"/>
      </w:pPr>
      <w:bookmarkStart w:id="5" w:name="residence"/>
      <w:bookmarkEnd w:id="4"/>
      <w:r>
        <w:t>Residence</w:t>
      </w:r>
    </w:p>
    <w:p w14:paraId="71CCDA6C" w14:textId="77777777" w:rsidR="00C210F5" w:rsidRDefault="00000000">
      <w:pPr>
        <w:pStyle w:val="Figure"/>
        <w:jc w:val="center"/>
      </w:pPr>
      <w:r>
        <w:rPr>
          <w:noProof/>
        </w:rPr>
        <w:drawing>
          <wp:inline distT="0" distB="0" distL="0" distR="0" wp14:anchorId="4BD2394A" wp14:editId="5AEC96BC">
            <wp:extent cx="27432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45AB1" w14:textId="77777777" w:rsidR="00C210F5" w:rsidRDefault="00C210F5">
      <w:pPr>
        <w:sectPr w:rsidR="00C210F5">
          <w:type w:val="continuous"/>
          <w:pgSz w:w="11952" w:h="16848"/>
          <w:pgMar w:top="1440" w:right="720" w:bottom="720" w:left="720" w:header="720" w:footer="720" w:gutter="0"/>
          <w:cols w:num="2" w:sep="1" w:space="288" w:equalWidth="0">
            <w:col w:w="5760" w:space="288"/>
            <w:col w:w="5760"/>
          </w:cols>
        </w:sectPr>
      </w:pPr>
    </w:p>
    <w:p w14:paraId="05782314" w14:textId="77777777" w:rsidR="00C210F5" w:rsidRDefault="00000000">
      <w:pPr>
        <w:pStyle w:val="Heading5"/>
      </w:pPr>
      <w:bookmarkStart w:id="6" w:name="X9cbcb345589de0fed651becfad4272aa1fd4e6d"/>
      <w:r>
        <w:t>DQA scores greater or equal to 90% are highlighted in green indicating good data quality, scores of 80-90% in yellow and less than 70% in red indicator poor data quality</w:t>
      </w:r>
    </w:p>
    <w:p w14:paraId="6CE66385" w14:textId="77777777" w:rsidR="00C210F5" w:rsidRDefault="00C210F5">
      <w:pPr>
        <w:sectPr w:rsidR="00C210F5">
          <w:type w:val="continuous"/>
          <w:pgSz w:w="11952" w:h="16848"/>
          <w:pgMar w:top="1440" w:right="720" w:bottom="720" w:left="720" w:header="720" w:footer="720" w:gutter="0"/>
          <w:cols w:space="720"/>
        </w:sectPr>
      </w:pPr>
    </w:p>
    <w:p w14:paraId="5D84DA6E" w14:textId="77777777" w:rsidR="00C210F5" w:rsidRDefault="00000000">
      <w:pPr>
        <w:pStyle w:val="Heading2"/>
      </w:pPr>
      <w:bookmarkStart w:id="7" w:name="national-immunization-coverage-trends"/>
      <w:bookmarkEnd w:id="2"/>
      <w:bookmarkEnd w:id="3"/>
      <w:bookmarkEnd w:id="5"/>
      <w:bookmarkEnd w:id="6"/>
      <w:r>
        <w:t>National immunization Coverage trends</w:t>
      </w:r>
    </w:p>
    <w:p w14:paraId="4CBC8434" w14:textId="5BEC86AB" w:rsidR="00C210F5" w:rsidRDefault="00000000">
      <w:pPr>
        <w:pStyle w:val="Heading3"/>
      </w:pPr>
      <w:bookmarkStart w:id="8" w:name="Xebd4b7ff70fcf28bb697ace98104589b127d405"/>
      <w:r>
        <w:t xml:space="preserve">2019 – 2023 trend in immunization coverage, first dose of measles, third dose of pentavalent </w:t>
      </w:r>
      <w:r w:rsidR="00926C4D">
        <w:t>vaccines</w:t>
      </w:r>
      <w:r>
        <w:t xml:space="preserve"> and pentavalent dropout rates</w:t>
      </w:r>
    </w:p>
    <w:p w14:paraId="77289B59" w14:textId="77777777" w:rsidR="00C210F5" w:rsidRDefault="00000000">
      <w:pPr>
        <w:pStyle w:val="Heading4"/>
      </w:pPr>
      <w:bookmarkStart w:id="9" w:name="measles-1"/>
      <w:r>
        <w:t>Measles 1</w:t>
      </w:r>
    </w:p>
    <w:p w14:paraId="6BDCAB14" w14:textId="77777777" w:rsidR="00C210F5" w:rsidRDefault="00000000">
      <w:pPr>
        <w:pStyle w:val="Figure"/>
        <w:jc w:val="center"/>
      </w:pPr>
      <w:r>
        <w:rPr>
          <w:noProof/>
        </w:rPr>
        <w:drawing>
          <wp:inline distT="0" distB="0" distL="0" distR="0" wp14:anchorId="415F95BF" wp14:editId="6A37FDAF">
            <wp:extent cx="2278351" cy="129921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" cy="18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C00F3" w14:textId="77777777" w:rsidR="00C210F5" w:rsidRDefault="00000000">
      <w:pPr>
        <w:pStyle w:val="Heading4"/>
      </w:pPr>
      <w:bookmarkStart w:id="10" w:name="penta-3"/>
      <w:bookmarkEnd w:id="9"/>
      <w:r>
        <w:t>Penta 3</w:t>
      </w:r>
    </w:p>
    <w:p w14:paraId="7ADD264B" w14:textId="77777777" w:rsidR="00C210F5" w:rsidRDefault="00000000">
      <w:pPr>
        <w:pStyle w:val="Figure"/>
        <w:jc w:val="center"/>
      </w:pPr>
      <w:r>
        <w:rPr>
          <w:noProof/>
        </w:rPr>
        <w:drawing>
          <wp:inline distT="0" distB="0" distL="0" distR="0" wp14:anchorId="2E2157A9" wp14:editId="0D8C0945">
            <wp:extent cx="2743200" cy="1223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" cy="16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2F80C" w14:textId="77777777" w:rsidR="00C210F5" w:rsidRDefault="00000000">
      <w:pPr>
        <w:pStyle w:val="Heading4"/>
      </w:pPr>
      <w:bookmarkStart w:id="11" w:name="penta1-to-penta3-dropout"/>
      <w:bookmarkEnd w:id="10"/>
      <w:r>
        <w:t>Penta1 to Penta3 Dropout</w:t>
      </w:r>
    </w:p>
    <w:p w14:paraId="1FC28DF2" w14:textId="77777777" w:rsidR="00C210F5" w:rsidRDefault="00000000">
      <w:pPr>
        <w:pStyle w:val="Figure"/>
        <w:jc w:val="center"/>
      </w:pPr>
      <w:r>
        <w:rPr>
          <w:noProof/>
        </w:rPr>
        <w:drawing>
          <wp:inline distT="0" distB="0" distL="0" distR="0" wp14:anchorId="60FEF7FC" wp14:editId="0ECA4EBC">
            <wp:extent cx="27432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C4F7D" w14:textId="77777777" w:rsidR="00C210F5" w:rsidRDefault="00000000">
      <w:pPr>
        <w:pStyle w:val="FirstParagraph"/>
      </w:pPr>
      <w:r>
        <w:br w:type="column"/>
      </w:r>
    </w:p>
    <w:p w14:paraId="0A122855" w14:textId="77777777" w:rsidR="00C210F5" w:rsidRDefault="00000000">
      <w:pPr>
        <w:pStyle w:val="Heading2"/>
      </w:pPr>
      <w:bookmarkStart w:id="12" w:name="admin-level-1-vaccination-coverage-map"/>
      <w:bookmarkEnd w:id="7"/>
      <w:bookmarkEnd w:id="8"/>
      <w:bookmarkEnd w:id="11"/>
      <w:r>
        <w:t>Admin Level 1 Vaccination Coverage Map</w:t>
      </w:r>
    </w:p>
    <w:p w14:paraId="75A20803" w14:textId="77777777" w:rsidR="00C210F5" w:rsidRDefault="00000000">
      <w:pPr>
        <w:pStyle w:val="Heading3"/>
      </w:pPr>
      <w:bookmarkStart w:id="13" w:name="Xc88dc5dd88c11c7de79e080c539a976b66be652"/>
      <w:r>
        <w:t>Subnational vaccination coverage 2019 &amp; 2023 (measles1, penta3, dropout penta1_3)</w:t>
      </w:r>
    </w:p>
    <w:p w14:paraId="641A51B3" w14:textId="77777777" w:rsidR="00C210F5" w:rsidRDefault="00000000">
      <w:pPr>
        <w:pStyle w:val="Heading4"/>
      </w:pPr>
      <w:bookmarkStart w:id="14" w:name="measles-1-1"/>
      <w:r>
        <w:t>Measles 1</w:t>
      </w:r>
    </w:p>
    <w:p w14:paraId="60BD2E8B" w14:textId="77777777" w:rsidR="00C210F5" w:rsidRDefault="00000000">
      <w:pPr>
        <w:pStyle w:val="Figure"/>
        <w:jc w:val="center"/>
      </w:pPr>
      <w:r>
        <w:rPr>
          <w:noProof/>
        </w:rPr>
        <w:drawing>
          <wp:inline distT="0" distB="0" distL="0" distR="0" wp14:anchorId="2FBEC3F6" wp14:editId="1509DC27">
            <wp:extent cx="274320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" cy="14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F87A0" w14:textId="77777777" w:rsidR="00C210F5" w:rsidRDefault="00000000">
      <w:pPr>
        <w:pStyle w:val="Heading4"/>
      </w:pPr>
      <w:bookmarkStart w:id="15" w:name="penta-3-1"/>
      <w:bookmarkEnd w:id="14"/>
      <w:r>
        <w:t>Penta 3</w:t>
      </w:r>
    </w:p>
    <w:p w14:paraId="6CF2EC00" w14:textId="77777777" w:rsidR="00C210F5" w:rsidRDefault="00000000">
      <w:pPr>
        <w:pStyle w:val="Figure"/>
        <w:jc w:val="center"/>
      </w:pPr>
      <w:r>
        <w:rPr>
          <w:noProof/>
        </w:rPr>
        <w:drawing>
          <wp:inline distT="0" distB="0" distL="0" distR="0" wp14:anchorId="2D0C58ED" wp14:editId="2D4D09FF">
            <wp:extent cx="2743200" cy="104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" cy="14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4A4E6" w14:textId="77777777" w:rsidR="00C210F5" w:rsidRDefault="00000000">
      <w:pPr>
        <w:pStyle w:val="Heading4"/>
      </w:pPr>
      <w:bookmarkStart w:id="16" w:name="penta1-to-penta3-dropout-1"/>
      <w:bookmarkEnd w:id="15"/>
      <w:r>
        <w:t>Penta1 to Penta3 Dropout</w:t>
      </w:r>
    </w:p>
    <w:p w14:paraId="4C9011B5" w14:textId="0F3474F9" w:rsidR="00C210F5" w:rsidRDefault="00000000" w:rsidP="00926C4D">
      <w:pPr>
        <w:pStyle w:val="Figure"/>
        <w:jc w:val="center"/>
        <w:sectPr w:rsidR="00C210F5">
          <w:type w:val="continuous"/>
          <w:pgSz w:w="11952" w:h="16848"/>
          <w:pgMar w:top="1440" w:right="720" w:bottom="720" w:left="720" w:header="720" w:footer="720" w:gutter="0"/>
          <w:cols w:num="2" w:sep="1" w:space="288" w:equalWidth="0">
            <w:col w:w="5760" w:space="288"/>
            <w:col w:w="5760"/>
          </w:cols>
        </w:sectPr>
      </w:pPr>
      <w:r>
        <w:rPr>
          <w:noProof/>
        </w:rPr>
        <w:drawing>
          <wp:inline distT="0" distB="0" distL="0" distR="0" wp14:anchorId="4D286AA3" wp14:editId="6A1DC417">
            <wp:extent cx="2743200" cy="1337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" cy="18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2"/>
    <w:bookmarkEnd w:id="13"/>
    <w:bookmarkEnd w:id="16"/>
    <w:p w14:paraId="4E04198E" w14:textId="77777777" w:rsidR="002D4D7C" w:rsidRDefault="002D4D7C"/>
    <w:sectPr w:rsidR="002D4D7C">
      <w:type w:val="continuous"/>
      <w:pgSz w:w="11952" w:h="16848"/>
      <w:pgMar w:top="144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12D4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2012487935">
    <w:abstractNumId w:val="10"/>
  </w:num>
  <w:num w:numId="27" w16cid:durableId="1934901012">
    <w:abstractNumId w:val="10"/>
  </w:num>
  <w:num w:numId="28" w16cid:durableId="1799837733">
    <w:abstractNumId w:val="10"/>
  </w:num>
  <w:num w:numId="29" w16cid:durableId="20620484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F5"/>
    <w:rsid w:val="000A7DC4"/>
    <w:rsid w:val="002D4D7C"/>
    <w:rsid w:val="00926C4D"/>
    <w:rsid w:val="00C2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32D4"/>
  <w15:docId w15:val="{07465DC7-5F73-4741-BFF0-B7728067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45610"/>
    <w:pPr>
      <w:keepNext/>
      <w:keepLines/>
      <w:spacing w:before="80" w:after="0"/>
      <w:jc w:val="center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26C4D"/>
    <w:pPr>
      <w:keepNext/>
      <w:keepLines/>
      <w:spacing w:before="80" w:after="80"/>
      <w:outlineLvl w:val="2"/>
    </w:pPr>
    <w:rPr>
      <w:rFonts w:asciiTheme="majorHAnsi" w:eastAsiaTheme="majorEastAsia" w:hAnsiTheme="majorHAnsi" w:cstheme="majorBidi"/>
      <w:b/>
      <w:bCs/>
      <w:color w:val="009900"/>
      <w:sz w:val="1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26C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18"/>
    </w:rPr>
  </w:style>
  <w:style w:type="paragraph" w:styleId="Heading5">
    <w:name w:val="heading 5"/>
    <w:basedOn w:val="Normal"/>
    <w:next w:val="BodyText"/>
    <w:uiPriority w:val="9"/>
    <w:unhideWhenUsed/>
    <w:qFormat/>
    <w:rsid w:val="00645A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color w:val="009900"/>
      <w:sz w:val="15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45610"/>
    <w:pPr>
      <w:keepNext/>
      <w:keepLines/>
      <w:pBdr>
        <w:bottom w:val="single" w:sz="4" w:space="1" w:color="auto"/>
      </w:pBdr>
      <w:spacing w:after="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A7519"/>
    <w:pPr>
      <w:keepNext/>
      <w:keepLines/>
      <w:spacing w:before="60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1234</Characters>
  <Application>Microsoft Office Word</Application>
  <DocSecurity>0</DocSecurity>
  <Lines>20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 - Countdown Analysis</dc:title>
  <dc:creator>Murage</dc:creator>
  <cp:keywords/>
  <cp:lastModifiedBy>Murage</cp:lastModifiedBy>
  <cp:revision>2</cp:revision>
  <dcterms:created xsi:type="dcterms:W3CDTF">2025-02-19T17:47:00Z</dcterms:created>
  <dcterms:modified xsi:type="dcterms:W3CDTF">2025-02-19T17:47:00Z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