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8B0000"/>
          <w:sz w:val="56"/>
        </w:rPr>
        <w:t>ANSIBLE</w:t>
      </w:r>
    </w:p>
    <w:p>
      <w:pPr>
        <w:jc w:val="center"/>
      </w:pPr>
      <w:r>
        <w:rPr>
          <w:color w:val="444444"/>
          <w:sz w:val="32"/>
        </w:rPr>
        <w:t>Threat Surface Analysis &amp; Network Segmentation Strategy</w:t>
      </w:r>
    </w:p>
    <w:p/>
    <w:p/>
    <w:p>
      <w:pPr>
        <w:jc w:val="center"/>
      </w:pPr>
      <w:r>
        <w:rPr>
          <w:sz w:val="22"/>
        </w:rPr>
        <w:t>Generated: October 24, 2025 at 04:56 PM</w:t>
        <w:br/>
      </w:r>
      <w:r>
        <w:rPr>
          <w:sz w:val="20"/>
        </w:rPr>
        <w:t>Classification: CONFIDENTIAL - Security Analysis</w:t>
        <w:br/>
      </w:r>
      <w:r>
        <w:rPr>
          <w:sz w:val="18"/>
        </w:rPr>
        <w:t>Distribution: Security Team, Architecture Team, Compliance</w:t>
      </w:r>
    </w:p>
    <w:p>
      <w:r>
        <w:br w:type="page"/>
      </w:r>
    </w:p>
    <w:p>
      <w:pPr>
        <w:pStyle w:val="Heading1"/>
      </w:pPr>
      <w:r>
        <w:rPr>
          <w:color w:val="8B0000"/>
        </w:rPr>
        <w:t>Table of Contents</w:t>
      </w:r>
    </w:p>
    <w:p>
      <w:r>
        <w:t>1. Executive Threat Summary</w:t>
      </w:r>
    </w:p>
    <w:p>
      <w:r>
        <w:t>2. Attack Surface Analysis</w:t>
      </w:r>
    </w:p>
    <w:p>
      <w:r>
        <w:t>3. Attack Paths &amp; Lateral Movement Risks</w:t>
      </w:r>
    </w:p>
    <w:p>
      <w:r>
        <w:t>4. Tier-Based Threat Assessment</w:t>
      </w:r>
    </w:p>
    <w:p>
      <w:r>
        <w:t>5. Comprehensive Segmentation Strategy</w:t>
      </w:r>
    </w:p>
    <w:p>
      <w:r>
        <w:t xml:space="preserve">   5.1 Tier-Based Segmentation</w:t>
      </w:r>
    </w:p>
    <w:p>
      <w:r>
        <w:t xml:space="preserve">   5.2 Data Privacy Zones</w:t>
      </w:r>
    </w:p>
    <w:p>
      <w:r>
        <w:t xml:space="preserve">   5.3 External Customer Impact Zones</w:t>
      </w:r>
    </w:p>
    <w:p>
      <w:r>
        <w:t xml:space="preserve">   5.4 Single Point of Failure Analysis</w:t>
      </w:r>
    </w:p>
    <w:p>
      <w:r>
        <w:t xml:space="preserve">   5.5 Compliance-Based Segmentation</w:t>
      </w:r>
    </w:p>
    <w:p>
      <w:r>
        <w:t xml:space="preserve">   5.6 Micro-Segmentation Recommendations</w:t>
      </w:r>
    </w:p>
    <w:p>
      <w:r>
        <w:t>6. Firewall Rules &amp; Access Control Lists</w:t>
      </w:r>
    </w:p>
    <w:p>
      <w:r>
        <w:t>7. Remediation Recommendations</w:t>
      </w:r>
    </w:p>
    <w:p>
      <w:r>
        <w:br w:type="page"/>
      </w:r>
    </w:p>
    <w:p>
      <w:pPr>
        <w:pStyle w:val="Heading1"/>
      </w:pPr>
      <w:r>
        <w:rPr>
          <w:color w:val="8B0000"/>
        </w:rPr>
        <w:t>Executive Threat Summary</w:t>
      </w:r>
    </w:p>
    <w:p>
      <w:r>
        <w:t xml:space="preserve">This document presents a comprehensive security analysis of the ANSIBLE application, </w:t>
      </w:r>
    </w:p>
    <w:p>
      <w:r>
        <w:t>identifying attack surfaces, threat vectors, and providing detailed micro-segmentation strategies.</w:t>
      </w:r>
    </w:p>
    <w:p/>
    <w:p>
      <w:pPr>
        <w:pStyle w:val="Heading2"/>
      </w:pPr>
      <w:r>
        <w:t>Critical Security Metrics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Attack Paths Identified</w:t>
            </w:r>
          </w:p>
        </w:tc>
        <w:tc>
          <w:tcPr>
            <w:tcW w:type="dxa" w:w="4320"/>
          </w:tcPr>
          <w:p>
            <w:r>
              <w:t>8793</w:t>
            </w:r>
          </w:p>
        </w:tc>
      </w:tr>
      <w:tr>
        <w:tc>
          <w:tcPr>
            <w:tcW w:type="dxa" w:w="4320"/>
          </w:tcPr>
          <w:p>
            <w:r>
              <w:t>Exposed Network Nodes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Critical Assets at Risk</w:t>
            </w:r>
          </w:p>
        </w:tc>
        <w:tc>
          <w:tcPr>
            <w:tcW w:type="dxa" w:w="4320"/>
          </w:tcPr>
          <w:p>
            <w:r>
              <w:t>8793</w:t>
            </w:r>
          </w:p>
        </w:tc>
      </w:tr>
      <w:tr>
        <w:tc>
          <w:tcPr>
            <w:tcW w:type="dxa" w:w="4320"/>
          </w:tcPr>
          <w:p>
            <w:r>
              <w:t>Average Attack Distance (hops)</w:t>
            </w:r>
          </w:p>
        </w:tc>
        <w:tc>
          <w:tcPr>
            <w:tcW w:type="dxa" w:w="4320"/>
          </w:tcPr>
          <w:p>
            <w:r>
              <w:t>5.79</w:t>
            </w:r>
          </w:p>
        </w:tc>
      </w:tr>
      <w:tr>
        <w:tc>
          <w:tcPr>
            <w:tcW w:type="dxa" w:w="4320"/>
          </w:tcPr>
          <w:p>
            <w:r>
              <w:t>High Threat Nodes</w:t>
            </w:r>
          </w:p>
        </w:tc>
        <w:tc>
          <w:tcPr>
            <w:tcW w:type="dxa" w:w="4320"/>
          </w:tcPr>
          <w:p>
            <w:r>
              <w:t>512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8B0000"/>
        </w:rPr>
        <w:t>Attack Surface Analysis</w:t>
      </w:r>
    </w:p>
    <w:p>
      <w:pPr>
        <w:pStyle w:val="Heading2"/>
      </w:pPr>
      <w:r>
        <w:t>External Exposure</w:t>
      </w:r>
    </w:p>
    <w:p>
      <w:r>
        <w:rPr>
          <w:b/>
          <w:color w:val="8B0000"/>
        </w:rPr>
        <w:t xml:space="preserve">CRITICAL FINDING: </w:t>
      </w:r>
      <w:r>
        <w:t>8 flows to external/internet destinations detected.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Destination IP</w:t>
            </w:r>
          </w:p>
        </w:tc>
        <w:tc>
          <w:tcPr>
            <w:tcW w:type="dxa" w:w="2160"/>
          </w:tcPr>
          <w:p>
            <w:r>
              <w:t>Port</w:t>
            </w:r>
          </w:p>
        </w:tc>
        <w:tc>
          <w:tcPr>
            <w:tcW w:type="dxa" w:w="2160"/>
          </w:tcPr>
          <w:p>
            <w:r>
              <w:t>Protocol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172.16.1.50</w:t>
            </w:r>
          </w:p>
        </w:tc>
        <w:tc>
          <w:tcPr>
            <w:tcW w:type="dxa" w:w="2160"/>
          </w:tcPr>
          <w:p>
            <w:r>
              <w:t>1433.0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10.164.92.180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UDP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172.16.1.51</w:t>
            </w:r>
          </w:p>
        </w:tc>
        <w:tc>
          <w:tcPr>
            <w:tcW w:type="dxa" w:w="2160"/>
          </w:tcPr>
          <w:p>
            <w:r>
              <w:t>8080.0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172.16.1.52</w:t>
            </w:r>
          </w:p>
        </w:tc>
        <w:tc>
          <w:tcPr>
            <w:tcW w:type="dxa" w:w="2160"/>
          </w:tcPr>
          <w:p>
            <w:r>
              <w:t>8080.0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1.0.0.1</w:t>
            </w:r>
          </w:p>
        </w:tc>
        <w:tc>
          <w:tcPr>
            <w:tcW w:type="dxa" w:w="2160"/>
          </w:tcPr>
          <w:p>
            <w:r>
              <w:t>8080.0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172.16.1.52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172.16.1.51</w:t>
            </w:r>
          </w:p>
        </w:tc>
        <w:tc>
          <w:tcPr>
            <w:tcW w:type="dxa" w:w="2160"/>
          </w:tcPr>
          <w:p>
            <w:r>
              <w:t>5432.0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172.16.1.50</w:t>
            </w:r>
          </w:p>
        </w:tc>
        <w:tc>
          <w:tcPr>
            <w:tcW w:type="dxa" w:w="2160"/>
          </w:tcPr>
          <w:p>
            <w:r>
              <w:t>443.0</w:t>
            </w:r>
          </w:p>
        </w:tc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8B0000"/>
        </w:rPr>
        <w:t>Attack Paths &amp; Lateral Movement Risks</w:t>
      </w:r>
    </w:p>
    <w:p>
      <w:r>
        <w:t>Identified 100 potential attack paths that could allow lateral movement from Web tier to sensitive Database tier.</w:t>
      </w:r>
    </w:p>
    <w:p>
      <w:pPr>
        <w:pStyle w:val="Heading2"/>
      </w:pPr>
      <w:r>
        <w:t>High-Risk Attack Paths (Top 10)</w:t>
      </w:r>
    </w:p>
    <w:p>
      <w:r>
        <w:rPr>
          <w:b/>
        </w:rPr>
        <w:t xml:space="preserve">Attack Path #1: </w:t>
      </w:r>
      <w:r>
        <w:rPr>
          <w:b/>
          <w:color w:val="DC3545"/>
        </w:rPr>
        <w:t xml:space="preserve"> [HIGH] </w:t>
      </w:r>
    </w:p>
    <w:p>
      <w:pPr>
        <w:pStyle w:val="ListBullet"/>
      </w:pPr>
      <w:r>
        <w:t xml:space="preserve">  Source: 10.164.105.112 (WEB)</w:t>
      </w:r>
    </w:p>
    <w:p>
      <w:pPr>
        <w:pStyle w:val="ListBullet"/>
      </w:pPr>
      <w:r>
        <w:t xml:space="preserve">  Target: 10.164.116.109 (DATABASE)</w:t>
      </w:r>
    </w:p>
    <w:p>
      <w:pPr>
        <w:pStyle w:val="ListBullet"/>
      </w:pPr>
      <w:r>
        <w:t xml:space="preserve">  Path Length: 2 hops</w:t>
      </w:r>
    </w:p>
    <w:p>
      <w:pPr>
        <w:pStyle w:val="ListBullet"/>
      </w:pPr>
      <w:r>
        <w:t xml:space="preserve">  Attack Vector: External → Database (SQL Injection, Data Exfiltration)</w:t>
      </w:r>
    </w:p>
    <w:p/>
    <w:p>
      <w:r>
        <w:rPr>
          <w:b/>
        </w:rPr>
        <w:t xml:space="preserve">Attack Path #2: </w:t>
      </w:r>
      <w:r>
        <w:rPr>
          <w:b/>
          <w:color w:val="DC3545"/>
        </w:rPr>
        <w:t xml:space="preserve"> [HIGH] </w:t>
      </w:r>
    </w:p>
    <w:p>
      <w:pPr>
        <w:pStyle w:val="ListBullet"/>
      </w:pPr>
      <w:r>
        <w:t xml:space="preserve">  Source: 10.164.105.41 (WEB)</w:t>
      </w:r>
    </w:p>
    <w:p>
      <w:pPr>
        <w:pStyle w:val="ListBullet"/>
      </w:pPr>
      <w:r>
        <w:t xml:space="preserve">  Target: 10.164.116.237 (DATABASE)</w:t>
      </w:r>
    </w:p>
    <w:p>
      <w:pPr>
        <w:pStyle w:val="ListBullet"/>
      </w:pPr>
      <w:r>
        <w:t xml:space="preserve">  Path Length: 2 hops</w:t>
      </w:r>
    </w:p>
    <w:p>
      <w:pPr>
        <w:pStyle w:val="ListBullet"/>
      </w:pPr>
      <w:r>
        <w:t xml:space="preserve">  Attack Vector: External → Database (SQL Injection, Data Exfiltration)</w:t>
      </w:r>
    </w:p>
    <w:p/>
    <w:p>
      <w:r>
        <w:rPr>
          <w:b/>
        </w:rPr>
        <w:t xml:space="preserve">Attack Path #3: </w:t>
      </w:r>
      <w:r>
        <w:rPr>
          <w:b/>
          <w:color w:val="DC3545"/>
        </w:rPr>
        <w:t xml:space="preserve"> [HIGH] </w:t>
      </w:r>
    </w:p>
    <w:p>
      <w:pPr>
        <w:pStyle w:val="ListBullet"/>
      </w:pPr>
      <w:r>
        <w:t xml:space="preserve">  Source: 10.164.105.203 (WEB)</w:t>
      </w:r>
    </w:p>
    <w:p>
      <w:pPr>
        <w:pStyle w:val="ListBullet"/>
      </w:pPr>
      <w:r>
        <w:t xml:space="preserve">  Target: 10.164.116.238 (DATABASE)</w:t>
      </w:r>
    </w:p>
    <w:p>
      <w:pPr>
        <w:pStyle w:val="ListBullet"/>
      </w:pPr>
      <w:r>
        <w:t xml:space="preserve">  Path Length: 2 hops</w:t>
      </w:r>
    </w:p>
    <w:p>
      <w:pPr>
        <w:pStyle w:val="ListBullet"/>
      </w:pPr>
      <w:r>
        <w:t xml:space="preserve">  Attack Vector: External → Database (SQL Injection, Data Exfiltration)</w:t>
      </w:r>
    </w:p>
    <w:p/>
    <w:p>
      <w:r>
        <w:rPr>
          <w:b/>
        </w:rPr>
        <w:t xml:space="preserve">Attack Path #4: </w:t>
      </w:r>
      <w:r>
        <w:rPr>
          <w:b/>
          <w:color w:val="DC3545"/>
        </w:rPr>
        <w:t xml:space="preserve"> [HIGH] </w:t>
      </w:r>
    </w:p>
    <w:p>
      <w:pPr>
        <w:pStyle w:val="ListBullet"/>
      </w:pPr>
      <w:r>
        <w:t xml:space="preserve">  Source: 10.164.105.74 (WEB)</w:t>
      </w:r>
    </w:p>
    <w:p>
      <w:pPr>
        <w:pStyle w:val="ListBullet"/>
      </w:pPr>
      <w:r>
        <w:t xml:space="preserve">  Target: 10.164.116.216 (DATABASE)</w:t>
      </w:r>
    </w:p>
    <w:p>
      <w:pPr>
        <w:pStyle w:val="ListBullet"/>
      </w:pPr>
      <w:r>
        <w:t xml:space="preserve">  Path Length: 2 hops</w:t>
      </w:r>
    </w:p>
    <w:p>
      <w:pPr>
        <w:pStyle w:val="ListBullet"/>
      </w:pPr>
      <w:r>
        <w:t xml:space="preserve">  Attack Vector: External → Database (SQL Injection, Data Exfiltration)</w:t>
      </w:r>
    </w:p>
    <w:p/>
    <w:p>
      <w:r>
        <w:br w:type="page"/>
      </w:r>
    </w:p>
    <w:p>
      <w:pPr>
        <w:pStyle w:val="Heading1"/>
      </w:pPr>
      <w:r>
        <w:rPr>
          <w:color w:val="1A5298"/>
        </w:rPr>
        <w:t>Comprehensive Segmentation Strategy</w:t>
      </w:r>
    </w:p>
    <w:p>
      <w:r>
        <w:t>This section provides extensive segmentation and micro-segmentation recommendations based on multiple security criteria.</w:t>
      </w:r>
    </w:p>
    <w:p>
      <w:pPr>
        <w:pStyle w:val="Heading2"/>
      </w:pPr>
      <w:r>
        <w:t>5.1 Tier-Based Segmentation</w:t>
      </w:r>
    </w:p>
    <w:p>
      <w:r>
        <w:rPr>
          <w:b/>
        </w:rPr>
        <w:t>DMZ / Web Tier</w:t>
      </w:r>
      <w:r>
        <w:rPr>
          <w:b/>
          <w:color w:val="DC3545"/>
        </w:rPr>
        <w:t xml:space="preserve"> [HIGH] 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Allowed Inbound</w:t>
            </w:r>
          </w:p>
        </w:tc>
        <w:tc>
          <w:tcPr>
            <w:tcW w:type="dxa" w:w="4320"/>
          </w:tcPr>
          <w:p>
            <w:r>
              <w:t>Internet (80/443), Load Balancer</w:t>
            </w:r>
          </w:p>
        </w:tc>
      </w:tr>
      <w:tr>
        <w:tc>
          <w:tcPr>
            <w:tcW w:type="dxa" w:w="4320"/>
          </w:tcPr>
          <w:p>
            <w:r>
              <w:t>Allowed Outbound</w:t>
            </w:r>
          </w:p>
        </w:tc>
        <w:tc>
          <w:tcPr>
            <w:tcW w:type="dxa" w:w="4320"/>
          </w:tcPr>
          <w:p>
            <w:r>
              <w:t>Application Tier only</w:t>
            </w:r>
          </w:p>
        </w:tc>
      </w:tr>
      <w:tr>
        <w:tc>
          <w:tcPr>
            <w:tcW w:type="dxa" w:w="4320"/>
          </w:tcPr>
          <w:p>
            <w:r>
              <w:t>Explicit Denies</w:t>
            </w:r>
          </w:p>
        </w:tc>
        <w:tc>
          <w:tcPr>
            <w:tcW w:type="dxa" w:w="4320"/>
          </w:tcPr>
          <w:p>
            <w:r>
              <w:t>Direct database access, SSH from internet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Public-facing web servers</w:t>
            </w:r>
          </w:p>
        </w:tc>
      </w:tr>
    </w:tbl>
    <w:p/>
    <w:p>
      <w:r>
        <w:rPr>
          <w:b/>
        </w:rPr>
        <w:t>Application Tier</w:t>
      </w:r>
      <w:r>
        <w:rPr>
          <w:b/>
          <w:color w:val="DC3545"/>
        </w:rPr>
        <w:t xml:space="preserve"> [HIGH] 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Allowed Inbound</w:t>
            </w:r>
          </w:p>
        </w:tc>
        <w:tc>
          <w:tcPr>
            <w:tcW w:type="dxa" w:w="4320"/>
          </w:tcPr>
          <w:p>
            <w:r>
              <w:t>Web Tier only</w:t>
            </w:r>
          </w:p>
        </w:tc>
      </w:tr>
      <w:tr>
        <w:tc>
          <w:tcPr>
            <w:tcW w:type="dxa" w:w="4320"/>
          </w:tcPr>
          <w:p>
            <w:r>
              <w:t>Allowed Outbound</w:t>
            </w:r>
          </w:p>
        </w:tc>
        <w:tc>
          <w:tcPr>
            <w:tcW w:type="dxa" w:w="4320"/>
          </w:tcPr>
          <w:p>
            <w:r>
              <w:t>Database Tier, External APIs</w:t>
            </w:r>
          </w:p>
        </w:tc>
      </w:tr>
      <w:tr>
        <w:tc>
          <w:tcPr>
            <w:tcW w:type="dxa" w:w="4320"/>
          </w:tcPr>
          <w:p>
            <w:r>
              <w:t>Explicit Denies</w:t>
            </w:r>
          </w:p>
        </w:tc>
        <w:tc>
          <w:tcPr>
            <w:tcW w:type="dxa" w:w="4320"/>
          </w:tcPr>
          <w:p>
            <w:r>
              <w:t>Internet access (except whitelisted APIs)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Business logic and API servers</w:t>
            </w:r>
          </w:p>
        </w:tc>
      </w:tr>
    </w:tbl>
    <w:p/>
    <w:p>
      <w:r>
        <w:rPr>
          <w:b/>
        </w:rPr>
        <w:t>Database Tier</w:t>
      </w:r>
      <w:r>
        <w:rPr>
          <w:b/>
          <w:color w:val="8B0000"/>
        </w:rPr>
        <w:t xml:space="preserve"> [CRITICAL] 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Allowed Inbound</w:t>
            </w:r>
          </w:p>
        </w:tc>
        <w:tc>
          <w:tcPr>
            <w:tcW w:type="dxa" w:w="4320"/>
          </w:tcPr>
          <w:p>
            <w:r>
              <w:t>Application Tier only</w:t>
            </w:r>
          </w:p>
        </w:tc>
      </w:tr>
      <w:tr>
        <w:tc>
          <w:tcPr>
            <w:tcW w:type="dxa" w:w="4320"/>
          </w:tcPr>
          <w:p>
            <w:r>
              <w:t>Allowed Outbound</w:t>
            </w:r>
          </w:p>
        </w:tc>
        <w:tc>
          <w:tcPr>
            <w:tcW w:type="dxa" w:w="4320"/>
          </w:tcPr>
          <w:p>
            <w:r>
              <w:t>None (data should not egress)</w:t>
            </w:r>
          </w:p>
        </w:tc>
      </w:tr>
      <w:tr>
        <w:tc>
          <w:tcPr>
            <w:tcW w:type="dxa" w:w="4320"/>
          </w:tcPr>
          <w:p>
            <w:r>
              <w:t>Explicit Denies</w:t>
            </w:r>
          </w:p>
        </w:tc>
        <w:tc>
          <w:tcPr>
            <w:tcW w:type="dxa" w:w="4320"/>
          </w:tcPr>
          <w:p>
            <w:r>
              <w:t>All other access, especially from Web Tier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Data persistence and storage</w:t>
            </w:r>
          </w:p>
        </w:tc>
      </w:tr>
    </w:tbl>
    <w:p/>
    <w:p>
      <w:r>
        <w:br w:type="page"/>
      </w:r>
    </w:p>
    <w:p>
      <w:pPr>
        <w:pStyle w:val="Heading2"/>
      </w:pPr>
      <w:r>
        <w:t>5.2 Data Privacy Zones</w:t>
      </w:r>
    </w:p>
    <w:p>
      <w:r>
        <w:t>Segmentation based on data classification and privacy requirements: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Zone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Criticality</w:t>
            </w:r>
          </w:p>
        </w:tc>
        <w:tc>
          <w:tcPr>
            <w:tcW w:type="dxa" w:w="2160"/>
          </w:tcPr>
          <w:p>
            <w:r>
              <w:t>Compliance</w:t>
            </w:r>
          </w:p>
        </w:tc>
      </w:tr>
      <w:tr>
        <w:tc>
          <w:tcPr>
            <w:tcW w:type="dxa" w:w="2160"/>
          </w:tcPr>
          <w:p>
            <w:r>
              <w:t>PII Zone</w:t>
            </w:r>
          </w:p>
        </w:tc>
        <w:tc>
          <w:tcPr>
            <w:tcW w:type="dxa" w:w="2160"/>
          </w:tcPr>
          <w:p>
            <w:r>
              <w:t>Personally Identifiable Information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GDPR, CCPA</w:t>
            </w:r>
          </w:p>
        </w:tc>
      </w:tr>
      <w:tr>
        <w:tc>
          <w:tcPr>
            <w:tcW w:type="dxa" w:w="2160"/>
          </w:tcPr>
          <w:p>
            <w:r>
              <w:t>PHI Zone</w:t>
            </w:r>
          </w:p>
        </w:tc>
        <w:tc>
          <w:tcPr>
            <w:tcW w:type="dxa" w:w="2160"/>
          </w:tcPr>
          <w:p>
            <w:r>
              <w:t>Protected Health Information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HIPAA</w:t>
            </w:r>
          </w:p>
        </w:tc>
      </w:tr>
      <w:tr>
        <w:tc>
          <w:tcPr>
            <w:tcW w:type="dxa" w:w="2160"/>
          </w:tcPr>
          <w:p>
            <w:r>
              <w:t>PCI Zone</w:t>
            </w:r>
          </w:p>
        </w:tc>
        <w:tc>
          <w:tcPr>
            <w:tcW w:type="dxa" w:w="2160"/>
          </w:tcPr>
          <w:p>
            <w:r>
              <w:t>Payment Card Industry Data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PCI-DSS</w:t>
            </w:r>
          </w:p>
        </w:tc>
      </w:tr>
      <w:tr>
        <w:tc>
          <w:tcPr>
            <w:tcW w:type="dxa" w:w="2160"/>
          </w:tcPr>
          <w:p>
            <w:r>
              <w:t>Confidential Zone</w:t>
            </w:r>
          </w:p>
        </w:tc>
        <w:tc>
          <w:tcPr>
            <w:tcW w:type="dxa" w:w="2160"/>
          </w:tcPr>
          <w:p>
            <w:r>
              <w:t>Business confidential data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Internal Policy</w:t>
            </w:r>
          </w:p>
        </w:tc>
      </w:tr>
      <w:tr>
        <w:tc>
          <w:tcPr>
            <w:tcW w:type="dxa" w:w="2160"/>
          </w:tcPr>
          <w:p>
            <w:r>
              <w:t>Public Zone</w:t>
            </w:r>
          </w:p>
        </w:tc>
        <w:tc>
          <w:tcPr>
            <w:tcW w:type="dxa" w:w="2160"/>
          </w:tcPr>
          <w:p>
            <w:r>
              <w:t>Public-facing non-sensitive data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</w:tbl>
    <w:p>
      <w:r>
        <w:br w:type="page"/>
      </w:r>
    </w:p>
    <w:p>
      <w:pPr>
        <w:pStyle w:val="Heading2"/>
      </w:pPr>
      <w:r>
        <w:t>5.3 External Customer Impact Zones</w:t>
      </w:r>
    </w:p>
    <w:p>
      <w:r>
        <w:t>Segmentation based on customer-facing impact and business criticality: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Impact Tier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Recovery Objectives</w:t>
            </w:r>
          </w:p>
        </w:tc>
      </w:tr>
      <w:tr>
        <w:tc>
          <w:tcPr>
            <w:tcW w:type="dxa" w:w="2160"/>
          </w:tcPr>
          <w:p>
            <w:r>
              <w:t>Tier 0 - Customer Critical</w:t>
            </w:r>
          </w:p>
        </w:tc>
        <w:tc>
          <w:tcPr>
            <w:tcW w:type="dxa" w:w="2160"/>
          </w:tcPr>
          <w:p>
            <w:r>
              <w:t>Direct customer-facing services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RTO: 15 min, RPO: 0</w:t>
            </w:r>
          </w:p>
        </w:tc>
      </w:tr>
      <w:tr>
        <w:tc>
          <w:tcPr>
            <w:tcW w:type="dxa" w:w="2160"/>
          </w:tcPr>
          <w:p>
            <w:r>
              <w:t>Tier 1 - Customer Support</w:t>
            </w:r>
          </w:p>
        </w:tc>
        <w:tc>
          <w:tcPr>
            <w:tcW w:type="dxa" w:w="2160"/>
          </w:tcPr>
          <w:p>
            <w:r>
              <w:t>Customer support systems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RTO: 1 hour, RPO: 15 min</w:t>
            </w:r>
          </w:p>
        </w:tc>
      </w:tr>
      <w:tr>
        <w:tc>
          <w:tcPr>
            <w:tcW w:type="dxa" w:w="2160"/>
          </w:tcPr>
          <w:p>
            <w:r>
              <w:t>Tier 2 - Internal Operations</w:t>
            </w:r>
          </w:p>
        </w:tc>
        <w:tc>
          <w:tcPr>
            <w:tcW w:type="dxa" w:w="2160"/>
          </w:tcPr>
          <w:p>
            <w:r>
              <w:t>Internal business systems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RTO: 4 hours, RPO: 1 hour</w:t>
            </w:r>
          </w:p>
        </w:tc>
      </w:tr>
      <w:tr>
        <w:tc>
          <w:tcPr>
            <w:tcW w:type="dxa" w:w="2160"/>
          </w:tcPr>
          <w:p>
            <w:r>
              <w:t>Tier 3 - Non-Critical</w:t>
            </w:r>
          </w:p>
        </w:tc>
        <w:tc>
          <w:tcPr>
            <w:tcW w:type="dxa" w:w="2160"/>
          </w:tcPr>
          <w:p>
            <w:r>
              <w:t>Development/test systems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RTO: 24 hours, RPO: 4 hours</w:t>
            </w:r>
          </w:p>
        </w:tc>
      </w:tr>
    </w:tbl>
    <w:p>
      <w:r>
        <w:br w:type="page"/>
      </w:r>
    </w:p>
    <w:p>
      <w:pPr>
        <w:pStyle w:val="Heading2"/>
      </w:pPr>
      <w:r>
        <w:t>5.4 Single Point of Failure Analysis</w:t>
      </w:r>
    </w:p>
    <w:p>
      <w:r>
        <w:t>Identified single points of failure requiring redundancy and segmentation: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Tier</w:t>
            </w:r>
          </w:p>
        </w:tc>
        <w:tc>
          <w:tcPr>
            <w:tcW w:type="dxa" w:w="2160"/>
          </w:tcPr>
          <w:p>
            <w:r>
              <w:t>Server Count</w:t>
            </w:r>
          </w:p>
        </w:tc>
        <w:tc>
          <w:tcPr>
            <w:tcW w:type="dxa" w:w="2160"/>
          </w:tcPr>
          <w:p>
            <w:r>
              <w:t>SPOF Risk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</w:tr>
      <w:tr>
        <w:tc>
          <w:tcPr>
            <w:tcW w:type="dxa" w:w="2160"/>
          </w:tcPr>
          <w:p>
            <w:r>
              <w:t>App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Verify load balancer configuration</w:t>
            </w:r>
          </w:p>
        </w:tc>
      </w:tr>
      <w:tr>
        <w:tc>
          <w:tcPr>
            <w:tcW w:type="dxa" w:w="2160"/>
          </w:tcPr>
          <w:p>
            <w:r>
              <w:t>Database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Verify load balancer configuration</w:t>
            </w:r>
          </w:p>
        </w:tc>
      </w:tr>
      <w:tr>
        <w:tc>
          <w:tcPr>
            <w:tcW w:type="dxa" w:w="2160"/>
          </w:tcPr>
          <w:p>
            <w:r>
              <w:t>Web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Verify load balancer configuration</w:t>
            </w:r>
          </w:p>
        </w:tc>
      </w:tr>
    </w:tbl>
    <w:p>
      <w:r>
        <w:br w:type="page"/>
      </w:r>
    </w:p>
    <w:p>
      <w:pPr>
        <w:pStyle w:val="Heading2"/>
      </w:pPr>
      <w:r>
        <w:t>5.5 Compliance-Based Segmentation</w:t>
      </w:r>
    </w:p>
    <w:p>
      <w:r>
        <w:t>Segmentation strategies aligned with regulatory compliance requirements:</w:t>
      </w:r>
    </w:p>
    <w:p>
      <w:r>
        <w:rPr>
          <w:b/>
        </w:rPr>
        <w:t>PCI-DSS - Payment Card Data</w:t>
      </w:r>
    </w:p>
    <w:p>
      <w:pPr>
        <w:pStyle w:val="ListBullet"/>
      </w:pPr>
      <w:r>
        <w:t>Requirements: Segment cardholder data environment (CDE) from rest of network, implement strong access controls</w:t>
      </w:r>
    </w:p>
    <w:p/>
    <w:p>
      <w:r>
        <w:rPr>
          <w:b/>
        </w:rPr>
        <w:t>HIPAA - Healthcare Data</w:t>
      </w:r>
    </w:p>
    <w:p>
      <w:pPr>
        <w:pStyle w:val="ListBullet"/>
      </w:pPr>
      <w:r>
        <w:t>Requirements: Segregate PHI systems, implement audit logging, encrypt data in transit and at rest</w:t>
      </w:r>
    </w:p>
    <w:p/>
    <w:p>
      <w:r>
        <w:rPr>
          <w:b/>
        </w:rPr>
        <w:t>SOX - Financial Systems</w:t>
      </w:r>
    </w:p>
    <w:p>
      <w:pPr>
        <w:pStyle w:val="ListBullet"/>
      </w:pPr>
      <w:r>
        <w:t>Requirements: Separate financial reporting systems, implement change controls and audit trails</w:t>
      </w:r>
    </w:p>
    <w:p/>
    <w:p>
      <w:r>
        <w:rPr>
          <w:b/>
        </w:rPr>
        <w:t>GDPR - EU Personal Data</w:t>
      </w:r>
    </w:p>
    <w:p>
      <w:pPr>
        <w:pStyle w:val="ListBullet"/>
      </w:pPr>
      <w:r>
        <w:t>Requirements: Data residency controls, right to deletion capabilities, breach notification systems</w:t>
      </w:r>
    </w:p>
    <w:p/>
    <w:p>
      <w:r>
        <w:rPr>
          <w:b/>
        </w:rPr>
        <w:t>NIST 800-53 - Federal Systems</w:t>
      </w:r>
    </w:p>
    <w:p>
      <w:pPr>
        <w:pStyle w:val="ListBullet"/>
      </w:pPr>
      <w:r>
        <w:t>Requirements: Boundary protection, least privilege access, continuous monitoring</w:t>
      </w:r>
    </w:p>
    <w:p/>
    <w:p>
      <w:r>
        <w:br w:type="page"/>
      </w:r>
    </w:p>
    <w:p>
      <w:pPr>
        <w:pStyle w:val="Heading2"/>
      </w:pPr>
      <w:r>
        <w:t>5.6 Micro-Segmentation Recommendations</w:t>
      </w:r>
    </w:p>
    <w:p>
      <w:r>
        <w:t>Detailed micro-segmentation strategies for enhanced security:</w:t>
      </w:r>
    </w:p>
    <w:p>
      <w:pPr>
        <w:pStyle w:val="ListNumber"/>
      </w:pPr>
      <w:r>
        <w:t>Application-Level Segmentation</w:t>
      </w:r>
    </w:p>
    <w:p>
      <w:r>
        <w:t xml:space="preserve">   Isolate each application into its own VLAN/subnet</w:t>
      </w:r>
    </w:p>
    <w:p>
      <w:pPr>
        <w:pStyle w:val="ListNumber"/>
      </w:pPr>
      <w:r>
        <w:t>Process-Level Segmentation</w:t>
      </w:r>
    </w:p>
    <w:p>
      <w:r>
        <w:t xml:space="preserve">   Use containers/namespaces to isolate individual processes</w:t>
      </w:r>
    </w:p>
    <w:p>
      <w:pPr>
        <w:pStyle w:val="ListNumber"/>
      </w:pPr>
      <w:r>
        <w:t>User-Based Segmentation</w:t>
      </w:r>
    </w:p>
    <w:p>
      <w:r>
        <w:t xml:space="preserve">   Segment based on user roles (admin, developer, end-user)</w:t>
      </w:r>
    </w:p>
    <w:p>
      <w:pPr>
        <w:pStyle w:val="ListNumber"/>
      </w:pPr>
      <w:r>
        <w:t>Time-Based Segmentation</w:t>
      </w:r>
    </w:p>
    <w:p>
      <w:r>
        <w:t xml:space="preserve">   Restrict access during off-hours, maintenance windows</w:t>
      </w:r>
    </w:p>
    <w:p>
      <w:pPr>
        <w:pStyle w:val="ListNumber"/>
      </w:pPr>
      <w:r>
        <w:t>Geo-Based Segmentation</w:t>
      </w:r>
    </w:p>
    <w:p>
      <w:r>
        <w:t xml:space="preserve">   Segment based on geographic location, data residency</w:t>
      </w:r>
    </w:p>
    <w:p>
      <w:pPr>
        <w:pStyle w:val="ListNumber"/>
      </w:pPr>
      <w:r>
        <w:t>Device-Based Segmentation</w:t>
      </w:r>
    </w:p>
    <w:p>
      <w:r>
        <w:t xml:space="preserve">   Separate mobile, desktop, server, IoT devices</w:t>
      </w:r>
    </w:p>
    <w:p>
      <w:pPr>
        <w:pStyle w:val="ListNumber"/>
      </w:pPr>
      <w:r>
        <w:t>Zero Trust Segmentation</w:t>
      </w:r>
    </w:p>
    <w:p>
      <w:r>
        <w:t xml:space="preserve">   Implement identity-based, least-privilege micro-perimeters</w:t>
      </w:r>
    </w:p>
    <w:p>
      <w:r>
        <w:br w:type="page"/>
      </w:r>
    </w:p>
    <w:p>
      <w:pPr>
        <w:pStyle w:val="Heading1"/>
      </w:pPr>
      <w:r>
        <w:rPr>
          <w:color w:val="1A5298"/>
        </w:rPr>
        <w:t>Remediation Recommendations</w:t>
      </w:r>
    </w:p>
    <w:p>
      <w:pPr>
        <w:pStyle w:val="Heading2"/>
      </w:pPr>
      <w:r>
        <w:t>Priority 1 - Immediate Actions</w:t>
      </w:r>
    </w:p>
    <w:p>
      <w:pPr>
        <w:pStyle w:val="ListNumber"/>
      </w:pPr>
      <w:r>
        <w:t>1. Block all direct Web-to-Database connections</w:t>
      </w:r>
    </w:p>
    <w:p>
      <w:pPr>
        <w:pStyle w:val="ListNumber"/>
      </w:pPr>
      <w:r>
        <w:t>2. Implement network-based intrusion detection (IDS/IPS)</w:t>
      </w:r>
    </w:p>
    <w:p>
      <w:pPr>
        <w:pStyle w:val="ListNumber"/>
      </w:pPr>
      <w:r>
        <w:t>3. Enable logging on all firewall rules and network flows</w:t>
      </w:r>
    </w:p>
    <w:p>
      <w:pPr>
        <w:pStyle w:val="Heading2"/>
      </w:pPr>
      <w:r>
        <w:t>Priority 2 - Short Term (30 days)</w:t>
      </w:r>
    </w:p>
    <w:p>
      <w:pPr>
        <w:pStyle w:val="ListNumber"/>
      </w:pPr>
      <w:r>
        <w:t>1. Deploy micro-segmentation for database tier</w:t>
      </w:r>
    </w:p>
    <w:p>
      <w:pPr>
        <w:pStyle w:val="ListNumber"/>
      </w:pPr>
      <w:r>
        <w:t>2. Implement application-aware firewall rules</w:t>
      </w:r>
    </w:p>
    <w:p>
      <w:pPr>
        <w:pStyle w:val="ListNumber"/>
      </w:pPr>
      <w:r>
        <w:t>3. Conduct penetration testing on attack paths</w:t>
      </w:r>
    </w:p>
    <w:p>
      <w:pPr>
        <w:pStyle w:val="Heading2"/>
      </w:pPr>
      <w:r>
        <w:t>Priority 3 - Long Term (90 days)</w:t>
      </w:r>
    </w:p>
    <w:p>
      <w:pPr>
        <w:pStyle w:val="ListNumber"/>
      </w:pPr>
      <w:r>
        <w:t>1. Migrate to Zero Trust Architecture</w:t>
      </w:r>
    </w:p>
    <w:p>
      <w:pPr>
        <w:pStyle w:val="ListNumber"/>
      </w:pPr>
      <w:r>
        <w:t>2. Implement Software-Defined Perimeter (SDP)</w:t>
      </w:r>
    </w:p>
    <w:p>
      <w:pPr>
        <w:pStyle w:val="ListNumber"/>
      </w:pPr>
      <w:r>
        <w:t>3. Deploy behavioral analytics and anomaly detection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