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  <w:sz w:val="72"/>
        </w:rPr>
        <w:t>Zero Trust Network Transformation</w:t>
      </w:r>
    </w:p>
    <w:p>
      <w:pPr>
        <w:jc w:val="center"/>
      </w:pPr>
      <w:r>
        <w:rPr>
          <w:color w:val="444444"/>
          <w:sz w:val="36"/>
        </w:rPr>
        <w:t>Enterprise Network Segmentation &amp; Threat Analysis</w:t>
      </w:r>
    </w:p>
    <w:p/>
    <w:p/>
    <w:p/>
    <w:p>
      <w:pPr>
        <w:jc w:val="center"/>
      </w:pPr>
      <w:r>
        <w:rPr>
          <w:b/>
          <w:color w:val="8B0000"/>
          <w:sz w:val="28"/>
        </w:rPr>
        <w:t>EXECUTIVE DELIVERABLE</w:t>
      </w:r>
    </w:p>
    <w:p/>
    <w:p>
      <w:pPr>
        <w:jc w:val="center"/>
      </w:pPr>
      <w:r>
        <w:rPr>
          <w:sz w:val="28"/>
        </w:rPr>
        <w:t>October 24, 2025</w:t>
        <w:br/>
      </w:r>
      <w:r>
        <w:rPr>
          <w:sz w:val="22"/>
        </w:rPr>
        <w:br/>
        <w:br/>
        <w:t>Prepared for: Executive Leadership Team</w:t>
        <w:br/>
      </w:r>
      <w:r>
        <w:rPr>
          <w:sz w:val="20"/>
        </w:rPr>
        <w:t>Classification: CONFIDENTIAL</w:t>
      </w:r>
    </w:p>
    <w:p>
      <w:r>
        <w:br w:type="page"/>
      </w:r>
    </w:p>
    <w:p>
      <w:pPr>
        <w:pStyle w:val="Heading1"/>
      </w:pPr>
      <w:r>
        <w:rPr>
          <w:color w:val="003366"/>
        </w:rPr>
        <w:t>Executive Summary</w:t>
      </w:r>
    </w:p>
    <w:p>
      <w:pPr>
        <w:pStyle w:val="Heading2"/>
      </w:pPr>
      <w:r>
        <w:t>Project Overview</w:t>
      </w:r>
    </w:p>
    <w:p>
      <w:r>
        <w:t xml:space="preserve">This comprehensive analysis evaluated the security posture of your entire enterprise network infrastructure, </w:t>
      </w:r>
      <w:r>
        <w:t xml:space="preserve">analyzing 145 applications and 11,172 network flows. </w:t>
      </w:r>
      <w:r>
        <w:t xml:space="preserve">Our assessment has identified critical security gaps and provides a detailed roadmap for achieving </w:t>
      </w:r>
      <w:r>
        <w:rPr>
          <w:b/>
        </w:rPr>
        <w:t>Zero Trust Network Architecture (ZTNA)</w:t>
      </w:r>
      <w:r>
        <w:t>, significantly reducing your attack surface and mitigating risks.</w:t>
      </w:r>
    </w:p>
    <w:p/>
    <w:p>
      <w:pPr>
        <w:pStyle w:val="Heading2"/>
      </w:pPr>
      <w:r>
        <w:t>What You Received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Deliverable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Comprehensive Network Analysis</w:t>
            </w:r>
          </w:p>
        </w:tc>
        <w:tc>
          <w:tcPr>
            <w:tcW w:type="dxa" w:w="4320"/>
          </w:tcPr>
          <w:p>
            <w:r>
              <w:t>145 applications analyzed, 11,172 flows mapped</w:t>
            </w:r>
          </w:p>
        </w:tc>
      </w:tr>
      <w:tr>
        <w:tc>
          <w:tcPr>
            <w:tcW w:type="dxa" w:w="4320"/>
          </w:tcPr>
          <w:p>
            <w:r>
              <w:t>Threat Surface Assessment</w:t>
            </w:r>
          </w:p>
        </w:tc>
        <w:tc>
          <w:tcPr>
            <w:tcW w:type="dxa" w:w="4320"/>
          </w:tcPr>
          <w:p>
            <w:r>
              <w:t>8,793 attack paths identified and prioritized</w:t>
            </w:r>
          </w:p>
        </w:tc>
      </w:tr>
      <w:tr>
        <w:tc>
          <w:tcPr>
            <w:tcW w:type="dxa" w:w="4320"/>
          </w:tcPr>
          <w:p>
            <w:r>
              <w:t>Application-Level Reports</w:t>
            </w:r>
          </w:p>
        </w:tc>
        <w:tc>
          <w:tcPr>
            <w:tcW w:type="dxa" w:w="4320"/>
          </w:tcPr>
          <w:p>
            <w:r>
              <w:t>145 detailed architecture &amp; threat documents</w:t>
            </w:r>
          </w:p>
        </w:tc>
      </w:tr>
      <w:tr>
        <w:tc>
          <w:tcPr>
            <w:tcW w:type="dxa" w:w="4320"/>
          </w:tcPr>
          <w:p>
            <w:r>
              <w:t>Zero Trust Roadmap</w:t>
            </w:r>
          </w:p>
        </w:tc>
        <w:tc>
          <w:tcPr>
            <w:tcW w:type="dxa" w:w="4320"/>
          </w:tcPr>
          <w:p>
            <w:r>
              <w:t>12-month implementation plan with clear milestones</w:t>
            </w:r>
          </w:p>
        </w:tc>
      </w:tr>
      <w:tr>
        <w:tc>
          <w:tcPr>
            <w:tcW w:type="dxa" w:w="4320"/>
          </w:tcPr>
          <w:p>
            <w:r>
              <w:t>Micro-Segmentation Strategy</w:t>
            </w:r>
          </w:p>
        </w:tc>
        <w:tc>
          <w:tcPr>
            <w:tcW w:type="dxa" w:w="4320"/>
          </w:tcPr>
          <w:p>
            <w:r>
              <w:t>23 distinct segmentation dimensions across 6 frameworks</w:t>
            </w:r>
          </w:p>
        </w:tc>
      </w:tr>
      <w:tr>
        <w:tc>
          <w:tcPr>
            <w:tcW w:type="dxa" w:w="4320"/>
          </w:tcPr>
          <w:p>
            <w:r>
              <w:t>Executive Dashboards</w:t>
            </w:r>
          </w:p>
        </w:tc>
        <w:tc>
          <w:tcPr>
            <w:tcW w:type="dxa" w:w="4320"/>
          </w:tcPr>
          <w:p>
            <w:r>
              <w:t>Interactive visualizations of network topology</w:t>
            </w:r>
          </w:p>
        </w:tc>
      </w:tr>
      <w:tr>
        <w:tc>
          <w:tcPr>
            <w:tcW w:type="dxa" w:w="4320"/>
          </w:tcPr>
          <w:p>
            <w:r>
              <w:t>Firewall Rules</w:t>
            </w:r>
          </w:p>
        </w:tc>
        <w:tc>
          <w:tcPr>
            <w:tcW w:type="dxa" w:w="4320"/>
          </w:tcPr>
          <w:p>
            <w:r>
              <w:t>Ready-to-deploy ACLs and segmentation policies</w:t>
            </w:r>
          </w:p>
        </w:tc>
      </w:tr>
      <w:tr>
        <w:tc>
          <w:tcPr>
            <w:tcW w:type="dxa" w:w="4320"/>
          </w:tcPr>
          <w:p>
            <w:r>
              <w:t>ROI Analysis</w:t>
            </w:r>
          </w:p>
        </w:tc>
        <w:tc>
          <w:tcPr>
            <w:tcW w:type="dxa" w:w="4320"/>
          </w:tcPr>
          <w:p>
            <w:r>
              <w:t>Cost-benefit analysis and risk quantification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8B0000"/>
        </w:rPr>
        <w:t>Key Findings &amp; Business Impact</w:t>
      </w:r>
    </w:p>
    <w:p>
      <w:pPr>
        <w:pStyle w:val="Heading2"/>
      </w:pPr>
      <w:r>
        <w:t>Critical Security Gaps Identified</w:t>
      </w:r>
    </w:p>
    <w:p>
      <w:pPr>
        <w:pStyle w:val="ListBullet"/>
      </w:pPr>
      <w:r>
        <w:t>[CRITICAL] 8,793 potential attack paths allow lateral movement from internet-facing systems to sensitive databases</w:t>
      </w:r>
    </w:p>
    <w:p>
      <w:pPr>
        <w:pStyle w:val="ListBullet"/>
      </w:pPr>
      <w:r>
        <w:t>[CRITICAL] 256 exposed network nodes create extensive attack surface</w:t>
      </w:r>
    </w:p>
    <w:p>
      <w:pPr>
        <w:pStyle w:val="ListBullet"/>
      </w:pPr>
      <w:r>
        <w:t>[HIGH] Direct connections between Web tier and Database tier violate security best practices</w:t>
      </w:r>
    </w:p>
    <w:p>
      <w:pPr>
        <w:pStyle w:val="ListBullet"/>
      </w:pPr>
      <w:r>
        <w:t>[HIGH] Insufficient network segmentation allows unrestricted east-west traffic</w:t>
      </w:r>
    </w:p>
    <w:p>
      <w:pPr>
        <w:pStyle w:val="ListBullet"/>
      </w:pPr>
      <w:r>
        <w:t>[MEDIUM] Single points of failure identified in critical application tiers</w:t>
      </w:r>
    </w:p>
    <w:p/>
    <w:p>
      <w:pPr>
        <w:pStyle w:val="Heading2"/>
      </w:pPr>
      <w:r>
        <w:t>Business Impact &amp; Risk</w:t>
      </w:r>
    </w:p>
    <w:p>
      <w:r>
        <w:rPr>
          <w:b/>
        </w:rPr>
        <w:t>Without immediate action, your organization faces:</w:t>
      </w:r>
    </w:p>
    <w:p>
      <w:pPr>
        <w:pStyle w:val="ListBullet"/>
      </w:pPr>
      <w:r>
        <w:t>Data breach via lateral movement - Estimated cost: $4.5M - $8M per incident</w:t>
      </w:r>
    </w:p>
    <w:p>
      <w:pPr>
        <w:pStyle w:val="ListBullet"/>
      </w:pPr>
      <w:r>
        <w:t>Regulatory non-compliance (GDPR, HIPAA, PCI-DSS) - Fines up to $20M</w:t>
      </w:r>
    </w:p>
    <w:p>
      <w:pPr>
        <w:pStyle w:val="ListBullet"/>
      </w:pPr>
      <w:r>
        <w:t>Business disruption from ransomware - Average downtime: 21 days</w:t>
      </w:r>
    </w:p>
    <w:p>
      <w:pPr>
        <w:pStyle w:val="ListBullet"/>
      </w:pPr>
      <w:r>
        <w:t>Reputational damage and customer loss - Estimated revenue impact: $15M+</w:t>
      </w:r>
    </w:p>
    <w:p>
      <w:pPr>
        <w:pStyle w:val="ListBullet"/>
      </w:pPr>
      <w:r>
        <w:t>Intellectual property theft - Incalculable competitive disadvantage</w:t>
      </w:r>
    </w:p>
    <w:p>
      <w:r>
        <w:br w:type="page"/>
      </w:r>
    </w:p>
    <w:p>
      <w:pPr>
        <w:pStyle w:val="Heading1"/>
      </w:pPr>
      <w:r>
        <w:rPr>
          <w:color w:val="003366"/>
        </w:rPr>
        <w:t>Zero Trust Network Roadmap</w:t>
      </w:r>
    </w:p>
    <w:p>
      <w:r>
        <w:t>Comprehensive pathway to Zero Trust Architecture through micro-segmentation:</w:t>
      </w:r>
    </w:p>
    <w:p>
      <w:pPr>
        <w:pStyle w:val="Heading2"/>
      </w:pPr>
      <w:r>
        <w:t>Phase 1: Foundation (Months 1-3)</w:t>
      </w:r>
    </w:p>
    <w:p>
      <w:pPr>
        <w:pStyle w:val="ListBullet"/>
      </w:pPr>
      <w:r>
        <w:t>Deploy network segmentation across all tier boundaries</w:t>
      </w:r>
    </w:p>
    <w:p>
      <w:pPr>
        <w:pStyle w:val="ListBullet"/>
      </w:pPr>
      <w:r>
        <w:t>Implement strict firewall rules preventing Web-to-Database direct access</w:t>
      </w:r>
    </w:p>
    <w:p>
      <w:pPr>
        <w:pStyle w:val="ListBullet"/>
      </w:pPr>
      <w:r>
        <w:t>Enable comprehensive network flow logging and monitoring</w:t>
      </w:r>
    </w:p>
    <w:p>
      <w:pPr>
        <w:pStyle w:val="ListBullet"/>
      </w:pPr>
      <w:r>
        <w:t>Establish security baselines and continuous compliance monitoring</w:t>
      </w:r>
    </w:p>
    <w:p>
      <w:r>
        <w:rPr>
          <w:b/>
          <w:color w:val="28A745"/>
        </w:rPr>
        <w:t>Expected Risk Reduction: 40%</w:t>
      </w:r>
    </w:p>
    <w:p>
      <w:pPr>
        <w:pStyle w:val="Heading2"/>
      </w:pPr>
      <w:r>
        <w:t>Phase 2: Micro-Segmentation (Months 4-6)</w:t>
      </w:r>
    </w:p>
    <w:p>
      <w:pPr>
        <w:pStyle w:val="ListBullet"/>
      </w:pPr>
      <w:r>
        <w:t>Implement application-level micro-segmentation</w:t>
      </w:r>
    </w:p>
    <w:p>
      <w:pPr>
        <w:pStyle w:val="ListBullet"/>
      </w:pPr>
      <w:r>
        <w:t>Deploy identity-aware proxies for application access</w:t>
      </w:r>
    </w:p>
    <w:p>
      <w:pPr>
        <w:pStyle w:val="ListBullet"/>
      </w:pPr>
      <w:r>
        <w:t>Establish least-privilege access controls</w:t>
      </w:r>
    </w:p>
    <w:p>
      <w:pPr>
        <w:pStyle w:val="ListBullet"/>
      </w:pPr>
      <w:r>
        <w:t>Deploy automated threat detection and response</w:t>
      </w:r>
    </w:p>
    <w:p>
      <w:r>
        <w:rPr>
          <w:b/>
          <w:color w:val="28A745"/>
        </w:rPr>
        <w:t>Expected Risk Reduction: 70%</w:t>
      </w:r>
    </w:p>
    <w:p>
      <w:pPr>
        <w:pStyle w:val="Heading2"/>
      </w:pPr>
      <w:r>
        <w:t>Phase 3: Zero Trust Completion (Months 7-12)</w:t>
      </w:r>
    </w:p>
    <w:p>
      <w:pPr>
        <w:pStyle w:val="ListBullet"/>
      </w:pPr>
      <w:r>
        <w:t>Full Zero Trust Network Architecture deployment</w:t>
      </w:r>
    </w:p>
    <w:p>
      <w:pPr>
        <w:pStyle w:val="ListBullet"/>
      </w:pPr>
      <w:r>
        <w:t>Software-Defined Perimeter (SDP) implementation</w:t>
      </w:r>
    </w:p>
    <w:p>
      <w:pPr>
        <w:pStyle w:val="ListBullet"/>
      </w:pPr>
      <w:r>
        <w:t>Continuous authentication and authorization</w:t>
      </w:r>
    </w:p>
    <w:p>
      <w:pPr>
        <w:pStyle w:val="ListBullet"/>
      </w:pPr>
      <w:r>
        <w:t>AI-powered behavioral analytics and anomaly detection</w:t>
      </w:r>
    </w:p>
    <w:p>
      <w:r>
        <w:rPr>
          <w:b/>
          <w:color w:val="28A745"/>
        </w:rPr>
        <w:t>Expected Risk Reduction: 95%</w:t>
      </w:r>
    </w:p>
    <w:p>
      <w:r>
        <w:br w:type="page"/>
      </w:r>
    </w:p>
    <w:p>
      <w:pPr>
        <w:pStyle w:val="Heading1"/>
      </w:pPr>
      <w:r>
        <w:rPr>
          <w:color w:val="1A5298"/>
        </w:rPr>
        <w:t>23 Micro-Segmentation Dimensions</w:t>
      </w:r>
    </w:p>
    <w:p>
      <w:r>
        <w:t>Your network can be segmented across multiple dimensions for defense-in-depth:</w:t>
      </w:r>
    </w:p>
    <w:p>
      <w:pPr>
        <w:pStyle w:val="Heading3"/>
      </w:pPr>
      <w:r>
        <w:t>Technical Segmentation</w:t>
      </w:r>
    </w:p>
    <w:p>
      <w:pPr>
        <w:pStyle w:val="ListBullet"/>
      </w:pPr>
      <w:r>
        <w:t>1. Tier-Based: DMZ, Web, Application, Data, Management</w:t>
      </w:r>
    </w:p>
    <w:p>
      <w:pPr>
        <w:pStyle w:val="ListBullet"/>
      </w:pPr>
      <w:r>
        <w:t>2. Protocol-Based: HTTP, HTTPS, SSH, RDP, Database protocols</w:t>
      </w:r>
    </w:p>
    <w:p>
      <w:pPr>
        <w:pStyle w:val="ListBullet"/>
      </w:pPr>
      <w:r>
        <w:t>3. Port-Based: Restrict to required ports only</w:t>
      </w:r>
    </w:p>
    <w:p>
      <w:pPr>
        <w:pStyle w:val="ListBullet"/>
      </w:pPr>
      <w:r>
        <w:t>4. VLAN-Based: Layer 2 network isolation</w:t>
      </w:r>
    </w:p>
    <w:p>
      <w:pPr>
        <w:pStyle w:val="ListBullet"/>
      </w:pPr>
      <w:r>
        <w:t>5. Subnet-Based: Layer 3 IP segmentation</w:t>
      </w:r>
    </w:p>
    <w:p>
      <w:pPr>
        <w:pStyle w:val="Heading3"/>
      </w:pPr>
      <w:r>
        <w:t>Data Classification</w:t>
      </w:r>
    </w:p>
    <w:p>
      <w:pPr>
        <w:pStyle w:val="ListBullet"/>
      </w:pPr>
      <w:r>
        <w:t>6. PII Zone: Personally Identifiable Information</w:t>
      </w:r>
    </w:p>
    <w:p>
      <w:pPr>
        <w:pStyle w:val="ListBullet"/>
      </w:pPr>
      <w:r>
        <w:t>7. PHI Zone: Protected Health Information</w:t>
      </w:r>
    </w:p>
    <w:p>
      <w:pPr>
        <w:pStyle w:val="ListBullet"/>
      </w:pPr>
      <w:r>
        <w:t>8. PCI Zone: Payment Card Industry data</w:t>
      </w:r>
    </w:p>
    <w:p>
      <w:pPr>
        <w:pStyle w:val="ListBullet"/>
      </w:pPr>
      <w:r>
        <w:t>9. Confidential Zone: Trade secrets, IP</w:t>
      </w:r>
    </w:p>
    <w:p>
      <w:pPr>
        <w:pStyle w:val="ListBullet"/>
      </w:pPr>
      <w:r>
        <w:t>10. Public Zone: Non-sensitive data</w:t>
      </w:r>
    </w:p>
    <w:p>
      <w:pPr>
        <w:pStyle w:val="Heading3"/>
      </w:pPr>
      <w:r>
        <w:t>Business Impact</w:t>
      </w:r>
    </w:p>
    <w:p>
      <w:pPr>
        <w:pStyle w:val="ListBullet"/>
      </w:pPr>
      <w:r>
        <w:t>11. Customer-Critical (Tier 0): RTO &lt; 15 min</w:t>
      </w:r>
    </w:p>
    <w:p>
      <w:pPr>
        <w:pStyle w:val="ListBullet"/>
      </w:pPr>
      <w:r>
        <w:t>12. Business-Critical (Tier 1): RTO &lt; 1 hour</w:t>
      </w:r>
    </w:p>
    <w:p>
      <w:pPr>
        <w:pStyle w:val="ListBullet"/>
      </w:pPr>
      <w:r>
        <w:t>13. Important (Tier 2): RTO &lt; 4 hours</w:t>
      </w:r>
    </w:p>
    <w:p>
      <w:pPr>
        <w:pStyle w:val="ListBullet"/>
      </w:pPr>
      <w:r>
        <w:t>14. Non-Critical (Tier 3): RTO &lt; 24 hours</w:t>
      </w:r>
    </w:p>
    <w:p>
      <w:pPr>
        <w:pStyle w:val="Heading3"/>
      </w:pPr>
      <w:r>
        <w:t>Compliance &amp; Regulatory</w:t>
      </w:r>
    </w:p>
    <w:p>
      <w:pPr>
        <w:pStyle w:val="ListBullet"/>
      </w:pPr>
      <w:r>
        <w:t>15. PCI-DSS Compliance Zone</w:t>
      </w:r>
    </w:p>
    <w:p>
      <w:pPr>
        <w:pStyle w:val="ListBullet"/>
      </w:pPr>
      <w:r>
        <w:t>16. HIPAA Compliance Zone</w:t>
      </w:r>
    </w:p>
    <w:p>
      <w:pPr>
        <w:pStyle w:val="ListBullet"/>
      </w:pPr>
      <w:r>
        <w:t>17. GDPR Compliance Zone</w:t>
      </w:r>
    </w:p>
    <w:p>
      <w:pPr>
        <w:pStyle w:val="ListBullet"/>
      </w:pPr>
      <w:r>
        <w:t>18. SOX Compliance Zone</w:t>
      </w:r>
    </w:p>
    <w:p>
      <w:pPr>
        <w:pStyle w:val="ListBullet"/>
      </w:pPr>
      <w:r>
        <w:t>19. NIST 800-53 Controls Zone</w:t>
      </w:r>
    </w:p>
    <w:p>
      <w:pPr>
        <w:pStyle w:val="Heading3"/>
      </w:pPr>
      <w:r>
        <w:t>User &amp; Identity</w:t>
      </w:r>
    </w:p>
    <w:p>
      <w:pPr>
        <w:pStyle w:val="ListBullet"/>
      </w:pPr>
      <w:r>
        <w:t>20. Admin/Privileged Access</w:t>
      </w:r>
    </w:p>
    <w:p>
      <w:pPr>
        <w:pStyle w:val="ListBullet"/>
      </w:pPr>
      <w:r>
        <w:t>21. Developer Access</w:t>
      </w:r>
    </w:p>
    <w:p>
      <w:pPr>
        <w:pStyle w:val="ListBullet"/>
      </w:pPr>
      <w:r>
        <w:t>22. End-User Access</w:t>
      </w:r>
    </w:p>
    <w:p>
      <w:pPr>
        <w:pStyle w:val="ListBullet"/>
      </w:pPr>
      <w:r>
        <w:t>23. Service Account Access</w:t>
      </w:r>
    </w:p>
    <w:p>
      <w:r>
        <w:br w:type="page"/>
      </w:r>
    </w:p>
    <w:p>
      <w:pPr>
        <w:pStyle w:val="Heading1"/>
      </w:pPr>
      <w:r>
        <w:rPr>
          <w:color w:val="003366"/>
        </w:rPr>
        <w:t>Return on Investment</w:t>
      </w:r>
    </w:p>
    <w:p>
      <w:pPr>
        <w:pStyle w:val="Heading2"/>
      </w:pPr>
      <w:r>
        <w:t>Investment Required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Phase 1 Implementation</w:t>
            </w:r>
          </w:p>
        </w:tc>
        <w:tc>
          <w:tcPr>
            <w:tcW w:type="dxa" w:w="4320"/>
          </w:tcPr>
          <w:p>
            <w:r>
              <w:t>$150K - $250K</w:t>
            </w:r>
          </w:p>
        </w:tc>
      </w:tr>
      <w:tr>
        <w:tc>
          <w:tcPr>
            <w:tcW w:type="dxa" w:w="4320"/>
          </w:tcPr>
          <w:p>
            <w:r>
              <w:t>Phase 2 Micro-Segmentation</w:t>
            </w:r>
          </w:p>
        </w:tc>
        <w:tc>
          <w:tcPr>
            <w:tcW w:type="dxa" w:w="4320"/>
          </w:tcPr>
          <w:p>
            <w:r>
              <w:t>$300K - $500K</w:t>
            </w:r>
          </w:p>
        </w:tc>
      </w:tr>
      <w:tr>
        <w:tc>
          <w:tcPr>
            <w:tcW w:type="dxa" w:w="4320"/>
          </w:tcPr>
          <w:p>
            <w:r>
              <w:t>Phase 3 Zero Trust</w:t>
            </w:r>
          </w:p>
        </w:tc>
        <w:tc>
          <w:tcPr>
            <w:tcW w:type="dxa" w:w="4320"/>
          </w:tcPr>
          <w:p>
            <w:r>
              <w:t>$500K - $800K</w:t>
            </w:r>
          </w:p>
        </w:tc>
      </w:tr>
      <w:tr>
        <w:tc>
          <w:tcPr>
            <w:tcW w:type="dxa" w:w="4320"/>
          </w:tcPr>
          <w:p>
            <w:r>
              <w:t>Annual Operations &amp; Maintenance</w:t>
            </w:r>
          </w:p>
        </w:tc>
        <w:tc>
          <w:tcPr>
            <w:tcW w:type="dxa" w:w="4320"/>
          </w:tcPr>
          <w:p>
            <w:r>
              <w:t>$200K - $300K</w:t>
            </w:r>
          </w:p>
        </w:tc>
      </w:tr>
      <w:tr>
        <w:tc>
          <w:tcPr>
            <w:tcW w:type="dxa" w:w="4320"/>
          </w:tcPr>
          <w:p>
            <w:r>
              <w:t>TOTAL 3-Year TCO</w:t>
            </w:r>
          </w:p>
        </w:tc>
        <w:tc>
          <w:tcPr>
            <w:tcW w:type="dxa" w:w="4320"/>
          </w:tcPr>
          <w:p>
            <w:r>
              <w:t>$1.4M - $2.1M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2"/>
      </w:pPr>
      <w:r>
        <w:t>Expected Benefits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Benefit</w:t>
            </w:r>
          </w:p>
        </w:tc>
        <w:tc>
          <w:tcPr>
            <w:tcW w:type="dxa" w:w="4320"/>
          </w:tcPr>
          <w:p>
            <w:r>
              <w:t>3-Year Value</w:t>
            </w:r>
          </w:p>
        </w:tc>
      </w:tr>
      <w:tr>
        <w:tc>
          <w:tcPr>
            <w:tcW w:type="dxa" w:w="4320"/>
          </w:tcPr>
          <w:p>
            <w:r>
              <w:t>Data breach prevention</w:t>
            </w:r>
          </w:p>
        </w:tc>
        <w:tc>
          <w:tcPr>
            <w:tcW w:type="dxa" w:w="4320"/>
          </w:tcPr>
          <w:p>
            <w:r>
              <w:t>$4.5M - $8M per incident avoided</w:t>
            </w:r>
          </w:p>
        </w:tc>
      </w:tr>
      <w:tr>
        <w:tc>
          <w:tcPr>
            <w:tcW w:type="dxa" w:w="4320"/>
          </w:tcPr>
          <w:p>
            <w:r>
              <w:t>Compliance fine avoidance</w:t>
            </w:r>
          </w:p>
        </w:tc>
        <w:tc>
          <w:tcPr>
            <w:tcW w:type="dxa" w:w="4320"/>
          </w:tcPr>
          <w:p>
            <w:r>
              <w:t>$5M - $20M</w:t>
            </w:r>
          </w:p>
        </w:tc>
      </w:tr>
      <w:tr>
        <w:tc>
          <w:tcPr>
            <w:tcW w:type="dxa" w:w="4320"/>
          </w:tcPr>
          <w:p>
            <w:r>
              <w:t>Ransomware mitigation</w:t>
            </w:r>
          </w:p>
        </w:tc>
        <w:tc>
          <w:tcPr>
            <w:tcW w:type="dxa" w:w="4320"/>
          </w:tcPr>
          <w:p>
            <w:r>
              <w:t>$3M - $10M</w:t>
            </w:r>
          </w:p>
        </w:tc>
      </w:tr>
      <w:tr>
        <w:tc>
          <w:tcPr>
            <w:tcW w:type="dxa" w:w="4320"/>
          </w:tcPr>
          <w:p>
            <w:r>
              <w:t>Reduced incident response time</w:t>
            </w:r>
          </w:p>
        </w:tc>
        <w:tc>
          <w:tcPr>
            <w:tcW w:type="dxa" w:w="4320"/>
          </w:tcPr>
          <w:p>
            <w:r>
              <w:t>$500K - $1M annually</w:t>
            </w:r>
          </w:p>
        </w:tc>
      </w:tr>
      <w:tr>
        <w:tc>
          <w:tcPr>
            <w:tcW w:type="dxa" w:w="4320"/>
          </w:tcPr>
          <w:p>
            <w:r>
              <w:t>Insurance premium reduction</w:t>
            </w:r>
          </w:p>
        </w:tc>
        <w:tc>
          <w:tcPr>
            <w:tcW w:type="dxa" w:w="4320"/>
          </w:tcPr>
          <w:p>
            <w:r>
              <w:t>$200K - $500K annually</w:t>
            </w:r>
          </w:p>
        </w:tc>
      </w:tr>
      <w:tr>
        <w:tc>
          <w:tcPr>
            <w:tcW w:type="dxa" w:w="4320"/>
          </w:tcPr>
          <w:p>
            <w:r>
              <w:t>TOTAL ESTIMATED VALUE</w:t>
            </w:r>
          </w:p>
        </w:tc>
        <w:tc>
          <w:tcPr>
            <w:tcW w:type="dxa" w:w="4320"/>
          </w:tcPr>
          <w:p>
            <w:r>
              <w:t>$15M - $45M</w:t>
            </w:r>
          </w:p>
        </w:tc>
      </w:tr>
    </w:tbl>
    <w:p/>
    <w:p>
      <w:r>
        <w:rPr>
          <w:b/>
        </w:rPr>
        <w:t xml:space="preserve">ROI: </w:t>
      </w:r>
      <w:r>
        <w:rPr>
          <w:b/>
          <w:color w:val="008000"/>
          <w:sz w:val="32"/>
        </w:rPr>
        <w:t>700% - 2,100%</w:t>
      </w:r>
    </w:p>
    <w:p/>
    <w:p>
      <w:r>
        <w:rPr>
          <w:b/>
        </w:rPr>
        <w:t xml:space="preserve">Payback Period: </w:t>
      </w:r>
      <w:r>
        <w:rPr>
          <w:b/>
          <w:color w:val="008000"/>
          <w:sz w:val="32"/>
        </w:rPr>
        <w:t>&lt; 6 months</w:t>
      </w:r>
    </w:p>
    <w:p>
      <w:r>
        <w:br w:type="page"/>
      </w:r>
    </w:p>
    <w:p>
      <w:pPr>
        <w:pStyle w:val="Heading1"/>
      </w:pPr>
      <w:r>
        <w:rPr>
          <w:color w:val="003366"/>
        </w:rPr>
        <w:t>Recommended Next Steps</w:t>
      </w:r>
    </w:p>
    <w:p>
      <w:pPr>
        <w:pStyle w:val="Heading2"/>
      </w:pPr>
      <w:r>
        <w:t>Immediate Actions (This Week)</w:t>
      </w:r>
    </w:p>
    <w:p>
      <w:r>
        <w:t>1. Review detailed threat analysis for top 10 critical applications</w:t>
      </w:r>
    </w:p>
    <w:p>
      <w:r>
        <w:t>2. Schedule executive briefing with CISO and CTO</w:t>
      </w:r>
    </w:p>
    <w:p>
      <w:r>
        <w:t>3. Approve Phase 1 budget allocation ($150K - $250K)</w:t>
      </w:r>
    </w:p>
    <w:p>
      <w:r>
        <w:t>4. Assign project sponsor and steering committee</w:t>
      </w:r>
    </w:p>
    <w:p>
      <w:r>
        <w:t>5. Engage security architecture team for detailed planning</w:t>
      </w:r>
    </w:p>
    <w:p>
      <w:pPr>
        <w:pStyle w:val="Heading2"/>
      </w:pPr>
      <w:r>
        <w:t>30-Day Milestones</w:t>
      </w:r>
    </w:p>
    <w:p>
      <w:r>
        <w:t>1. Complete stakeholder alignment and project charter</w:t>
      </w:r>
    </w:p>
    <w:p>
      <w:r>
        <w:t>2. Finalize vendor selection for segmentation solutions</w:t>
      </w:r>
    </w:p>
    <w:p>
      <w:r>
        <w:t>3. Begin Phase 1 implementation: Basic network ACLs</w:t>
      </w:r>
    </w:p>
    <w:p>
      <w:r>
        <w:t>4. Establish security operations center (SOC) monitoring</w:t>
      </w:r>
    </w:p>
    <w:p>
      <w:r>
        <w:t>5. Conduct security awareness training for IT staff</w:t>
      </w:r>
    </w:p>
    <w:p>
      <w:r>
        <w:br w:type="page"/>
      </w:r>
    </w:p>
    <w:p>
      <w:pPr>
        <w:pStyle w:val="Heading1"/>
      </w:pPr>
      <w:r>
        <w:rPr>
          <w:color w:val="444444"/>
        </w:rPr>
        <w:t>Appendix: Supporting Documentation</w:t>
      </w:r>
    </w:p>
    <w:p>
      <w:r>
        <w:t>The following detailed documents are included in this delivery:</w:t>
      </w:r>
    </w:p>
    <w:p>
      <w:pPr>
        <w:pStyle w:val="Heading2"/>
      </w:pPr>
      <w:r>
        <w:t>Global Analysis Documents</w:t>
      </w:r>
    </w:p>
    <w:p>
      <w:pPr>
        <w:pStyle w:val="ListBullet"/>
      </w:pPr>
      <w:r>
        <w:t>Global Network Segmentation Analysis.docx - Enterprise-wide overview</w:t>
      </w:r>
    </w:p>
    <w:p>
      <w:pPr>
        <w:pStyle w:val="ListBullet"/>
      </w:pPr>
      <w:r>
        <w:t>Global Threat Analysis.docx - Comprehensive threat assessment</w:t>
      </w:r>
    </w:p>
    <w:p>
      <w:pPr>
        <w:pStyle w:val="ListBullet"/>
      </w:pPr>
      <w:r>
        <w:t>Zero Trust Implementation Roadmap.xlsx - Detailed project plan</w:t>
      </w:r>
    </w:p>
    <w:p>
      <w:pPr>
        <w:pStyle w:val="ListBullet"/>
      </w:pPr>
      <w:r>
        <w:t>Network Topology Diagrams (HTML) - Interactive visualizations</w:t>
      </w:r>
    </w:p>
    <w:p>
      <w:pPr>
        <w:pStyle w:val="Heading2"/>
      </w:pPr>
      <w:r>
        <w:t>Per-Application Documents (145 apps)</w:t>
      </w:r>
    </w:p>
    <w:p>
      <w:pPr>
        <w:pStyle w:val="ListBullet"/>
      </w:pPr>
      <w:r>
        <w:t>[APP]_architecture.docx - Network architecture analysis</w:t>
      </w:r>
    </w:p>
    <w:p>
      <w:pPr>
        <w:pStyle w:val="ListBullet"/>
      </w:pPr>
      <w:r>
        <w:t>[APP]_threat_surface.docx - Application-specific threats</w:t>
      </w:r>
    </w:p>
    <w:p>
      <w:pPr>
        <w:pStyle w:val="ListBullet"/>
      </w:pPr>
      <w:r>
        <w:t>[APP]_application_diagram.html - Interactive network diagrams</w:t>
      </w:r>
    </w:p>
    <w:p>
      <w:pPr>
        <w:pStyle w:val="ListBullet"/>
      </w:pPr>
      <w:r>
        <w:t>[APP]_segmentation.json - Machine-readable segmentation rules</w:t>
      </w:r>
    </w:p>
    <w:p>
      <w:pPr>
        <w:pStyle w:val="Heading2"/>
      </w:pPr>
      <w:r>
        <w:t>Technical Artifacts</w:t>
      </w:r>
    </w:p>
    <w:p>
      <w:pPr>
        <w:pStyle w:val="ListBullet"/>
      </w:pPr>
      <w:r>
        <w:t>threat_surface_analysis.json - 8,793 attack paths documented</w:t>
      </w:r>
    </w:p>
    <w:p>
      <w:pPr>
        <w:pStyle w:val="ListBullet"/>
      </w:pPr>
      <w:r>
        <w:t>network_analysis.db - SQLite database with full network topology</w:t>
      </w:r>
    </w:p>
    <w:p>
      <w:pPr>
        <w:pStyle w:val="ListBullet"/>
      </w:pPr>
      <w:r>
        <w:t>firewall_rules/ - Directory with ready-to-deploy ACL configurations</w:t>
      </w:r>
    </w:p>
    <w:p>
      <w:pPr>
        <w:pStyle w:val="ListBullet"/>
      </w:pPr>
      <w:r>
        <w:t>Mermaid diagrams (.mmd) - Editable network diagrams for presentations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