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df" ContentType="application/pdf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Dictionary Correction Discovery:</w:t>
      </w:r>
      <w:r>
        <w:br/>
      </w:r>
      <w:r>
        <w:t xml:space="preserve">A Deterministic, Identifiability-Aware Framework</w:t>
      </w:r>
      <w:r>
        <w:br/>
      </w:r>
      <w:r>
        <w:t xml:space="preserve">for Recovering Physical Corrections from Observational Data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historical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symbolic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is</w:t>
      </w:r>
      <w:r>
        <w:t xml:space="preserve"> </w:t>
      </w:r>
      <w:r>
        <w:t xml:space="preserve">indistinguishable from 1% noise—the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In the expanding landscape of machine learning for the physical sciences </w:t>
      </w:r>
      <w:r>
        <w:t xml:space="preserve">(Carleo et al. 2019; Wang et al. 2023)</w:t>
      </w:r>
      <w:r>
        <w:t xml:space="preserve">,</w:t>
      </w:r>
      <w:r>
        <w:t xml:space="preserve"> </w:t>
      </w: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et al. 2020; 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evolutionary search cannot guarantee</w:t>
      </w:r>
      <w:r>
        <w:t xml:space="preserve"> </w:t>
      </w:r>
      <w:r>
        <w:t xml:space="preserve">byte-identical results across runs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, generating what recent meta-science critiques identify</w:t>
      </w:r>
      <w:r>
        <w:t xml:space="preserve"> </w:t>
      </w:r>
      <w:r>
        <w:t xml:space="preserve">as an illusion of understanding </w:t>
      </w:r>
      <w:r>
        <w:t xml:space="preserve">(Messeri and Crockett 2024; Krenn et al. 2022)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Automated scientific discovery traces back to pioneering heuristic systems such as</w:t>
      </w:r>
      <w:r>
        <w:t xml:space="preserve"> </w:t>
      </w:r>
      <w:r>
        <w:t xml:space="preserve">BACON </w:t>
      </w:r>
      <w:r>
        <w:t xml:space="preserve">(Langley et al. 1987)</w:t>
      </w:r>
      <w:r>
        <w:t xml:space="preserve"> </w:t>
      </w:r>
      <w:r>
        <w:t xml:space="preserve">and has evolved toward modern autonomous equation</w:t>
      </w:r>
      <w:r>
        <w:t xml:space="preserve"> </w:t>
      </w:r>
      <w:r>
        <w:t xml:space="preserve">discovery </w:t>
      </w:r>
      <w:r>
        <w:t xml:space="preserve">(Kramer et al. 2026; Makke and Chawla 2024; Karagiorgi et al. 2022)</w:t>
      </w:r>
      <w:r>
        <w:t xml:space="preserve">.</w:t>
      </w:r>
      <w:r>
        <w:t xml:space="preserve"> </w:t>
      </w: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et al. 2020; 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Recent systems combining data with background knowledge and axiomatic reasoning,</w:t>
      </w:r>
      <w:r>
        <w:t xml:space="preserve"> </w:t>
      </w:r>
      <w:r>
        <w:t xml:space="preserve">such as AI-Descartes </w:t>
      </w:r>
      <w:r>
        <w:t xml:space="preserve">(Cornelio et al. 2023)</w:t>
      </w:r>
      <w:r>
        <w:t xml:space="preserve"> </w:t>
      </w:r>
      <w:r>
        <w:t xml:space="preserve">and AI Hilbert </w:t>
      </w:r>
      <w:r>
        <w:t xml:space="preserve">(Cory-Wright et al. 2024)</w:t>
      </w:r>
      <w:r>
        <w:t xml:space="preserve">,</w:t>
      </w:r>
      <w:r>
        <w:t xml:space="preserve"> </w:t>
      </w:r>
      <w:r>
        <w:t xml:space="preserve">highlight the importance of theory-grounded discovery, but do not address</w:t>
      </w:r>
      <w:r>
        <w:t xml:space="preserve"> </w:t>
      </w:r>
      <w:r>
        <w:t xml:space="preserve">catastrophic cancellation near asymptotic limits or provide formal identifiability gating.</w:t>
      </w:r>
      <w:r>
        <w:t xml:space="preserve"> </w:t>
      </w:r>
      <w:r>
        <w:t xml:space="preserve">While dimensional analysis and symmetry constraints have been integrated into</w:t>
      </w:r>
      <w:r>
        <w:t xml:space="preserve"> </w:t>
      </w:r>
      <w:r>
        <w:t xml:space="preserve">SR and dynamical learning </w:t>
      </w:r>
      <w:r>
        <w:t xml:space="preserve">(Tenachi et al. 2023; Petersen et al. 2021; Otto et al. 2025)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mode with the lower scale dependence is selected, measured as the absolute</w:t>
      </w:r>
      <w:r>
        <w:t xml:space="preserve"> </w:t>
      </w:r>
      <w:r>
        <w:t xml:space="preserve">Spearman correlation between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residual magnitude (ties</w:t>
      </w:r>
      <w:r>
        <w:t xml:space="preserve"> </w:t>
      </w:r>
      <w:r>
        <w:t xml:space="preserve">go to additive). There is no numeric ambiguity threshold: additive is used by</w:t>
      </w:r>
      <w:r>
        <w:t xml:space="preserve"> </w:t>
      </w:r>
      <w:r>
        <w:t xml:space="preserve">construction 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 when fewer than 5</w:t>
      </w:r>
      <w:r>
        <w:t xml:space="preserve"> </w:t>
      </w:r>
      <w:r>
        <w:t xml:space="preserve">valid points remain, or when both correlations vanish.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identity, eliminating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regularized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 / 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u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any remaining unpaired variable is normalized by a free-scale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correctly grouped before distances are paired with length-scale parameters.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cross-misspecification audit (Appendix, Table R3</w:t>
      </w:r>
      <w:r>
        <w:rPr>
          <w:rStyle w:val="FootnoteReference"/>
        </w:rPr>
        <w:footnoteReference w:id="17"/>
      </w:r>
      <w:r>
        <w:t xml:space="preserve">)</w:t>
      </w:r>
      <w:r>
        <w:t xml:space="preserve"> </w:t>
      </w:r>
      <w:r>
        <w:t xml:space="preserve">confirms the taxonomy is</w:t>
      </w:r>
      <w:r>
        <w:t xml:space="preserve"> </w:t>
      </w:r>
      <w:r>
        <w:rPr>
          <w:i/>
          <w:iCs/>
        </w:rPr>
        <w:t xml:space="preserve">safe against misspecification</w:t>
      </w:r>
      <w:r>
        <w:t xml:space="preserve">: in all 6</w:t>
      </w:r>
      <w:r>
        <w:t xml:space="preserve"> </w:t>
      </w:r>
      <w:r>
        <w:t xml:space="preserve">wrong-taxonomy trials the system returned WITHHELD (0% false discovery rate;</w:t>
      </w:r>
      <w:r>
        <w:t xml:space="preserve"> </w:t>
      </w:r>
      <w:r>
        <w:t xml:space="preserve">4 of the 6 are informative, since the 2 Time Dilation trials are WITHHELD even</w:t>
      </w:r>
      <w:r>
        <w:t xml:space="preserve"> </w:t>
      </w:r>
      <w:r>
        <w:t xml:space="preserve">under the correct prior; e.g., applying the oscillatory</w:t>
      </w:r>
      <w:r>
        <w:t xml:space="preserve"> </w:t>
      </w:r>
      <w:r>
        <w:rPr>
          <w:rStyle w:val="VerbatimChar"/>
        </w:rPr>
        <w:t xml:space="preserve">wave_resonance</w:t>
      </w:r>
      <w:r>
        <w:t xml:space="preserve"> </w:t>
      </w:r>
      <w:r>
        <w:t xml:space="preserve">prior to Screened Coulomb yields WITHHELD with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910.5</m:t>
        </m:r>
      </m:oMath>
      <w:r>
        <w:t xml:space="preserve">).</w:t>
      </w:r>
      <w:r>
        <w:t xml:space="preserve"> </w:t>
      </w:r>
      <w:r>
        <w:t xml:space="preserve">An incorrect prior causes conservative abstention, not hallucinated laws.</w:t>
      </w:r>
    </w:p>
    <w:bookmarkStart w:id="19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9"/>
    <w:p>
      <w:pPr>
        <w:pStyle w:val="Heading2"/>
      </w:pPr>
      <w:bookmarkStart w:id="20" w:name="_40f5476e03ca74ba4305650ac107c2b30c18041"/>
      <w:r>
        <w:t xml:space="preserve">Grammar enumeration and theta-intact constraint</w:t>
      </w:r>
      <w:bookmarkEnd w:id="20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term (composition budget: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All gates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are evaluated on the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expression—the fully parameterized symbolic form before any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assigned the value</w:t>
      </w:r>
      <w:r>
        <w:t xml:space="preserve"> </w:t>
      </w:r>
      <m:oMath>
        <m:r>
          <m:t>1</m:t>
        </m:r>
      </m:oMath>
      <w:r>
        <w:t xml:space="preserve">—because early substitution collapses dimensionful scale</w:t>
      </w:r>
      <w:r>
        <w:t xml:space="preserve"> </w:t>
      </w:r>
      <w:r>
        <w:t xml:space="preserve">parameters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to dimensionless</w:t>
      </w:r>
      <w:r>
        <w:t xml:space="preserve"> </w:t>
      </w:r>
      <w:r>
        <w:t xml:space="preserve">constants, falsifying the dimensional consistency check.</w:t>
      </w:r>
    </w:p>
    <w:p>
      <w:pPr>
        <w:pStyle w:val="Heading2"/>
      </w:pPr>
      <w:bookmarkStart w:id="21" w:name="_9bb133a3ac464e73b80a9b12eeb70686e961afa"/>
      <w:r>
        <w:t xml:space="preserve">Physical gate cascade</w:t>
      </w:r>
      <w:bookmarkEnd w:id="21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2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of the expression do not match the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are not dimensionless.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Symbolic limit at the classical boundary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2"/>
    <w:p>
      <w:pPr>
        <w:pStyle w:val="Heading2"/>
      </w:pPr>
      <w:bookmarkStart w:id="23" w:name="_3dc49908de44a3d72f9ae592bbcf63abbc9da82"/>
      <w:r>
        <w:t xml:space="preserve">Parameter optimization and model selection</w:t>
      </w:r>
      <w:bookmarkEnd w:id="23"/>
    </w:p>
    <w:p>
      <w:pPr>
        <w:pStyle w:val="FirstParagraph"/>
      </w:pPr>
      <w:r>
        <w:t xml:space="preserve">Surviving candidates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4" w:name="_236375bccae989613f89b5956ef85b21a233826"/>
      <w:r>
        <w:t xml:space="preserve">Four-step validation protocol</w:t>
      </w:r>
      <w:bookmarkEnd w:id="24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from the blind search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5" w:name="_experiments"/>
      <w:r>
        <w:t xml:space="preserve">Experiments</w:t>
      </w:r>
      <w:bookmarkEnd w:id="25"/>
    </w:p>
    <w:p>
      <w:pPr>
        <w:pStyle w:val="Heading2"/>
      </w:pPr>
      <w:bookmarkStart w:id="26" w:name="_setup"/>
      <w:r>
        <w:t xml:space="preserve">Setup</w:t>
      </w:r>
      <w:bookmarkEnd w:id="26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pipeline; only noisy observations,</w:t>
      </w:r>
      <w:r>
        <w:t xml:space="preserve"> </w:t>
      </w:r>
      <w:r>
        <w:t xml:space="preserve">classical predictions, dimensional variable definitions, and the taxonomy key are provided.</w:t>
      </w:r>
    </w:p>
    <w:bookmarkStart w:id="27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7"/>
    <w:p>
      <w:pPr>
        <w:pStyle w:val="Heading2"/>
      </w:pPr>
      <w:bookmarkStart w:id="28" w:name="_a28f169358a053f7b171a621bd02ee9ea3d1d28"/>
      <w:r>
        <w:t xml:space="preserve">Results</w:t>
      </w:r>
      <w:bookmarkEnd w:id="28"/>
    </w:p>
    <w:bookmarkStart w:id="32" w:name="_c7946d13b3f336e982488dc050f3a0bcdd814c3"/>
    <w:p>
      <w:pPr>
        <w:pStyle w:val="CaptionedFigure"/>
      </w:pPr>
      <w:r>
        <w:drawing>
          <wp:inline>
            <wp:extent cx="5334000" cy="174557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1_recover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32"/>
    <w:bookmarkStart w:id="36" w:name="_afdb111206819426e5a108476a671f77ce665af"/>
    <w:p>
      <w:pPr>
        <w:pStyle w:val="CaptionedFigure"/>
      </w:pPr>
      <w:r>
        <w:drawing>
          <wp:inline>
            <wp:extent cx="5334000" cy="188333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2_bic.pdf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At seed 42 all three scenarios exceed this threshold (across 5 seeds,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spans 11.0–263, 5.1–14.7, and 5.5–13.8 for Screened</w:t>
      </w:r>
      <w:r>
        <w:t xml:space="preserve"> </w:t>
      </w:r>
      <w:r>
        <w:t xml:space="preserve">Coulomb, Entropy Expansion, and Time Dilation),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6"/>
    <w:bookmarkStart w:id="40" w:name="_be1ea107d10d2f739baf6c86264f7c371d7bc21"/>
    <w:p>
      <w:pPr>
        <w:pStyle w:val="CaptionedFigure"/>
      </w:pPr>
      <w:r>
        <w:drawing>
          <wp:inline>
            <wp:extent cx="5334000" cy="174375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3_par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3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40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, the change in deviance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(twice the unpenalized NLL difference), isolates the pure fit-quality advantage from the</w:t>
      </w:r>
      <w:r>
        <w:t xml:space="preserve"> </w:t>
      </w:r>
      <w:r>
        <w:t xml:space="preserve">multiple-testing penalty, addressing a known asymmetry in Extended</w:t>
      </w:r>
      <w:r>
        <w:t xml:space="preserve"> </w:t>
      </w:r>
      <w:r>
        <w:t xml:space="preserve">BIC when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rPr>
          <w:rStyle w:val="FootnoteReference"/>
        </w:rPr>
        <w:footnoteReference w:id="41"/>
      </w:r>
    </w:p>
    <w:p>
      <w:pPr>
        <w:pStyle w:val="Heading4"/>
      </w:pPr>
      <w:bookmarkStart w:id="42" w:name="_1759a028cfb76cc1228f270093fe5555832d0a5"/>
      <w:r>
        <w:t xml:space="preserve">Screened Coulomb.</w:t>
      </w:r>
      <w:bookmarkEnd w:id="42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confirms the advantage is driven by fit quality,</w:t>
      </w:r>
      <w:r>
        <w:t xml:space="preserve"> </w:t>
      </w:r>
      <w:r>
        <w:t xml:space="preserve">not search-space penalty.</w:t>
      </w:r>
      <w:r>
        <w:t xml:space="preserve"> </w:t>
      </w:r>
      <w:r>
        <w:t xml:space="preserve">Over 5 noise seeds, the verdict is 100% stable (5/5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</m:e>
        </m:bar>
        <m:r>
          <m:rPr>
            <m:sty m:val="p"/>
          </m:rPr>
          <m:t>=</m:t>
        </m:r>
        <m:r>
          <m:t>71.39</m:t>
        </m:r>
      </m:oMath>
      <w:r>
        <w:t xml:space="preserve">).</w:t>
      </w:r>
    </w:p>
    <w:p>
      <w:pPr>
        <w:pStyle w:val="Heading4"/>
      </w:pPr>
      <w:bookmarkStart w:id="43" w:name="_3237b3bffd4a77c8d5c3040d985d2e630b331b1"/>
      <w:r>
        <w:t xml:space="preserve">Entropy Expansion.</w:t>
      </w:r>
      <w:bookmarkEnd w:id="43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constant, the scale-dependence test is</w:t>
      </w:r>
      <w:r>
        <w:t xml:space="preserve"> </w:t>
      </w:r>
      <w:r>
        <w:t xml:space="preserve">uninformative and mode detection falls back to an additive search.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IDENTIFIABLE; however,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 </w:t>
      </w:r>
      <w:r>
        <w:t xml:space="preserve">reveals the identifiability is</w:t>
      </w:r>
      <w:r>
        <w:t xml:space="preserve"> </w:t>
      </w:r>
      <w:r>
        <w:rPr>
          <w:i/>
          <w:iCs/>
        </w:rPr>
        <w:t xml:space="preserve">parsimony-driven</w:t>
      </w:r>
      <w:r>
        <w:t xml:space="preserve">:</w:t>
      </w:r>
      <w:r>
        <w:t xml:space="preserve"> </w:t>
      </w:r>
      <w:r>
        <w:t xml:space="preserve">the ablated search achieves an equivalent raw fit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parameters</w:t>
      </w:r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domain-guided model.</w:t>
      </w:r>
      <w:r>
        <w:t xml:space="preserve"> </w:t>
      </w:r>
      <w:r>
        <w:t xml:space="preserve">Over 5 noise seeds, the verdict is borderline (2/5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9.91</m:t>
        </m:r>
        <m:r>
          <m:rPr>
            <m:sty m:val="p"/>
          </m:rPr>
          <m:t>±</m:t>
        </m:r>
        <m:r>
          <m:t>3.40</m:t>
        </m:r>
      </m:oMath>
      <w:r>
        <w:t xml:space="preserve">, sample SD), confirming the logarithmic</w:t>
      </w:r>
      <w:r>
        <w:t xml:space="preserve"> </w:t>
      </w:r>
      <w:r>
        <w:t xml:space="preserve">correction sits at the decision boundary under 1% noise.</w:t>
      </w:r>
    </w:p>
    <w:p>
      <w:pPr>
        <w:pStyle w:val="Heading4"/>
      </w:pPr>
      <w:bookmarkStart w:id="44" w:name="_6b969198ff632a49be3607158edcc3a004149c0"/>
      <w:r>
        <w:t xml:space="preserve">Time Dilation.</w:t>
      </w:r>
      <w:bookmarkEnd w:id="44"/>
    </w:p>
    <w:p>
      <w:pPr>
        <w:pStyle w:val="FirstParagraph"/>
      </w:pPr>
      <w:r>
        <w:t xml:space="preserve">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classical</w:t>
      </w:r>
      <w:r>
        <w:t xml:space="preserve"> </w:t>
      </w:r>
      <w:r>
        <w:t xml:space="preserve">prediction—a signal-to-noise ratio of approximately</w:t>
      </w:r>
      <w:r>
        <w:t xml:space="preserve"> </w:t>
      </w:r>
      <m:oMath>
        <m:r>
          <m:t>4.8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 floor, which is insufficient for reliable isolation.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1, but the positive control fails (NMSE</w:t>
      </w:r>
      <m:oMath>
        <m:r>
          <m:rPr>
            <m:sty m:val="p"/>
          </m:rPr>
          <m:t>=</m:t>
        </m:r>
        <m:r>
          <m:t>0.41</m:t>
        </m:r>
      </m:oMath>
      <w:r>
        <w:t xml:space="preserve">): even with the</w:t>
      </w:r>
      <w:r>
        <w:t xml:space="preserve"> </w:t>
      </w:r>
      <w:r>
        <w:t xml:space="preserve">search space restricted to</w:t>
      </w:r>
      <w:r>
        <w:t xml:space="preserve"> </w:t>
      </w:r>
      <w:r>
        <w:rPr>
          <w:rStyle w:val="VerbatimChar"/>
        </w:rPr>
        <w:t xml:space="preserve">D_lor</w:t>
      </w:r>
      <w:r>
        <w:t xml:space="preserve"> </w:t>
      </w:r>
      <w:r>
        <w:t xml:space="preserve">alone, the optimizer cannot</w:t>
      </w:r>
      <w:r>
        <w:t xml:space="preserve"> </w:t>
      </w:r>
      <w:r>
        <w:t xml:space="preserve">isolate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from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noise.</w:t>
      </w:r>
      <w:r>
        <w:t xml:space="preserve"> </w:t>
      </w:r>
      <w:r>
        <w:t xml:space="preserve">The system outputs WITHHELD.</w:t>
      </w:r>
      <w:r>
        <w:t xml:space="preserve"> </w:t>
      </w:r>
      <w:r>
        <w:t xml:space="preserve">Over 5 noise seeds, this verdict is 100% stable (5/5 WITHHELD).</w:t>
      </w:r>
    </w:p>
    <w:p>
      <w:pPr>
        <w:pStyle w:val="Heading1"/>
      </w:pPr>
      <w:bookmarkStart w:id="45" w:name="_discussion"/>
      <w:r>
        <w:t xml:space="preserve">Discussion</w:t>
      </w:r>
      <w:bookmarkEnd w:id="45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boundary—a boundary that is quantitative and</w:t>
      </w:r>
      <w:r>
        <w:t xml:space="preserve"> </w:t>
      </w:r>
      <w:r>
        <w:t xml:space="preserve">testable: a wider velocity window, better measurement precision, or more data</w:t>
      </w:r>
      <w:r>
        <w:t xml:space="preserve"> </w:t>
      </w:r>
      <w:r>
        <w:t xml:space="preserve">points would push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above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alongside a passing positive</w:t>
      </w:r>
      <w:r>
        <w:t xml:space="preserve"> </w:t>
      </w:r>
      <w:r>
        <w:t xml:space="preserve">control, yielding IDENTIFIABLE.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misspecification audit confirms the taxonomy is safe:</w:t>
      </w:r>
      <w:r>
        <w:t xml:space="preserve"> </w:t>
      </w:r>
      <w:r>
        <w:t xml:space="preserve">all 6 wrong-taxonomy trials yielded WITHHELD (0% false discovery).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 operational regimes.</w:t>
      </w:r>
    </w:p>
    <w:p>
      <w:pPr>
        <w:pStyle w:val="BodyText"/>
      </w:pPr>
      <w:r>
        <w:rPr>
          <w:b/>
          <w:bCs/>
        </w:rPr>
        <w:t xml:space="preserve">Principle-guided discovery vs. black-box prediction.</w:t>
      </w:r>
      <w:r>
        <w:t xml:space="preserve"> </w:t>
      </w:r>
      <w:r>
        <w:t xml:space="preserve">Recent perspectives on AI for physics highlight a crucial epistemic challenge:</w:t>
      </w:r>
      <w:r>
        <w:t xml:space="preserve"> </w:t>
      </w:r>
      <w:r>
        <w:t xml:space="preserve">while modern AI excels at high-dimensional predictive emulation, true physical theory</w:t>
      </w:r>
      <w:r>
        <w:t xml:space="preserve"> </w:t>
      </w:r>
      <w:r>
        <w:t xml:space="preserve">building requires compact mathematical laws, symmetry invariance, and controlled asymptotic</w:t>
      </w:r>
      <w:r>
        <w:t xml:space="preserve"> </w:t>
      </w:r>
      <w:r>
        <w:t xml:space="preserve">regimes </w:t>
      </w:r>
      <w:r>
        <w:t xml:space="preserve">(Shalyt et al. 2026)</w:t>
      </w:r>
      <w:r>
        <w:t xml:space="preserve">.</w:t>
      </w:r>
      <w:r>
        <w:t xml:space="preserve"> </w:t>
      </w:r>
      <w:r>
        <w:t xml:space="preserve">ADCD explicitly embodies this principle-first paradigm: rather than performing unconstrained</w:t>
      </w:r>
      <w:r>
        <w:t xml:space="preserve"> </w:t>
      </w:r>
      <w:r>
        <w:t xml:space="preserve">curve-fitting, it converts physical correction discovery into an exact, dimensionally</w:t>
      </w:r>
      <w:r>
        <w:t xml:space="preserve"> </w:t>
      </w:r>
      <w:r>
        <w:t xml:space="preserve">consistent perturbation search anchored to established baselines and audited by falsifiable</w:t>
      </w:r>
      <w:r>
        <w:t xml:space="preserve"> </w:t>
      </w:r>
      <w:r>
        <w:t xml:space="preserve">identifiability metrics.</w:t>
      </w:r>
    </w:p>
    <w:bookmarkStart w:id="46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</w:t>
            </w:r>
          </w:p>
        </w:tc>
      </w:tr>
    </w:tbl>
    <w:bookmarkEnd w:id="46"/>
    <w:p>
      <w:pPr>
        <w:pStyle w:val="Heading2"/>
      </w:pPr>
      <w:bookmarkStart w:id="47" w:name="_9ec194be0a3e630d64226647765ad9b11c91126"/>
      <w:r>
        <w:t xml:space="preserve">Limitations</w:t>
      </w:r>
      <w:bookmarkEnd w:id="47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five primitive families,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Additive corrections, heavier-tailed noise,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BodyText"/>
      </w:pPr>
      <w:r>
        <w:rPr>
          <w:b/>
          <w:bCs/>
        </w:rPr>
        <w:t xml:space="preserve">Seed stability of borderline verdicts.</w:t>
      </w:r>
      <w:r>
        <w:t xml:space="preserve"> </w:t>
      </w:r>
      <w:r>
        <w:t xml:space="preserve">Entropy Expansion’s verdict varies across noise realizations (2/5 IDENTIFIABLE,</w:t>
      </w:r>
      <w:r>
        <w:t xml:space="preserve"> </w:t>
      </w:r>
      <w:r>
        <w:t xml:space="preserve">3/5 WITHHELD), indicating the logarithmic correction sits at the identifiability</w:t>
      </w:r>
      <w:r>
        <w:t xml:space="preserve"> </w:t>
      </w:r>
      <w:r>
        <w:t xml:space="preserve">boundary under 1% noise.</w:t>
      </w:r>
      <w:r>
        <w:t xml:space="preserve"> </w:t>
      </w:r>
      <w:r>
        <w:t xml:space="preserve">We report this transparently as a limitation of the current noise regime.</w:t>
      </w:r>
    </w:p>
    <w:p>
      <w:pPr>
        <w:pStyle w:val="Heading1"/>
      </w:pPr>
      <w:bookmarkStart w:id="48" w:name="_conclusion"/>
      <w:r>
        <w:t xml:space="preserve">Conclusion</w:t>
      </w:r>
      <w:bookmarkEnd w:id="48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multiplicative</w:t>
      </w:r>
      <w:r>
        <w:t xml:space="preserve"> </w:t>
      </w:r>
      <w:r>
        <w:t xml:space="preserve">correction, Gaussian noise—ADCD provides stronger reproducibility and</w:t>
      </w:r>
      <w:r>
        <w:t xml:space="preserve"> </w:t>
      </w:r>
      <w:r>
        <w:t xml:space="preserve">identifiability guarantees than general-purpose SR, and furnishes an explicit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those</w:t>
      </w:r>
      <w:r>
        <w:t xml:space="preserve"> </w:t>
      </w:r>
      <w:r>
        <w:t xml:space="preserve">guarantees cannot be met.</w:t>
      </w:r>
    </w:p>
    <w:p>
      <w:pPr>
        <w:pStyle w:val="FirstParagraph"/>
      </w:pPr>
      <w:r>
        <w:t xml:space="preserve">The author thanks the anonymous NewInML reviewers for constructive feedback</w:t>
      </w:r>
      <w:r>
        <w:t xml:space="preserve"> </w:t>
      </w:r>
      <w:r>
        <w:t xml:space="preserve">that motivated the BIC decomposition, multi-seed stability, and taxonomy</w:t>
      </w:r>
      <w:r>
        <w:t xml:space="preserve"> </w:t>
      </w:r>
      <w:r>
        <w:t xml:space="preserve">misspecification analyses incorporated into this camera-ready version.</w:t>
      </w:r>
      <w:r>
        <w:t xml:space="preserve"> </w:t>
      </w:r>
      <w:r>
        <w:t xml:space="preserve">No external funding was received for this work.</w:t>
      </w:r>
    </w:p>
    <w:p>
      <w:pPr>
        <w:pStyle w:val="Heading1"/>
      </w:pPr>
      <w:bookmarkStart w:id="49" w:name="_d6dc127f91df9bcc46c1702cd683a760cc63be4"/>
      <w:r>
        <w:t xml:space="preserve">Use of AI-Assisted Tools</w:t>
      </w:r>
      <w:bookmarkEnd w:id="49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publicly available at</w:t>
      </w:r>
      <w:r>
        <w:t xml:space="preserve"> </w:t>
      </w:r>
      <w:hyperlink r:id="rId50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51" w:name="_ea5c66868f283220c19382d0fdd5a852ec570ca"/>
      <w:r>
        <w:t xml:space="preserve">Data Availability</w:t>
      </w:r>
      <w:bookmarkEnd w:id="51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bookmarkStart w:id="106" w:name="_refs"/>
    <w:bookmarkStart w:id="53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52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53"/>
    <w:bookmarkStart w:id="55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55"/>
    <w:bookmarkStart w:id="56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56"/>
    <w:bookmarkStart w:id="58" w:name="_527bc24a5bc63163e89c9230bde2b620b0637aa"/>
    <w:p>
      <w:pPr>
        <w:pStyle w:val="Bibliography"/>
        <w:ind w:left="720" w:hanging="720"/>
      </w:pPr>
      <w:r>
        <w:t xml:space="preserve">Carleo, Giuseppe, Ignacio Cirac, Kyle Cranmer, et al. 2019.</w:t>
      </w:r>
      <w:r>
        <w:t xml:space="preserve"> </w:t>
      </w:r>
      <w:r>
        <w:t xml:space="preserve">“Machine Learning and the Physical Sciences.”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91 (4): 045002.</w:t>
      </w:r>
      <w:r>
        <w:t xml:space="preserve"> </w:t>
      </w:r>
      <w:hyperlink r:id="rId57">
        <w:r>
          <w:rPr>
            <w:rStyle w:val="Hyperlink"/>
          </w:rPr>
          <w:t xml:space="preserve">https://doi.org/10.1103/RevModPhys.91.045002</w:t>
        </w:r>
      </w:hyperlink>
      <w:r>
        <w:t xml:space="preserve">.</w:t>
      </w:r>
    </w:p>
    <w:bookmarkEnd w:id="58"/>
    <w:bookmarkStart w:id="59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9"/>
    <w:bookmarkStart w:id="61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60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61"/>
    <w:bookmarkStart w:id="63" w:name="_47fce09a41d36943dba5ee88797fd7a28ead209"/>
    <w:p>
      <w:pPr>
        <w:pStyle w:val="Bibliography"/>
        <w:ind w:left="720" w:hanging="720"/>
      </w:pPr>
      <w:r>
        <w:t xml:space="preserve">Cory-Wright, Ryan, Cristina Cornelio, Sanjeeb Dash, Maryam Fardad, and Lior Horesh. 2024.</w:t>
      </w:r>
      <w:r>
        <w:t xml:space="preserve"> </w:t>
      </w:r>
      <w:r>
        <w:t xml:space="preserve">“Evolving Scientific Discovery by Unifying Data and Background Knowledge with</w:t>
      </w:r>
      <w:r>
        <w:t xml:space="preserve"> </w:t>
      </w:r>
      <w:r>
        <w:t xml:space="preserve">AI Hilbert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5922.</w:t>
      </w:r>
      <w:r>
        <w:t xml:space="preserve"> </w:t>
      </w:r>
      <w:hyperlink r:id="rId62">
        <w:r>
          <w:rPr>
            <w:rStyle w:val="Hyperlink"/>
          </w:rPr>
          <w:t xml:space="preserve">https://doi.org/10.1038/s41467-024-50143-6</w:t>
        </w:r>
      </w:hyperlink>
      <w:r>
        <w:t xml:space="preserve">.</w:t>
      </w:r>
    </w:p>
    <w:bookmarkEnd w:id="63"/>
    <w:bookmarkStart w:id="65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65"/>
    <w:bookmarkStart w:id="66" w:name="_3dffa07bf7d9f10c2c4fc62ba3207e235802136"/>
    <w:p>
      <w:pPr>
        <w:pStyle w:val="Bibliography"/>
        <w:ind w:left="720" w:hanging="720"/>
      </w:pPr>
      <w:r>
        <w:t xml:space="preserve">Cranmer, Miles, Alvaro Sanchez-Gonzalez, Peter Battaglia, et al. 2020.</w:t>
      </w:r>
      <w:r>
        <w:t xml:space="preserve"> </w:t>
      </w:r>
      <w:r>
        <w:t xml:space="preserve">“Discovering Symbolic Models from Deep Learning with Inductive Biases.”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17429–42.</w:t>
      </w:r>
    </w:p>
    <w:bookmarkEnd w:id="66"/>
    <w:bookmarkStart w:id="67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67"/>
    <w:bookmarkStart w:id="69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68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9"/>
    <w:bookmarkStart w:id="71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70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71"/>
    <w:bookmarkStart w:id="73" w:name="_7d626b01f070f825f964e2471844a68b8b1a8c0"/>
    <w:p>
      <w:pPr>
        <w:pStyle w:val="Bibliography"/>
        <w:ind w:left="720" w:hanging="720"/>
      </w:pPr>
      <w:r>
        <w:t xml:space="preserve">Karagiorgi, Georgia, Gregor Kasieczka, Scott Kravitz, Benjamin Nachman, and David Shih. 2022.</w:t>
      </w:r>
      <w:r>
        <w:t xml:space="preserve"> </w:t>
      </w:r>
      <w:r>
        <w:t xml:space="preserve">“Machine Learning in the Search for New Fundamental Physics.”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(6): 399–412.</w:t>
      </w:r>
      <w:r>
        <w:t xml:space="preserve"> </w:t>
      </w:r>
      <w:hyperlink r:id="rId72">
        <w:r>
          <w:rPr>
            <w:rStyle w:val="Hyperlink"/>
          </w:rPr>
          <w:t xml:space="preserve">https://doi.org/10.1038/s42254-022-00455-1</w:t>
        </w:r>
      </w:hyperlink>
      <w:r>
        <w:t xml:space="preserve">.</w:t>
      </w:r>
    </w:p>
    <w:bookmarkEnd w:id="73"/>
    <w:bookmarkStart w:id="75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74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75"/>
    <w:bookmarkStart w:id="77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76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77"/>
    <w:bookmarkStart w:id="79" w:name="_1900e79b43a611181bec25bb8fa080110cfe3b3"/>
    <w:p>
      <w:pPr>
        <w:pStyle w:val="Bibliography"/>
        <w:ind w:left="720" w:hanging="720"/>
      </w:pPr>
      <w:r>
        <w:t xml:space="preserve">Kramer, Stefan, Marco Cerrato, Jannis Brugger, Sašo Džeroski, and Ross D. King. 2026.</w:t>
      </w:r>
      <w:r>
        <w:t xml:space="preserve"> </w:t>
      </w:r>
      <w:r>
        <w:t xml:space="preserve">“Automated Scientific Discovery: From Equation Discovery to Autonomous Discovery Systems.”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115: 109.</w:t>
      </w:r>
      <w:r>
        <w:t xml:space="preserve"> </w:t>
      </w:r>
      <w:hyperlink r:id="rId78">
        <w:r>
          <w:rPr>
            <w:rStyle w:val="Hyperlink"/>
          </w:rPr>
          <w:t xml:space="preserve">https://doi.org/10.1007/s10994-025-06721-6</w:t>
        </w:r>
      </w:hyperlink>
      <w:r>
        <w:t xml:space="preserve">.</w:t>
      </w:r>
    </w:p>
    <w:bookmarkEnd w:id="79"/>
    <w:bookmarkStart w:id="81" w:name="_706d685f658d8e4e7854a745bc539622c68d316"/>
    <w:p>
      <w:pPr>
        <w:pStyle w:val="Bibliography"/>
        <w:ind w:left="720" w:hanging="720"/>
      </w:pPr>
      <w:r>
        <w:t xml:space="preserve">Krenn, Mario, Robert Pollice, Florian Häse, Pascal Friederich, and Alán Aspuru-Guzik. 2022.</w:t>
      </w:r>
      <w:r>
        <w:t xml:space="preserve"> </w:t>
      </w:r>
      <w:r>
        <w:t xml:space="preserve">“On Scientific Understanding with Artificial Intelligence.”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(12): 761–69.</w:t>
      </w:r>
      <w:r>
        <w:t xml:space="preserve"> </w:t>
      </w:r>
      <w:hyperlink r:id="rId80">
        <w:r>
          <w:rPr>
            <w:rStyle w:val="Hyperlink"/>
          </w:rPr>
          <w:t xml:space="preserve">https://doi.org/10.1038/s42254-022-00518-3</w:t>
        </w:r>
      </w:hyperlink>
      <w:r>
        <w:t xml:space="preserve">.</w:t>
      </w:r>
    </w:p>
    <w:bookmarkEnd w:id="81"/>
    <w:bookmarkStart w:id="83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82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83"/>
    <w:bookmarkStart w:id="84" w:name="_3eeecacc9a76ececfb93de6eecd116041e12250"/>
    <w:p>
      <w:pPr>
        <w:pStyle w:val="Bibliography"/>
        <w:ind w:left="720" w:hanging="720"/>
      </w:pPr>
      <w:r>
        <w:t xml:space="preserve">Langley, Pat, Herbert A. Simon, Gary L. Bradshaw, and Jan M. Zytkow. 1987.</w:t>
      </w:r>
      <w:r>
        <w:t xml:space="preserve"> </w:t>
      </w:r>
      <w:r>
        <w:rPr>
          <w:i/>
          <w:iCs/>
        </w:rPr>
        <w:t xml:space="preserve">Scientific Discovery: Computational Explorations of the Creative Process</w:t>
      </w:r>
      <w:r>
        <w:t xml:space="preserve">. MIT Press.</w:t>
      </w:r>
    </w:p>
    <w:bookmarkEnd w:id="84"/>
    <w:bookmarkStart w:id="85" w:name="_487adff8243fba59e6cf717edc54005140a48bd"/>
    <w:p>
      <w:pPr>
        <w:pStyle w:val="Bibliography"/>
        <w:ind w:left="720" w:hanging="720"/>
      </w:pPr>
      <w:r>
        <w:t xml:space="preserve">Makke, Nour, and Sanjay Chawla. 2024.</w:t>
      </w:r>
      <w:r>
        <w:t xml:space="preserve"> </w:t>
      </w:r>
      <w:r>
        <w:t xml:space="preserve">“A Perspective on Symbolic Machine Learning in Physical Sciences.”</w:t>
      </w:r>
      <w:r>
        <w:t xml:space="preserve"> </w:t>
      </w:r>
      <w:r>
        <w:rPr>
          <w:i/>
          <w:iCs/>
        </w:rPr>
        <w:t xml:space="preserve">NeurIPS 2024 Workshop on Machine Learning and the Physical Sciences</w:t>
      </w:r>
      <w:r>
        <w:t xml:space="preserve">.</w:t>
      </w:r>
    </w:p>
    <w:bookmarkEnd w:id="85"/>
    <w:bookmarkStart w:id="87" w:name="_91b59947130ffdd5d02deab777df77813338c35"/>
    <w:p>
      <w:pPr>
        <w:pStyle w:val="Bibliography"/>
        <w:ind w:left="720" w:hanging="720"/>
      </w:pPr>
      <w:r>
        <w:t xml:space="preserve">Messeri, Lisa, and M. J. Crockett. 2024.</w:t>
      </w:r>
      <w:r>
        <w:t xml:space="preserve"> </w:t>
      </w:r>
      <w:r>
        <w:t xml:space="preserve">“Artificial Intelligence and Illusions of Understanding in Scientific Research.”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627 (8002): 49–58.</w:t>
      </w:r>
      <w:r>
        <w:t xml:space="preserve"> </w:t>
      </w:r>
      <w:hyperlink r:id="rId86">
        <w:r>
          <w:rPr>
            <w:rStyle w:val="Hyperlink"/>
          </w:rPr>
          <w:t xml:space="preserve">https://doi.org/10.1038/s41586-024-07146-0</w:t>
        </w:r>
      </w:hyperlink>
      <w:r>
        <w:t xml:space="preserve">.</w:t>
      </w:r>
    </w:p>
    <w:bookmarkEnd w:id="87"/>
    <w:bookmarkStart w:id="88" w:name="_97fe74aee6e1866024e3578107d1a9db6ca039d"/>
    <w:p>
      <w:pPr>
        <w:pStyle w:val="Bibliography"/>
        <w:ind w:left="720" w:hanging="720"/>
      </w:pPr>
      <w:r>
        <w:t xml:space="preserve">Otto, Samuel E., Nicholas Zolman, J. Nathan Kutz, and Steven L. Brunton. 2025.</w:t>
      </w:r>
      <w:r>
        <w:t xml:space="preserve"> </w:t>
      </w:r>
      <w:r>
        <w:t xml:space="preserve">“A Unified Framework to Enforce, Discover, and Promote Symmetry in Machine Learning.”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26: 1–83.</w:t>
      </w:r>
    </w:p>
    <w:bookmarkEnd w:id="88"/>
    <w:bookmarkStart w:id="90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90"/>
    <w:bookmarkStart w:id="92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91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92"/>
    <w:bookmarkStart w:id="94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93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94"/>
    <w:bookmarkStart w:id="96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5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6"/>
    <w:bookmarkStart w:id="98" w:name="_8b25f64435fc5ff192d03ffcdc0af37daecff02"/>
    <w:p>
      <w:pPr>
        <w:pStyle w:val="Bibliography"/>
        <w:ind w:left="720" w:hanging="720"/>
      </w:pPr>
      <w:r>
        <w:t xml:space="preserve">Shalyt, Michael, Nathan Regev, Marin Soljačić, and Ido Kaminer. 2026.</w:t>
      </w:r>
      <w:r>
        <w:t xml:space="preserve"> </w:t>
      </w:r>
      <w:r>
        <w:t xml:space="preserve">“Can</w:t>
      </w:r>
      <w:r>
        <w:t xml:space="preserve"> </w:t>
      </w:r>
      <w:r>
        <w:t xml:space="preserve">AI</w:t>
      </w:r>
      <w:r>
        <w:t xml:space="preserve"> </w:t>
      </w:r>
      <w:r>
        <w:t xml:space="preserve">Follow in</w:t>
      </w:r>
      <w:r>
        <w:t xml:space="preserve"> </w:t>
      </w:r>
      <w:r>
        <w:t xml:space="preserve">Einstein</w:t>
      </w:r>
      <w:r>
        <w:t xml:space="preserve">’s Footsteps?”</w:t>
      </w:r>
      <w:r>
        <w:t xml:space="preserve"> </w:t>
      </w:r>
      <w:r>
        <w:rPr>
          <w:i/>
          <w:iCs/>
        </w:rPr>
        <w:t xml:space="preserve">arXiv Preprint arXiv:2607.27794</w:t>
      </w:r>
      <w:r>
        <w:t xml:space="preserve">, ahead of print.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https://doi.org/10.48550/arXiv.2607.27794</w:t>
        </w:r>
      </w:hyperlink>
      <w:r>
        <w:t xml:space="preserve">.</w:t>
      </w:r>
    </w:p>
    <w:bookmarkEnd w:id="98"/>
    <w:bookmarkStart w:id="100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99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100"/>
    <w:bookmarkStart w:id="101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101"/>
    <w:bookmarkStart w:id="103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102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103"/>
    <w:bookmarkStart w:id="105" w:name="_a50bc08bafa126fa7b3f332668ec078da73e90d"/>
    <w:p>
      <w:pPr>
        <w:pStyle w:val="Bibliography"/>
        <w:ind w:left="720" w:hanging="720"/>
      </w:pPr>
      <w:r>
        <w:t xml:space="preserve">Wang, Hanchen, Tianfan Fu, Yuanqi Du, et al. 2023.</w:t>
      </w:r>
      <w:r>
        <w:t xml:space="preserve"> </w:t>
      </w:r>
      <w:r>
        <w:t xml:space="preserve">“Scientific Discovery in the Age of Artificial Intelligence.”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620 (7972): 47–60.</w:t>
      </w:r>
      <w:r>
        <w:t xml:space="preserve"> </w:t>
      </w:r>
      <w:hyperlink r:id="rId104">
        <w:r>
          <w:rPr>
            <w:rStyle w:val="Hyperlink"/>
          </w:rPr>
          <w:t xml:space="preserve">https://doi.org/10.1038/s41586-023-06221-2</w:t>
        </w:r>
      </w:hyperlink>
      <w:r>
        <w:t xml:space="preserve">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Full rebuttal tables are available at</w:t>
      </w:r>
      <w:r>
        <w:t xml:space="preserve"> </w:t>
      </w:r>
      <w:hyperlink r:id="rId18">
        <w:r>
          <w:rPr>
            <w:rStyle w:val="Hyperlink"/>
          </w:rPr>
          <w:t xml:space="preserve">https://github.com/apiprdt/PhysicsPaper/tree/PythonADCD/rebuttal</w:t>
        </w:r>
      </w:hyperlink>
      <w:r>
        <w:t xml:space="preserve">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includes a search-space penalty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that differs between domain-guided and ablated runs;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reports the penalty-free fit-quality difference.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814</m:t>
        </m:r>
        <m:r>
          <m:rPr>
            <m:sty m:val="p"/>
          </m:rPr>
          <m:t>/</m:t>
        </m:r>
        <m:r>
          <m:t>534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for Screened Coulomb, Entropy</w:t>
      </w:r>
      <w:r>
        <w:t xml:space="preserve"> </w:t>
      </w:r>
      <w:r>
        <w:t xml:space="preserve">Expansion, and Time Dilation, versus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Screened Coulomb’s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alone exceeds the</w:t>
      </w:r>
      <w:r>
        <w:t xml:space="preserve"> </w:t>
      </w:r>
      <w:r>
        <w:t xml:space="preserve">Kass–Raftery threshold of 10.</w:t>
      </w:r>
      <w:r>
        <w:t xml:space="preserve"> </w:t>
      </w:r>
      <w:r>
        <w:t xml:space="preserve">Entropy Expansion’s identifiability is parsimony-driven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; the ablated model achieves an equivalent fit</w:t>
      </w:r>
      <w:r>
        <w:t xml:space="preserve"> </w:t>
      </w:r>
      <w:r>
        <w:t xml:space="preserve">with more parameters), a distinction we report transparently.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df" /><Relationship Type="http://schemas.openxmlformats.org/officeDocument/2006/relationships/image" Id="rId37" Target="media/rId37.png" /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Dictionary Correction Discovery: A Deterministic, Identifiability-Aware Framework for Recovering Physical Corrections from Observational Data</dc:title>
  <dc:creator>Muhammad Afif Erdita Independent Researcher Indonesia maeapip10@gmail.com </dc:creator>
  <cp:keywords/>
  <dcterms:created xsi:type="dcterms:W3CDTF">2026-10-26T09:25:32Z</dcterms:created>
  <dcterms:modified xsi:type="dcterms:W3CDTF">2026-10-26T09:25:32Z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historical low-signal windows, Screened Coulomb (\Delta\mathrm{BIC}=30.65, exact symbolic match) and Entropy Expansion (\Delta\mathrm{BIC}=14.70, class-level match) are IDENTIFIABLE; Time Dilation at v\le0.3c is WITHHELD because the 4.8\% correction is indistinguishable from 1% noise—the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