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Dictionary Correction Discovery:</w:t>
      </w:r>
      <w:r>
        <w:br/>
      </w:r>
      <w:r>
        <w:t xml:space="preserve">A Deterministic, Identifiability-Aware Framework</w:t>
      </w:r>
      <w:r>
        <w:br/>
      </w:r>
      <w:r>
        <w:t xml:space="preserve">for Recovering Physical Corrections from Observational Data</w:t>
      </w:r>
    </w:p>
    <w:p>
      <w:pPr>
        <w:pStyle w:val="Author"/>
      </w:pPr>
      <w:r>
        <w:t xml:space="preserve">Muhammad Afif Erdita</w:t>
      </w:r>
      <w:r>
        <w:br/>
      </w:r>
      <w:r>
        <w:t xml:space="preserve">Independent Researcher</w:t>
      </w:r>
      <w:r>
        <w:br/>
      </w:r>
      <w:r>
        <w:t xml:space="preserve">Indonesia</w:t>
      </w:r>
      <w:r>
        <w:br/>
      </w:r>
      <w:r>
        <w:rPr>
          <w:rStyle w:val="VerbatimChar"/>
        </w:rPr>
        <w:t xml:space="preserve">maeapip10@gmail.com</w:t>
      </w:r>
      <w:r>
        <w:br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</w:t>
      </w:r>
      <w:r>
        <w:t xml:space="preserve"> </w:t>
      </w:r>
      <w:r>
        <w:rPr>
          <w:b/>
          <w:bCs/>
        </w:rPr>
        <w:t xml:space="preserve">ADCD</w:t>
      </w:r>
      <w:r>
        <w:t xml:space="preserve"> </w:t>
      </w:r>
      <w:r>
        <w:t xml:space="preserve">(Asymptotic Dictionary Correction Discovery), a</w:t>
      </w:r>
      <w:r>
        <w:t xml:space="preserve"> </w:t>
      </w:r>
      <w:r>
        <w:t xml:space="preserve">deterministic framework for recovering structured corrections to known physical</w:t>
      </w:r>
      <w:r>
        <w:t xml:space="preserve"> </w:t>
      </w:r>
      <w:r>
        <w:t xml:space="preserve">laws from noisy data.</w:t>
      </w:r>
      <w:r>
        <w:t xml:space="preserve"> </w:t>
      </w:r>
      <w:r>
        <w:t xml:space="preserve">Given a classical baseline, ADCD searches for the residual correction that</w:t>
      </w:r>
      <w:r>
        <w:t xml:space="preserve"> </w:t>
      </w:r>
      <w:r>
        <w:t xml:space="preserve">vanishes exactly at the classical limit, using three interlocking mechanisms:</w:t>
      </w:r>
      <w:r>
        <w:t xml:space="preserve"> </w:t>
      </w:r>
      <w:r>
        <w:t xml:space="preserve">algebraically regularized primitives that enforce asymptotic vanishing as an</w:t>
      </w:r>
      <w:r>
        <w:t xml:space="preserve"> </w:t>
      </w:r>
      <w:r>
        <w:t xml:space="preserve">exact algebraic identity; a five-dimensional (MLT</w:t>
      </w:r>
      <m:oMath>
        <m:r>
          <m:rPr>
            <m:sty m:val="p"/>
          </m:rPr>
          <m:t>Θ</m:t>
        </m:r>
      </m:oMath>
      <w:r>
        <w:t xml:space="preserve">Q) Buckingham-</w:t>
      </w:r>
      <m:oMath>
        <m:r>
          <m:t>π</m:t>
        </m:r>
      </m:oMath>
      <w:r>
        <w:t xml:space="preserve"> </w:t>
      </w:r>
      <w:r>
        <w:t xml:space="preserve">engine that auto-derives dimensionless ratio arguments without manual</w:t>
      </w:r>
      <w:r>
        <w:t xml:space="preserve"> </w:t>
      </w:r>
      <w:r>
        <w:t xml:space="preserve">specification; and a Phenomenon-Specific Taxonomy encoding peer-reviewed</w:t>
      </w:r>
      <w:r>
        <w:t xml:space="preserve"> </w:t>
      </w:r>
      <w:r>
        <w:t xml:space="preserve">functional priors for each physics domain.</w:t>
      </w:r>
      <w:r>
        <w:t xml:space="preserve"> </w:t>
      </w:r>
      <w:r>
        <w:t xml:space="preserve">A four-step validation protocol—budget disclosure, positive control, BIC-based</w:t>
      </w:r>
      <w:r>
        <w:t xml:space="preserve"> </w:t>
      </w:r>
      <w:r>
        <w:t xml:space="preserve">ablation control, and determinism check—issues one of two verdicts:</w:t>
      </w:r>
      <w:r>
        <w:t xml:space="preserve"> </w:t>
      </w:r>
      <w:r>
        <w:t xml:space="preserve">IDENTIFIABLE or WITHHELD.</w:t>
      </w:r>
      <w:r>
        <w:t xml:space="preserve"> </w:t>
      </w:r>
      <w:r>
        <w:t xml:space="preserve">On three canonical scenarios at historical low-signal windows, Screened Coulomb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30.65</m:t>
        </m:r>
      </m:oMath>
      <w:r>
        <w:t xml:space="preserve">, exact symbolic match) and Entropy Expansion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14.70</m:t>
        </m:r>
      </m:oMath>
      <w:r>
        <w:t xml:space="preserve">, class-level match; borderline across noise seeds) are IDENTIFIABLE;</w:t>
      </w:r>
      <w:r>
        <w:t xml:space="preserve"> </w:t>
      </w:r>
      <w:r>
        <w:t xml:space="preserve">Time Dilation at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 </w:t>
      </w:r>
      <w:r>
        <w:t xml:space="preserve">is WITHHELD because the</w:t>
      </w:r>
      <w:r>
        <w:t xml:space="preserve"> </w:t>
      </w:r>
      <m:oMath>
        <m:r>
          <m:t>4.8</m:t>
        </m:r>
        <m:r>
          <m:rPr>
            <m:sty m:val="p"/>
          </m:rPr>
          <m:t>%</m:t>
        </m:r>
      </m:oMath>
      <w:r>
        <w:t xml:space="preserve"> </w:t>
      </w:r>
      <w:r>
        <w:t xml:space="preserve">correction is</w:t>
      </w:r>
      <w:r>
        <w:t xml:space="preserve"> </w:t>
      </w:r>
      <w:r>
        <w:t xml:space="preserve">indistinguishable from 1% noise—the intended, epistemically honest behavior.</w:t>
      </w:r>
      <w:r>
        <w:t xml:space="preserve"> </w:t>
      </w:r>
      <w:r>
        <w:t xml:space="preserve">All results are byte-exact deterministic.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symbolic regression; correction discovery;</w:t>
      </w:r>
      <w:r>
        <w:t xml:space="preserve"> </w:t>
      </w:r>
      <w:r>
        <w:t xml:space="preserve">dimensional analysis; Bayesian prior; model selection; identifiability</w:t>
      </w:r>
    </w:p>
    <w:p>
      <w:pPr>
        <w:pStyle w:val="Heading1"/>
      </w:pPr>
      <w:bookmarkStart w:id="9" w:name="_introduction"/>
      <w:r>
        <w:t xml:space="preserve">Introduction</w:t>
      </w:r>
      <w:bookmarkEnd w:id="9"/>
    </w:p>
    <w:p>
      <w:pPr>
        <w:pStyle w:val="FirstParagraph"/>
      </w:pPr>
      <w:r>
        <w:t xml:space="preserve">In the expanding landscape of machine learning for the physical sciences </w:t>
      </w:r>
      <w:r>
        <w:t xml:space="preserve">(Carleo et al. 2019; Wang et al. 2023)</w:t>
      </w:r>
      <w:r>
        <w:t xml:space="preserve">,</w:t>
      </w:r>
      <w:r>
        <w:t xml:space="preserve"> </w:t>
      </w:r>
      <w:r>
        <w:t xml:space="preserve">physical laws frequently take a correction-first form: a known classical baseline</w:t>
      </w:r>
      <w:r>
        <w:t xml:space="preserve"> </w:t>
      </w:r>
      <w:r>
        <w:t xml:space="preserve">extended by a term that vanishes at the classical</w:t>
      </w:r>
      <w:r>
        <w:t xml:space="preserve"> </w:t>
      </w:r>
      <w:r>
        <w:t xml:space="preserve">limit </w:t>
      </w:r>
      <w:r>
        <w:t xml:space="preserve">(Einstein 1905; Debye and Hückel 1923; Callen 1985)</w:t>
      </w:r>
      <w:r>
        <w:t xml:space="preserve">.</w:t>
      </w:r>
      <w:r>
        <w:t xml:space="preserve"> </w:t>
      </w:r>
      <w:r>
        <w:t xml:space="preserve">Recovering that correction from observational data is distinct from full equation</w:t>
      </w:r>
      <w:r>
        <w:t xml:space="preserve"> </w:t>
      </w:r>
      <w:r>
        <w:t xml:space="preserve">discovery: the baseline is fixed, only the residual must be identified, and that</w:t>
      </w:r>
      <w:r>
        <w:t xml:space="preserve"> </w:t>
      </w:r>
      <w:r>
        <w:t xml:space="preserve">residual must vanish exactly where classical physics holds.</w:t>
      </w:r>
    </w:p>
    <w:p>
      <w:pPr>
        <w:pStyle w:val="BodyText"/>
      </w:pPr>
      <w:r>
        <w:t xml:space="preserve">General-purpose symbolic regression (SR) engines such as</w:t>
      </w:r>
      <w:r>
        <w:t xml:space="preserve"> </w:t>
      </w:r>
      <w:r>
        <w:t xml:space="preserve">PySR </w:t>
      </w:r>
      <w:r>
        <w:t xml:space="preserve">(Cranmer et al. 2020; Cranmer 2023)</w:t>
      </w:r>
      <w:r>
        <w:t xml:space="preserve">, AI Feynman </w:t>
      </w:r>
      <w:r>
        <w:t xml:space="preserve">(Udrescu and Tegmark 2020)</w:t>
      </w:r>
      <w:r>
        <w:t xml:space="preserve">, and</w:t>
      </w:r>
      <w:r>
        <w:t xml:space="preserve"> </w:t>
      </w:r>
      <w:r>
        <w:t xml:space="preserve">PhySO </w:t>
      </w:r>
      <w:r>
        <w:t xml:space="preserve">(Tenachi et al. 2023)</w:t>
      </w:r>
      <w:r>
        <w:t xml:space="preserve"> </w:t>
      </w:r>
      <w:r>
        <w:t xml:space="preserve">excel at equation discovery from scratch but face</w:t>
      </w:r>
      <w:r>
        <w:t xml:space="preserve"> </w:t>
      </w:r>
      <w:r>
        <w:t xml:space="preserve">three difficulties in the correction-first setting:</w:t>
      </w:r>
      <w:r>
        <w:t xml:space="preserve"> </w:t>
      </w:r>
      <w:r>
        <w:t xml:space="preserve">(i) </w:t>
      </w:r>
      <w:r>
        <w:rPr>
          <w:i/>
          <w:iCs/>
        </w:rPr>
        <w:t xml:space="preserve">catastrophic cancellation</w:t>
      </w:r>
      <w:r>
        <w:t xml:space="preserve">: floating-point precision collapses 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, corrupting optimizer feedback </w:t>
      </w:r>
      <w:r>
        <w:t xml:space="preserve">(IEEE Task P754 2019)</w:t>
      </w:r>
      <w:r>
        <w:t xml:space="preserve">;</w:t>
      </w:r>
      <w:r>
        <w:t xml:space="preserve"> </w:t>
      </w:r>
      <w:r>
        <w:t xml:space="preserve">(ii) </w:t>
      </w:r>
      <w:r>
        <w:rPr>
          <w:i/>
          <w:iCs/>
        </w:rPr>
        <w:t xml:space="preserve">stochastic irreproducibility</w:t>
      </w:r>
      <w:r>
        <w:t xml:space="preserve">: evolutionary search cannot guarantee</w:t>
      </w:r>
      <w:r>
        <w:t xml:space="preserve"> </w:t>
      </w:r>
      <w:r>
        <w:t xml:space="preserve">byte-identical results across runs </w:t>
      </w:r>
      <w:r>
        <w:t xml:space="preserve">(Bongard and Lipson 2007; Schmidt and Lipson 2009)</w:t>
      </w:r>
      <w:r>
        <w:t xml:space="preserve">; and</w:t>
      </w:r>
      <w:r>
        <w:t xml:space="preserve"> </w:t>
      </w:r>
      <w:r>
        <w:t xml:space="preserve">(iii) </w:t>
      </w:r>
      <w:r>
        <w:rPr>
          <w:i/>
          <w:iCs/>
        </w:rPr>
        <w:t xml:space="preserve">silent overclaiming</w:t>
      </w:r>
      <w:r>
        <w:t xml:space="preserve">: a single best-fit equation is returned</w:t>
      </w:r>
      <w:r>
        <w:t xml:space="preserve"> </w:t>
      </w:r>
      <w:r>
        <w:t xml:space="preserve">regardless of whether the data carry sufficient power to distinguish competing</w:t>
      </w:r>
      <w:r>
        <w:t xml:space="preserve"> </w:t>
      </w:r>
      <w:r>
        <w:t xml:space="preserve">structures </w:t>
      </w:r>
      <w:r>
        <w:t xml:space="preserve">(La Cava et al. 2021)</w:t>
      </w:r>
      <w:r>
        <w:t xml:space="preserve">, generating what recent meta-science critiques identify</w:t>
      </w:r>
      <w:r>
        <w:t xml:space="preserve"> </w:t>
      </w:r>
      <w:r>
        <w:t xml:space="preserve">as an illusion of understanding </w:t>
      </w:r>
      <w:r>
        <w:t xml:space="preserve">(Messeri and Crockett 2024; Krenn et al. 2022)</w:t>
      </w:r>
      <w:r>
        <w:t xml:space="preserve">.</w:t>
      </w:r>
      <w:r>
        <w:t xml:space="preserve"> </w:t>
      </w:r>
      <w:r>
        <w:t xml:space="preserve">ADCD addresses each failure mode in turn: algebraically regularized primitives</w:t>
      </w:r>
      <w:r>
        <w:t xml:space="preserve"> </w:t>
      </w:r>
      <w:r>
        <w:t xml:space="preserve">eliminate cancellation; deterministic grammar enumeration ensures reproducibility;</w:t>
      </w:r>
      <w:r>
        <w:t xml:space="preserve"> </w:t>
      </w:r>
      <w:r>
        <w:t xml:space="preserve">explicit BIC-based identifiability gating prevents overclaiming.</w:t>
      </w:r>
    </w:p>
    <w:p>
      <w:pPr>
        <w:pStyle w:val="Heading1"/>
      </w:pPr>
      <w:bookmarkStart w:id="10" w:name="_c402fc6a47ec8bb5e751ab4b29e0fc7601a51bb"/>
      <w:r>
        <w:t xml:space="preserve">Related Work</w:t>
      </w:r>
      <w:bookmarkEnd w:id="10"/>
    </w:p>
    <w:p>
      <w:pPr>
        <w:pStyle w:val="FirstParagraph"/>
      </w:pPr>
      <w:r>
        <w:t xml:space="preserve">Automated scientific discovery traces back to pioneering heuristic systems such as</w:t>
      </w:r>
      <w:r>
        <w:t xml:space="preserve"> </w:t>
      </w:r>
      <w:r>
        <w:t xml:space="preserve">BACON </w:t>
      </w:r>
      <w:r>
        <w:t xml:space="preserve">(Langley et al. 1987)</w:t>
      </w:r>
      <w:r>
        <w:t xml:space="preserve"> </w:t>
      </w:r>
      <w:r>
        <w:t xml:space="preserve">and has evolved toward modern autonomous equation</w:t>
      </w:r>
      <w:r>
        <w:t xml:space="preserve"> </w:t>
      </w:r>
      <w:r>
        <w:t xml:space="preserve">discovery </w:t>
      </w:r>
      <w:r>
        <w:t xml:space="preserve">(Kramer et al. 2026; Makke and Chawla 2024; Karagiorgi et al. 2022)</w:t>
      </w:r>
      <w:r>
        <w:t xml:space="preserve">.</w:t>
      </w:r>
      <w:r>
        <w:t xml:space="preserve"> </w:t>
      </w:r>
      <w:r>
        <w:t xml:space="preserve">General SR engines (Eureqa </w:t>
      </w:r>
      <w:r>
        <w:t xml:space="preserve">(Schmidt and Lipson 2009)</w:t>
      </w:r>
      <w:r>
        <w:t xml:space="preserve">, PySR </w:t>
      </w:r>
      <w:r>
        <w:t xml:space="preserve">(Cranmer et al. 2020; Cranmer 2023)</w:t>
      </w:r>
      <w:r>
        <w:t xml:space="preserve">,</w:t>
      </w:r>
      <w:r>
        <w:t xml:space="preserve"> </w:t>
      </w:r>
      <w:r>
        <w:t xml:space="preserve">AI Feynman </w:t>
      </w:r>
      <w:r>
        <w:t xml:space="preserve">(Udrescu and Tegmark 2020; Udrescu et al. 2020)</w:t>
      </w:r>
      <w:r>
        <w:t xml:space="preserve">, PhySO </w:t>
      </w:r>
      <w:r>
        <w:t xml:space="preserve">(Tenachi et al. 2023)</w:t>
      </w:r>
      <w:r>
        <w:t xml:space="preserve">)</w:t>
      </w:r>
      <w:r>
        <w:t xml:space="preserve"> </w:t>
      </w:r>
      <w:r>
        <w:t xml:space="preserve">target unconstrained equation recovery and do not enforce classical-limit</w:t>
      </w:r>
      <w:r>
        <w:t xml:space="preserve"> </w:t>
      </w:r>
      <w:r>
        <w:t xml:space="preserve">constraints algebraically.</w:t>
      </w:r>
      <w:r>
        <w:t xml:space="preserve"> </w:t>
      </w:r>
      <w:r>
        <w:t xml:space="preserve">SINDy </w:t>
      </w:r>
      <w:r>
        <w:t xml:space="preserve">(Brunton et al. 2016)</w:t>
      </w:r>
      <w:r>
        <w:t xml:space="preserve"> </w:t>
      </w:r>
      <w:r>
        <w:t xml:space="preserve">shares our library-based approach but discovers</w:t>
      </w:r>
      <w:r>
        <w:t xml:space="preserve"> </w:t>
      </w:r>
      <w:r>
        <w:t xml:space="preserve">governing equations rather than corrections.</w:t>
      </w:r>
      <w:r>
        <w:t xml:space="preserve"> </w:t>
      </w:r>
      <w:r>
        <w:t xml:space="preserve">PINNs </w:t>
      </w:r>
      <w:r>
        <w:t xml:space="preserve">(Raissi et al. 2019; Karniadakis et al. 2021)</w:t>
      </w:r>
      <w:r>
        <w:t xml:space="preserve"> </w:t>
      </w:r>
      <w:r>
        <w:t xml:space="preserve">embed physical laws as soft loss penalties;</w:t>
      </w:r>
      <w:r>
        <w:t xml:space="preserve"> </w:t>
      </w:r>
      <w:r>
        <w:t xml:space="preserve">ADCD imposes them as hard algebraic identities before any numerical computation.</w:t>
      </w:r>
      <w:r>
        <w:t xml:space="preserve"> </w:t>
      </w:r>
      <w:r>
        <w:t xml:space="preserve">Recent systems combining data with background knowledge and axiomatic reasoning,</w:t>
      </w:r>
      <w:r>
        <w:t xml:space="preserve"> </w:t>
      </w:r>
      <w:r>
        <w:t xml:space="preserve">such as AI-Descartes </w:t>
      </w:r>
      <w:r>
        <w:t xml:space="preserve">(Cornelio et al. 2023)</w:t>
      </w:r>
      <w:r>
        <w:t xml:space="preserve"> </w:t>
      </w:r>
      <w:r>
        <w:t xml:space="preserve">and AI Hilbert </w:t>
      </w:r>
      <w:r>
        <w:t xml:space="preserve">(Cory-Wright et al. 2024)</w:t>
      </w:r>
      <w:r>
        <w:t xml:space="preserve">,</w:t>
      </w:r>
      <w:r>
        <w:t xml:space="preserve"> </w:t>
      </w:r>
      <w:r>
        <w:t xml:space="preserve">highlight the importance of theory-grounded discovery, but do not address</w:t>
      </w:r>
      <w:r>
        <w:t xml:space="preserve"> </w:t>
      </w:r>
      <w:r>
        <w:t xml:space="preserve">catastrophic cancellation near asymptotic limits or provide formal identifiability gating.</w:t>
      </w:r>
      <w:r>
        <w:t xml:space="preserve"> </w:t>
      </w:r>
      <w:r>
        <w:t xml:space="preserve">While dimensional analysis and symmetry constraints have been integrated into</w:t>
      </w:r>
      <w:r>
        <w:t xml:space="preserve"> </w:t>
      </w:r>
      <w:r>
        <w:t xml:space="preserve">SR and dynamical learning </w:t>
      </w:r>
      <w:r>
        <w:t xml:space="preserve">(Tenachi et al. 2023; Petersen et al. 2021; Otto et al. 2025)</w:t>
      </w:r>
      <w:r>
        <w:t xml:space="preserve">,</w:t>
      </w:r>
      <w:r>
        <w:t xml:space="preserve"> </w:t>
      </w:r>
      <w:r>
        <w:t xml:space="preserve">ADCD extends this with a full five-dimensional (MLT</w:t>
      </w:r>
      <m:oMath>
        <m:r>
          <m:rPr>
            <m:sty m:val="p"/>
          </m:rPr>
          <m:t>Θ</m:t>
        </m:r>
      </m:oMath>
      <w:r>
        <w:t xml:space="preserve">Q) Buckingham-</w:t>
      </w:r>
      <m:oMath>
        <m:r>
          <m:t>π</m:t>
        </m:r>
      </m:oMath>
      <w:r>
        <w:t xml:space="preserve"> </w:t>
      </w:r>
      <w:r>
        <w:t xml:space="preserve">engine,</w:t>
      </w:r>
      <w:r>
        <w:t xml:space="preserve"> </w:t>
      </w:r>
      <w:r>
        <w:t xml:space="preserve">transcendental argument safety, and BIC-based identifiability reporting</w:t>
      </w:r>
      <w:r>
        <w:t xml:space="preserve"> </w:t>
      </w:r>
      <w:r>
        <w:t xml:space="preserve">in a single pre-fitting gate cascade.</w:t>
      </w:r>
      <w:r>
        <w:t xml:space="preserve"> </w:t>
      </w:r>
      <w:r>
        <w:t xml:space="preserve">To our knowledge, ADCD is the first framework to combine deterministic grammar</w:t>
      </w:r>
      <w:r>
        <w:t xml:space="preserve"> </w:t>
      </w:r>
      <w:r>
        <w:t xml:space="preserve">enumeration, algebraic classical-limit enforcement, phenomenon-specific Bayesian</w:t>
      </w:r>
      <w:r>
        <w:t xml:space="preserve"> </w:t>
      </w:r>
      <w:r>
        <w:t xml:space="preserve">priors, and explicit identifiability gating for the correction-first paradigm.</w:t>
      </w:r>
    </w:p>
    <w:p>
      <w:pPr>
        <w:pStyle w:val="Heading1"/>
      </w:pPr>
      <w:bookmarkStart w:id="11" w:name="_methods"/>
      <w:r>
        <w:t xml:space="preserve">Methods</w:t>
      </w:r>
      <w:bookmarkEnd w:id="11"/>
    </w:p>
    <w:p>
      <w:pPr>
        <w:pStyle w:val="Heading2"/>
      </w:pPr>
      <w:bookmarkStart w:id="12" w:name="_d4823a70da36fc6582662a16ec49822a865d9f8"/>
      <w:r>
        <w:t xml:space="preserve">Problem formulation</w:t>
      </w:r>
      <w:bookmarkEnd w:id="12"/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be the observed target and classical</w:t>
      </w:r>
      <w:r>
        <w:t xml:space="preserve"> </w:t>
      </w:r>
      <w:r>
        <w:t xml:space="preserve">prediction. The correction residual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</m:rPr>
                      <m:t>(multiplicative)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m:t>(additive)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mode with the lower scale dependence is selected, measured as the absolute</w:t>
      </w:r>
      <w:r>
        <w:t xml:space="preserve"> </w:t>
      </w:r>
      <w:r>
        <w:t xml:space="preserve">Spearman correlation between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and the residual magnitude (ties</w:t>
      </w:r>
      <w:r>
        <w:t xml:space="preserve"> </w:t>
      </w:r>
      <w:r>
        <w:t xml:space="preserve">go to additive). There is no numeric ambiguity threshold: additive is used by</w:t>
      </w:r>
      <w:r>
        <w:t xml:space="preserve"> </w:t>
      </w:r>
      <w:r>
        <w:t xml:space="preserve">construction when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, when fewer than 5</w:t>
      </w:r>
      <w:r>
        <w:t xml:space="preserve"> </w:t>
      </w:r>
      <w:r>
        <w:t xml:space="preserve">valid points remain, or when both correlations vanish.</w:t>
      </w:r>
      <w:r>
        <w:t xml:space="preserve"> </w:t>
      </w:r>
      <w:r>
        <w:t xml:space="preserve">ADCD searches for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r>
          <m:rPr>
            <m:sty m:val="bi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 the relevant dimensionless ratio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Heading2"/>
      </w:pPr>
      <w:bookmarkStart w:id="13" w:name="_526277e2542961b2d5007c4a146a5888ecaa01f"/>
      <w:r>
        <w:t xml:space="preserve">Algebraically regularized primitive dictionary</w:t>
      </w:r>
      <w:bookmarkEnd w:id="13"/>
    </w:p>
    <w:p>
      <w:pPr>
        <w:pStyle w:val="FirstParagraph"/>
      </w:pPr>
      <w:r>
        <w:t xml:space="preserve">Each primitive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zero-anchored 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u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an exact algebraic</w:t>
      </w:r>
      <w:r>
        <w:t xml:space="preserve"> </w:t>
      </w:r>
      <w:r>
        <w:t xml:space="preserve">identity), while the rational/radical primitives (</w:t>
      </w:r>
      <w:r>
        <w:rPr>
          <w:rStyle w:val="VerbatimChar"/>
        </w:rPr>
        <w:t xml:space="preserve">D_lor</w:t>
      </w:r>
      <w:r>
        <w:t xml:space="preserve">,</w:t>
      </w:r>
      <w:r>
        <w:t xml:space="preserve"> </w:t>
      </w:r>
      <w:r>
        <w:rPr>
          <w:rStyle w:val="VerbatimChar"/>
        </w:rPr>
        <w:t xml:space="preserve">D_rat</w:t>
      </w:r>
      <w:r>
        <w:t xml:space="preserve">) also rationalize the numerator to prevent catastrophic cancellation.</w:t>
      </w:r>
      <w:r>
        <w:t xml:space="preserve"> </w:t>
      </w:r>
      <w:r>
        <w:t xml:space="preserve">For example, the naive form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collapses to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; the regularized form</w:t>
      </w:r>
      <w:r>
        <w:t xml:space="preserve"> </w:t>
      </w:r>
      <m:oMath>
        <m:r>
          <m:t>u</m:t>
        </m:r>
        <m:r>
          <m:rPr>
            <m:sty m:val="p"/>
          </m:rPr>
          <m:t>/</m:t>
        </m:r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u</m:t>
            </m:r>
          </m:e>
        </m:rad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u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returns</w:t>
      </w:r>
      <w:r>
        <w:t xml:space="preserve"> </w:t>
      </w:r>
      <m:oMath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at the same input.</w:t>
      </w:r>
      <w:r>
        <w:t xml:space="preserve"> </w:t>
      </w:r>
      <w:r>
        <w:t xml:space="preserve">Table </w:t>
      </w:r>
      <w:hyperlink w:anchor="_2bdeaf91baa4188947857e1d5f2c7f5428b345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lists all eight primitives.</w:t>
      </w:r>
    </w:p>
    <w:bookmarkStart w:id="14" w:name="_2bdeaf91baa4188947857e1d5f2c7f5428b3451"/>
    <w:p>
      <w:pPr>
        <w:pStyle w:val="TableCaption"/>
      </w:pPr>
      <w:r>
        <w:t xml:space="preserve">The eight algebraically regularized primitives, each satisfying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u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an exact algebraic identity.</w:t>
      </w:r>
      <w:r>
        <w:t xml:space="preserve"> </w:t>
      </w:r>
      <w:r>
        <w:t xml:space="preserve">The first five are the core physics-motivated basis; the remaining three extend</w:t>
      </w:r>
      <w:r>
        <w:t xml:space="preserve"> </w:t>
      </w:r>
      <w:r>
        <w:t xml:space="preserve">coverage to oscillatory, saturation, and power-law regimes.</w:t>
      </w:r>
      <w:r>
        <w:t xml:space="preserve"> </w:t>
      </w:r>
      <w:r>
        <w:t xml:space="preserve">Column</w:t>
      </w:r>
      <w:r>
        <w:t xml:space="preserve"> </w:t>
      </w:r>
      <w:r>
        <w:t xml:space="preserve">“Physical origin”</w:t>
      </w:r>
      <w:r>
        <w:t xml:space="preserve"> </w:t>
      </w:r>
      <w:r>
        <w:t xml:space="preserve">cites the fundamental equation that produces this</w:t>
      </w:r>
      <w:r>
        <w:t xml:space="preserve"> </w:t>
      </w:r>
      <w:r>
        <w:t xml:space="preserve">functional family; it does not imply the primitive is restricted to that domain.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eight algebraically regularized primitives, each satisfying \lim_{u\to0}D(u)=0 as an exact algebraic identity. The first five are the core physics-motivated basis; the remaining three extend coverage to oscillatory, saturation, and power-law regimes. Column “Physical origin” cites the fundamental equation that produces this functional family; it does not imply the primitive is restricted to that domai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Regularized form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e>
              </m:rad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Lorentz factor (</w:t>
            </w:r>
            <m:oMath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D_rat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Yukawa/Fermi pole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D_exp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Debye/Yukawa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 of mixing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D_sqrt_inv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Gravitational / Coulomb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D_pow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|</m:t>
                  </m:r>
                </m:sup>
              </m:sSup>
            </m:oMath>
            <w:r>
              <w:t xml:space="preserve"> </w:t>
            </w:r>
            <w:r>
              <w:t xml:space="preserve">(probe</w:t>
            </w:r>
            <w: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Power-law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D_osc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Wave / AC oscillatory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D_sat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tanh</m:t>
              </m:r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Magnetic / sigmoid saturation</w:t>
            </w:r>
          </w:p>
        </w:tc>
      </w:tr>
    </w:tbl>
    <w:bookmarkEnd w:id="14"/>
    <w:p>
      <w:pPr>
        <w:pStyle w:val="Heading2"/>
      </w:pPr>
      <w:bookmarkStart w:id="15" w:name="_75610a83e3dd7649d84ba724b01de7d76eff05b"/>
      <w:r>
        <w:t xml:space="preserve">Dimensional grouping and free-scale generation</w:t>
      </w:r>
      <w:bookmarkEnd w:id="15"/>
    </w:p>
    <w:p>
      <w:pPr>
        <w:pStyle w:val="FirstParagraph"/>
      </w:pPr>
      <w:r>
        <w:t xml:space="preserve">ADCD employs a 5D (MLT</w:t>
      </w:r>
      <m:oMath>
        <m:r>
          <m:rPr>
            <m:sty m:val="p"/>
          </m:rPr>
          <m:t>Θ</m:t>
        </m:r>
      </m:oMath>
      <w:r>
        <w:t xml:space="preserve">Q) dimensional engine representing each</w:t>
      </w:r>
      <w:r>
        <w:t xml:space="preserve"> </w:t>
      </w:r>
      <w:r>
        <w:t xml:space="preserve">variable as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over the SI base dimensions M, L, T,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 and Q.</w:t>
      </w:r>
      <w:r>
        <w:t xml:space="preserve"> </w:t>
      </w:r>
      <w:r>
        <w:t xml:space="preserve">Rather than computing the full rational nullspace, dimensionless arguments are generated via a two-pass domain heuristic:</w:t>
      </w:r>
      <w:r>
        <w:t xml:space="preserve"> </w:t>
      </w:r>
      <w:r>
        <w:t xml:space="preserve">first, it groups physical variables with identical dimensions into pairwise ratios (e.g.,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);</w:t>
      </w:r>
      <w:r>
        <w:t xml:space="preserve"> </w:t>
      </w:r>
      <w:r>
        <w:t xml:space="preserve">second, each dimensional variable is normalized by linear and quadratic free-scale parameters (</w:t>
      </w:r>
      <m:oMath>
        <m:r>
          <m:t>v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; e.g.,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4</m:t>
            </m:r>
          </m:sub>
        </m:sSub>
      </m:oMath>
      <w:r>
        <w:t xml:space="preserve">).</w:t>
      </w:r>
      <w:r>
        <w:t xml:space="preserve"> </w:t>
      </w:r>
      <w:r>
        <w:t xml:space="preserve">Extending from the conventional 3D MLT to 5D is essential for correctness:</w:t>
      </w:r>
      <w:r>
        <w:t xml:space="preserve"> </w:t>
      </w:r>
      <w:r>
        <w:t xml:space="preserve">in a 3D engine charges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dimensionless scalars and incorrectly bypass the ratio generation;</w:t>
      </w:r>
      <w:r>
        <w:t xml:space="preserve"> </w:t>
      </w:r>
      <w:r>
        <w:t xml:space="preserve">in the 5D engine, charge carries genuine Charge dimension (Q), ensuring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form pairwise ratios in Pass 1 and consume four free-scale parameters (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nor/>
          </m:rPr>
          <m:t>–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) in Pass 2 before distances are indexed.</w:t>
      </w:r>
      <w:r>
        <w:t xml:space="preserve"> </w:t>
      </w:r>
      <w:r>
        <w:t xml:space="preserve">Because four charge-dimensional candidates are enumerated first, that ratio</w:t>
      </w:r>
      <w:r>
        <w:t xml:space="preserve"> </w:t>
      </w:r>
      <w:r>
        <w:t xml:space="preserve">receives subscript</w:t>
      </w:r>
      <w:r>
        <w:t xml:space="preserve"> </w:t>
      </w:r>
      <m:oMath>
        <m:sSub>
          <m:e>
            <m:r>
              <m:t>θ</m:t>
            </m:r>
          </m:e>
          <m:sub>
            <m:r>
              <m:t>4</m:t>
            </m:r>
          </m:sub>
        </m:sSub>
      </m:oMath>
      <w:r>
        <w:t xml:space="preserve">, not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subscript is machine-verifiable evidence of automated discovery:</w:t>
      </w:r>
      <w:r>
        <w:t xml:space="preserve"> </w:t>
      </w:r>
      <w:r>
        <w:t xml:space="preserve">a manually supplied ratio would be pinned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convention,</w:t>
      </w:r>
      <w:r>
        <w:t xml:space="preserve"> </w:t>
      </w:r>
      <w:r>
        <w:t xml:space="preserve">not assigned by enumeration.</w:t>
      </w:r>
    </w:p>
    <w:p>
      <w:pPr>
        <w:pStyle w:val="Heading2"/>
      </w:pPr>
      <w:bookmarkStart w:id="16" w:name="_35b6524842e2b9604247a01ebafc6117e404a87"/>
      <w:r>
        <w:t xml:space="preserve">Phenomenon-specific taxonomy as Bayesian prior</w:t>
      </w:r>
      <w:bookmarkEnd w:id="16"/>
    </w:p>
    <w:p>
      <w:pPr>
        <w:pStyle w:val="FirstParagraph"/>
      </w:pPr>
      <w:r>
        <w:t xml:space="preserve">Each physics phenomenon maps to a named set of permitted primitive families</w:t>
      </w:r>
      <w:r>
        <w:t xml:space="preserve"> </w:t>
      </w:r>
      <w:r>
        <w:t xml:space="preserve">derived exclusively from its fundamental equations.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yukawa_debye_screening</w:t>
      </w:r>
      <w:r>
        <w:t xml:space="preserve"> </w:t>
      </w:r>
      <w:r>
        <w:t xml:space="preserve">permits only</w:t>
      </w:r>
      <w:r>
        <w:t xml:space="preserve"> </w:t>
      </w:r>
      <w:r>
        <w:rPr>
          <w:rStyle w:val="VerbatimChar"/>
        </w:rPr>
        <w:t xml:space="preserve">D_exp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D_rat</w:t>
      </w:r>
      <w:r>
        <w:t xml:space="preserve">: the Klein-Gordon equation yields</w:t>
      </w:r>
      <w:r>
        <w:t xml:space="preserve"> </w:t>
      </w:r>
      <m:oMath>
        <m:r>
          <m:t>V</m:t>
        </m:r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  <m:r>
              <m:t>r</m:t>
            </m:r>
          </m:sup>
        </m:sSup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Debye-Hückel theory yields</w:t>
      </w:r>
      <w:r>
        <w:t xml:space="preserve"> </w:t>
      </w:r>
      <m:oMath>
        <m:r>
          <m:t>ϕ</m:t>
        </m:r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p>
        </m:sSup>
        <m:r>
          <m:rPr>
            <m:sty m:val="p"/>
          </m:rPr>
          <m:t>/</m:t>
        </m:r>
        <m:r>
          <m:t>r</m:t>
        </m:r>
      </m:oMath>
      <w:r>
        <w:t xml:space="preserve">; both involve</w:t>
      </w:r>
      <w:r>
        <w:t xml:space="preserve"> </w:t>
      </w:r>
      <w:r>
        <w:t xml:space="preserve">only exponential and rational families.</w:t>
      </w:r>
      <w:r>
        <w:t xml:space="preserve"> </w:t>
      </w:r>
      <w:r>
        <w:t xml:space="preserve">The taxonomy restricts</w:t>
      </w:r>
      <w:r>
        <w:t xml:space="preserve"> </w:t>
      </w:r>
      <w:r>
        <w:rPr>
          <w:i/>
          <w:iCs/>
        </w:rPr>
        <w:t xml:space="preserve">which family</w:t>
      </w:r>
      <w:r>
        <w:t xml:space="preserve"> </w:t>
      </w:r>
      <w:r>
        <w:t xml:space="preserve">is searched; it says nothing about</w:t>
      </w:r>
      <w:r>
        <w:t xml:space="preserve"> </w:t>
      </w:r>
      <w:r>
        <w:rPr>
          <w:i/>
          <w:iCs/>
        </w:rPr>
        <w:t xml:space="preserve">which variable</w:t>
      </w:r>
      <w:r>
        <w:t xml:space="preserve"> </w:t>
      </w:r>
      <w:r>
        <w:t xml:space="preserve">enters the argument or</w:t>
      </w:r>
      <w:r>
        <w:t xml:space="preserve"> </w:t>
      </w:r>
      <w:r>
        <w:rPr>
          <w:i/>
          <w:iCs/>
        </w:rPr>
        <w:t xml:space="preserve">what the scale is</w:t>
      </w:r>
      <w:r>
        <w:t xml:space="preserve">—both</w:t>
      </w:r>
      <w:r>
        <w:t xml:space="preserve"> </w:t>
      </w:r>
      <w:r>
        <w:t xml:space="preserve">are determined by the Buckingham-</w:t>
      </w:r>
      <m:oMath>
        <m:r>
          <m:t>π</m:t>
        </m:r>
      </m:oMath>
      <w:r>
        <w:t xml:space="preserve"> </w:t>
      </w:r>
      <w:r>
        <w:t xml:space="preserve">engine and numerical optimizer.</w:t>
      </w:r>
      <w:r>
        <w:t xml:space="preserve"> </w:t>
      </w:r>
      <w:r>
        <w:t xml:space="preserve">Including a physically unjustified primitive acts as a noise sponge, collapsing</w:t>
      </w:r>
      <w:r>
        <w:t xml:space="preserve"> </w:t>
      </w:r>
      <w:r>
        <w:t xml:space="preserve">the Ablation Control BIC gap and destroying identifiability.</w:t>
      </w:r>
      <w:r>
        <w:t xml:space="preserve"> </w:t>
      </w:r>
      <w:r>
        <w:t xml:space="preserve">Table </w:t>
      </w:r>
      <w:hyperlink w:anchor="_8ab5eba3bf9ebcd8af54648c5563c1c7f59f7e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lists entries for our three experiments.</w:t>
      </w:r>
    </w:p>
    <w:p>
      <w:pPr>
        <w:pStyle w:val="BodyText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cross-misspecification audit (Appendix, Table R3) confirms the taxonomy is</w:t>
      </w:r>
      <w:r>
        <w:t xml:space="preserve"> </w:t>
      </w:r>
      <w:r>
        <w:rPr>
          <w:i/>
          <w:iCs/>
        </w:rPr>
        <w:t xml:space="preserve">safe against misspecification</w:t>
      </w:r>
      <w:r>
        <w:t xml:space="preserve">: in all 6</w:t>
      </w:r>
      <w:r>
        <w:t xml:space="preserve"> </w:t>
      </w:r>
      <w:r>
        <w:t xml:space="preserve">wrong-taxonomy trials the system returned WITHHELD (0% false discovery rate;</w:t>
      </w:r>
      <w:r>
        <w:t xml:space="preserve"> </w:t>
      </w:r>
      <w:r>
        <w:t xml:space="preserve">4 of the 6 are informative, since the 2 Time Dilation trials are WITHHELD even</w:t>
      </w:r>
      <w:r>
        <w:t xml:space="preserve"> </w:t>
      </w:r>
      <w:r>
        <w:t xml:space="preserve">under the correct prior; e.g., applying the oscillatory</w:t>
      </w:r>
      <w:r>
        <w:t xml:space="preserve"> </w:t>
      </w:r>
      <w:r>
        <w:rPr>
          <w:rStyle w:val="VerbatimChar"/>
        </w:rPr>
        <w:t xml:space="preserve">wave_resonance</w:t>
      </w:r>
      <w:r>
        <w:t xml:space="preserve"> </w:t>
      </w:r>
      <w:r>
        <w:t xml:space="preserve">prior to Screened Coulomb yields WITHHELD with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910.5</m:t>
        </m:r>
      </m:oMath>
      <w:r>
        <w:t xml:space="preserve">).</w:t>
      </w:r>
      <w:r>
        <w:rPr>
          <w:rStyle w:val="FootnoteReference"/>
        </w:rPr>
        <w:footnoteReference w:id="17"/>
      </w:r>
      <w:r>
        <w:t xml:space="preserve"> </w:t>
      </w:r>
      <w:r>
        <w:t xml:space="preserve">An incorrect prior causes conservative abstention, not hallucinated laws.</w:t>
      </w:r>
    </w:p>
    <w:bookmarkStart w:id="19" w:name="_8ab5eba3bf9ebcd8af54648c5563c1c7f59f7ee"/>
    <w:p>
      <w:pPr>
        <w:pStyle w:val="TableCaption"/>
      </w:pPr>
      <w:r>
        <w:t xml:space="preserve">Phenomenon-specific taxonomy entries used in experiments,</w:t>
      </w:r>
      <w:r>
        <w:t xml:space="preserve"> </w:t>
      </w:r>
      <w:r>
        <w:t xml:space="preserve">with physical justification for the primitive set.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enomenon-specific taxonomy entries used in experiments, with physical justification for the primitive se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Phenomenon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yukawa_debye_screening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D_rat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Klein-Gordon / Debye-Hückel: fundamental form is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lorentz_special_relativity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Lorentz invariance of Maxwell equations uniquely selects the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boltzmann_thermodynamics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Boltzmann partition function and entropy of mixing involve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ϵ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t xml:space="preserve">.</w:t>
            </w:r>
          </w:p>
        </w:tc>
      </w:tr>
    </w:tbl>
    <w:bookmarkEnd w:id="19"/>
    <w:p>
      <w:pPr>
        <w:pStyle w:val="Heading2"/>
      </w:pPr>
      <w:bookmarkStart w:id="20" w:name="_40f5476e03ca74ba4305650ac107c2b30c18041"/>
      <w:r>
        <w:t xml:space="preserve">Grammar enumeration and theta-intact constraint</w:t>
      </w:r>
      <w:bookmarkEnd w:id="20"/>
    </w:p>
    <w:p>
      <w:pPr>
        <w:pStyle w:val="FirstParagraph"/>
      </w:pPr>
      <w:r>
        <w:t xml:space="preserve">Candidates take the form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 optionally</w:t>
      </w:r>
      <w:r>
        <w:t xml:space="preserve"> </w:t>
      </w:r>
      <w:r>
        <w:t xml:space="preserve">extended with a secondary additive or multiplicative-coupled term (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; depth</w:t>
      </w:r>
      <w:r>
        <w:t xml:space="preserve"> </w:t>
      </w:r>
      <m:oMath>
        <m:r>
          <m:rPr>
            <m:sty m:val="p"/>
          </m:rPr>
          <m:t>≤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  <m:r>
          <m:t>25</m:t>
        </m:r>
      </m:oMath>
      <w:r>
        <w:t xml:space="preserve"> </w:t>
      </w:r>
      <w:r>
        <w:t xml:space="preserve">tokens).</w:t>
      </w:r>
      <w:r>
        <w:t xml:space="preserve"> </w:t>
      </w:r>
      <w:r>
        <w:t xml:space="preserve">Dimensionless arguments are auto-generated by the Buckingham-</w:t>
      </w:r>
      <m:oMath>
        <m:r>
          <m:t>π</m:t>
        </m:r>
      </m:oMath>
      <w:r>
        <w:t xml:space="preserve"> </w:t>
      </w:r>
      <w:r>
        <w:t xml:space="preserve">engine</w:t>
      </w:r>
      <w:r>
        <w:t xml:space="preserve"> </w:t>
      </w:r>
      <w:r>
        <w:t xml:space="preserve">(up to 12 candidate ratios per scenario).</w:t>
      </w:r>
      <w:r>
        <w:t xml:space="preserve"> </w:t>
      </w:r>
      <w:r>
        <w:t xml:space="preserve">All gates (Table </w:t>
      </w:r>
      <w:hyperlink w:anchor="_34fafeaa229659bea99805a2379672a37a5826b">
        <w:r>
          <w:rPr>
            <w:rStyle w:val="Hyperlink"/>
          </w:rPr>
          <w:t xml:space="preserve">3</w:t>
        </w:r>
      </w:hyperlink>
      <w:r>
        <w:t xml:space="preserve">) are evaluated on the</w:t>
      </w:r>
      <w:r>
        <w:t xml:space="preserve"> </w:t>
      </w:r>
      <w:r>
        <w:rPr>
          <w:i/>
          <w:iCs/>
        </w:rPr>
        <w:t xml:space="preserve">theta-intact</w:t>
      </w:r>
      <w:r>
        <w:t xml:space="preserve"> </w:t>
      </w:r>
      <w:r>
        <w:t xml:space="preserve">expression—the fully parameterized symbolic form before any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assigned the value</w:t>
      </w:r>
      <w:r>
        <w:t xml:space="preserve"> </w:t>
      </w:r>
      <m:oMath>
        <m:r>
          <m:t>1</m:t>
        </m:r>
      </m:oMath>
      <w:r>
        <w:t xml:space="preserve">—because early substitution collapses dimensionful scale</w:t>
      </w:r>
      <w:r>
        <w:t xml:space="preserve"> </w:t>
      </w:r>
      <w:r>
        <w:t xml:space="preserve">parameters (e.g.,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representing a Debye length) to dimensionless</w:t>
      </w:r>
      <w:r>
        <w:t xml:space="preserve"> </w:t>
      </w:r>
      <w:r>
        <w:t xml:space="preserve">constants, falsifying the dimensional consistency check (single-variable free-scale ratios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pass Gate 2 via explicit</w:t>
      </w:r>
      <w:r>
        <w:t xml:space="preserve"> </w:t>
      </w:r>
      <m:oMath>
        <m:r>
          <m:t>θ</m:t>
        </m:r>
      </m:oMath>
      <w:r>
        <w:t xml:space="preserve">-scaling relaxation, and parameterized candidates defer final ARC verification to post-fit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θ</m:t>
            </m:r>
          </m:e>
        </m:acc>
      </m:oMath>
      <w:r>
        <w:t xml:space="preserve">).</w:t>
      </w:r>
    </w:p>
    <w:p>
      <w:pPr>
        <w:pStyle w:val="Heading2"/>
      </w:pPr>
      <w:bookmarkStart w:id="21" w:name="_9bb133a3ac464e73b80a9b12eeb70686e961afa"/>
      <w:r>
        <w:t xml:space="preserve">Physical gate cascade</w:t>
      </w:r>
      <w:bookmarkEnd w:id="21"/>
    </w:p>
    <w:p>
      <w:pPr>
        <w:pStyle w:val="FirstParagraph"/>
      </w:pPr>
      <w:r>
        <w:t xml:space="preserve">Before fitting, each candidate must pass a five-gate cascade</w:t>
      </w:r>
      <w:r>
        <w:t xml:space="preserve"> </w:t>
      </w:r>
      <w:r>
        <w:t xml:space="preserve">(Table </w:t>
      </w:r>
      <w:hyperlink w:anchor="_34fafeaa229659bea99805a2379672a37a5826b">
        <w:r>
          <w:rPr>
            <w:rStyle w:val="Hyperlink"/>
          </w:rPr>
          <w:t xml:space="preserve">3</w:t>
        </w:r>
      </w:hyperlink>
      <w:r>
        <w:t xml:space="preserve">) applied to the theta-intact expression.</w:t>
      </w:r>
    </w:p>
    <w:bookmarkStart w:id="22" w:name="_34fafeaa229659bea99805a2379672a37a5826b"/>
    <w:p>
      <w:pPr>
        <w:pStyle w:val="TableCaption"/>
      </w:pPr>
      <w:r>
        <w:t xml:space="preserve">The five-gate pre-fitting physical cascade.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ive-gate pre-fitting physical cascad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AST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SymPy tree depth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12</m:t>
              </m:r>
            </m:oMath>
            <w:r>
              <w:t xml:space="preserve"> </w:t>
            </w:r>
            <w:r>
              <w:t xml:space="preserve">or token count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50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Dimensional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base dimensions of the expression do not match the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Transcendental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Arguments to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t xml:space="preserve">,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⋅</m:t>
                  </m:r>
                </m:e>
              </m:rad>
            </m:oMath>
            <w:r>
              <w:t xml:space="preserve"> </w:t>
            </w:r>
            <w:r>
              <w:t xml:space="preserve">are not dimensionless.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Asymptotic check (ARC)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Symbolic limit at the classical boundary does not vanish.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Coarse numerical fitness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at</w:t>
            </w:r>
            <w:r>
              <w:t xml:space="preserve"> </w:t>
            </w:r>
            <m:oMath>
              <m:r>
                <m:rPr>
                  <m:sty m:val="bi"/>
                </m:rP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</m:oMath>
            <w:r>
              <w:t xml:space="preserve"> </w:t>
            </w:r>
            <w:r>
              <w:t xml:space="preserve">produces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/</w:t>
            </w:r>
            <w:r>
              <w:rPr>
                <w:rStyle w:val="VerbatimChar"/>
              </w:rPr>
              <w:t xml:space="preserve">Inf</w:t>
            </w:r>
            <w:r>
              <w:t xml:space="preserve">.</w:t>
            </w:r>
          </w:p>
        </w:tc>
      </w:tr>
    </w:tbl>
    <w:bookmarkEnd w:id="22"/>
    <w:p>
      <w:pPr>
        <w:pStyle w:val="Heading2"/>
      </w:pPr>
      <w:bookmarkStart w:id="23" w:name="_3dc49908de44a3d72f9ae592bbcf63abbc9da82"/>
      <w:r>
        <w:t xml:space="preserve">Parameter optimization and model selection</w:t>
      </w:r>
      <w:bookmarkEnd w:id="23"/>
    </w:p>
    <w:p>
      <w:pPr>
        <w:pStyle w:val="FirstParagraph"/>
      </w:pPr>
      <w:r>
        <w:t xml:space="preserve">The top-30 Stage-1 surviving candidates (ranked at probe</w:t>
      </w:r>
      <w:r>
        <w:t xml:space="preserve"> </w:t>
      </w:r>
      <m:oMath>
        <m:r>
          <m:rPr>
            <m:sty m:val="bi"/>
          </m:rPr>
          <m:t>θ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t xml:space="preserve">) are optimized via L-BFGS-B (JAX,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).</w:t>
      </w:r>
      <w:r>
        <w:t xml:space="preserve"> </w:t>
      </w:r>
      <w:r>
        <w:t xml:space="preserve">Parameters are log-reparameterized (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) for order-of-magnitude traversal; multiple restarts</w:t>
      </w:r>
      <w:r>
        <w:t xml:space="preserve"> </w:t>
      </w:r>
      <w:r>
        <w:t xml:space="preserve">reduce sensitivity to local optima.</w:t>
      </w:r>
      <w:r>
        <w:t xml:space="preserve"> </w:t>
      </w:r>
      <w:r>
        <w:t xml:space="preserve">Model selection uses an Extended BIC </w:t>
      </w:r>
      <w:r>
        <w:t xml:space="preserve">(Schwarz 1978; Chen and Chen 2008)</w:t>
      </w:r>
      <w:r>
        <w:t xml:space="preserve">: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acc>
          <m:accPr>
            <m:chr m:val="̂"/>
          </m:accPr>
          <m:e>
            <m:r>
              <m:t>L</m:t>
            </m:r>
          </m:e>
        </m:acc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incorporating a multiple-testing penalty over the search space size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By the Kass–Raftery scale </w:t>
      </w:r>
      <w:r>
        <w:t xml:space="preserve">(Kass and Raftery 1995)</w:t>
      </w:r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adopted identifiability threshold.</w:t>
      </w:r>
    </w:p>
    <w:p>
      <w:pPr>
        <w:pStyle w:val="Heading2"/>
      </w:pPr>
      <w:bookmarkStart w:id="24" w:name="_236375bccae989613f89b5956ef85b21a233826"/>
      <w:r>
        <w:t xml:space="preserve">Four-step validation protocol</w:t>
      </w:r>
      <w:bookmarkEnd w:id="24"/>
    </w:p>
    <w:p>
      <w:pPr>
        <w:pStyle w:val="FirstParagraph"/>
      </w:pPr>
      <w:r>
        <w:t xml:space="preserve">The pipeline issues an IDENTIFIABLE verdict only when all four checks pass: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Budget disclosure.</w:t>
      </w:r>
      <w:r>
        <w:t xml:space="preserve"> </w:t>
      </w:r>
      <w:r>
        <w:t xml:space="preserve">The complete size of the domain-guided</w:t>
      </w:r>
      <w:r>
        <w:t xml:space="preserve"> </w:t>
      </w:r>
      <w:r>
        <w:t xml:space="preserve">search space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 </w:t>
      </w:r>
      <w:r>
        <w:t xml:space="preserve">and the primitive list are reported before any results are seen.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Positive control.</w:t>
      </w:r>
      <w:r>
        <w:t xml:space="preserve"> </w:t>
      </w:r>
      <w:r>
        <w:t xml:space="preserve">Restricted to the ground-truth primitive</w:t>
      </w:r>
      <w:r>
        <w:t xml:space="preserve"> </w:t>
      </w:r>
      <w:r>
        <w:t xml:space="preserve">family alone, the system must recover the correct structure</w:t>
      </w:r>
      <w:r>
        <w:t xml:space="preserve"> </w:t>
      </w:r>
      <w:r>
        <w:t xml:space="preserve">(NMSE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; i.e., less than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unexplained variance).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Ablation control.</w:t>
      </w:r>
      <w:r>
        <w:t xml:space="preserve"> </w:t>
      </w:r>
      <w:r>
        <w:t xml:space="preserve">With the ground-truth family excluded from</w:t>
      </w:r>
      <w:r>
        <w:t xml:space="preserve"> </w:t>
      </w:r>
      <w:r>
        <w:t xml:space="preserve">an otherwise unrestricted search over the full eight-primitive</w:t>
      </w:r>
      <w:r>
        <w:t xml:space="preserve"> </w:t>
      </w:r>
      <w:r>
        <w:t xml:space="preserve">registry, the BIC gap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(Kass–Raftery</w:t>
      </w:r>
      <w:r>
        <w:t xml:space="preserve"> </w:t>
      </w:r>
      <w:r>
        <w:t xml:space="preserve">“very</w:t>
      </w:r>
      <w:r>
        <w:t xml:space="preserve"> </w:t>
      </w:r>
      <w:r>
        <w:t xml:space="preserve">strong evidence”</w:t>
      </w:r>
      <w:r>
        <w:t xml:space="preserve">) must hold between the domain-guided Rank-1</w:t>
      </w:r>
      <w:r>
        <w:t xml:space="preserve"> </w:t>
      </w:r>
      <w:r>
        <w:t xml:space="preserve">candidate from the blind search and the best Rank-1 candidate found under ablation (on synthetic benchmarks, the evaluation harness isolates/ablates the ground-truth family directly; on unlabelled data, ablation removes the Rank-1 family found in Step 1).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Determinism.</w:t>
      </w:r>
      <w:r>
        <w:t xml:space="preserve"> </w:t>
      </w:r>
      <w:r>
        <w:t xml:space="preserve">Three independent runs with identical inputs</w:t>
      </w:r>
      <w:r>
        <w:t xml:space="preserve"> </w:t>
      </w:r>
      <w:r>
        <w:t xml:space="preserve">produce byte-exact identical results.</w:t>
      </w:r>
    </w:p>
    <w:p>
      <w:pPr>
        <w:pStyle w:val="FirstParagraph"/>
      </w:pPr>
      <w:r>
        <w:t xml:space="preserve">Failure of any check yields WITHHELD.</w:t>
      </w:r>
    </w:p>
    <w:p>
      <w:pPr>
        <w:pStyle w:val="Heading1"/>
      </w:pPr>
      <w:bookmarkStart w:id="25" w:name="_experiments"/>
      <w:r>
        <w:t xml:space="preserve">Experiments</w:t>
      </w:r>
      <w:bookmarkEnd w:id="25"/>
    </w:p>
    <w:p>
      <w:pPr>
        <w:pStyle w:val="Heading2"/>
      </w:pPr>
      <w:bookmarkStart w:id="26" w:name="_setup"/>
      <w:r>
        <w:t xml:space="preserve">Setup</w:t>
      </w:r>
      <w:bookmarkEnd w:id="26"/>
    </w:p>
    <w:p>
      <w:pPr>
        <w:pStyle w:val="FirstParagraph"/>
      </w:pPr>
      <w:r>
        <w:t xml:space="preserve">Table </w:t>
      </w:r>
      <w:hyperlink w:anchor="_f9c4f5d1c9390fcbc5694b2fe95fabd219271c8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the three scenarios.</w:t>
      </w:r>
      <w:r>
        <w:t xml:space="preserve"> </w:t>
      </w:r>
      <w:r>
        <w:t xml:space="preserve">All use 1% Gaussian multiplicative noise,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points, seed 42.</w:t>
      </w:r>
      <w:r>
        <w:t xml:space="preserve"> </w:t>
      </w:r>
      <w:r>
        <w:t xml:space="preserve">Observation windows reflect historical low-signal regimes.</w:t>
      </w:r>
      <w:r>
        <w:t xml:space="preserve"> </w:t>
      </w:r>
      <w:r>
        <w:t xml:space="preserve">The ground truth is never supplied to the pipeline; only noisy observations,</w:t>
      </w:r>
      <w:r>
        <w:t xml:space="preserve"> </w:t>
      </w:r>
      <w:r>
        <w:t xml:space="preserve">classical predictions, dimensional variable definitions, and the taxonomy key are provided.</w:t>
      </w:r>
    </w:p>
    <w:bookmarkStart w:id="27" w:name="_f9c4f5d1c9390fcbc5694b2fe95fabd219271c8"/>
    <w:p>
      <w:pPr>
        <w:pStyle w:val="TableCaption"/>
      </w:pPr>
      <w:r>
        <w:t xml:space="preserve">Experimental scenarios with domains, historical observation windows,</w:t>
      </w:r>
      <w:r>
        <w:t xml:space="preserve"> </w:t>
      </w:r>
      <w:r>
        <w:t xml:space="preserve">taxonomy keys, targets, and the full domain-guided search space size (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erimental scenarios with domains, historical observation windows, taxonomy keys, targets, and the full domain-guided search space size (|\mathcal{C}|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Dilation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≤</m:t>
              </m:r>
              <m:r>
                <m:t>0.3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lorentz_special_relativity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Screened Coulomb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Electrostatics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≤</m:t>
              </m:r>
              <m:r>
                <m:t>4.0</m:t>
              </m:r>
            </m:oMath>
            <w:r>
              <w:t xml:space="preserve">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yukawa_debye_screening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Entropy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Thermodynamics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boltzmann_thermodynamics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</w:tbl>
    <w:bookmarkEnd w:id="27"/>
    <w:p>
      <w:pPr>
        <w:pStyle w:val="Heading2"/>
      </w:pPr>
      <w:bookmarkStart w:id="28" w:name="_a28f169358a053f7b171a621bd02ee9ea3d1d28"/>
      <w:r>
        <w:t xml:space="preserve">Results</w:t>
      </w:r>
      <w:bookmarkEnd w:id="28"/>
    </w:p>
    <w:bookmarkStart w:id="32" w:name="_c7946d13b3f336e982488dc050f3a0bcdd814c3"/>
    <w:p>
      <w:pPr>
        <w:pStyle w:val="CaptionedFigure"/>
      </w:pPr>
      <w:r>
        <w:drawing>
          <wp:inline>
            <wp:extent cx="5334000" cy="174557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1_recover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 </w:t>
      </w:r>
      <w:r>
        <w:t xml:space="preserve">Correction recovery for the three scenarios.</w:t>
      </w:r>
      <w:r>
        <w:t xml:space="preserve"> </w:t>
      </w:r>
      <w:r>
        <w:rPr>
          <w:i/>
          <w:iCs/>
        </w:rPr>
        <w:t xml:space="preserve">Gray dots</w:t>
      </w:r>
      <w:r>
        <w:t xml:space="preserve">: observed residual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at 1% Gaussian noise.</w:t>
      </w:r>
      <w:r>
        <w:t xml:space="preserve"> </w:t>
      </w:r>
      <w:r>
        <w:rPr>
          <w:i/>
          <w:iCs/>
        </w:rPr>
        <w:t xml:space="preserve">Blue solid</w:t>
      </w:r>
      <w:r>
        <w:t xml:space="preserve">: ground truth.</w:t>
      </w:r>
      <w:r>
        <w:t xml:space="preserve"> </w:t>
      </w:r>
      <w:r>
        <w:rPr>
          <w:i/>
          <w:iCs/>
        </w:rPr>
        <w:t xml:space="preserve">Red dashed</w:t>
      </w:r>
      <w:r>
        <w:t xml:space="preserve"> </w:t>
      </w:r>
      <w:r>
        <w:t xml:space="preserve">(</w:t>
      </w:r>
      <w:r>
        <w:t xml:space="preserve">“ADCD Recovery”</w:t>
      </w:r>
      <w:r>
        <w:t xml:space="preserve">): the exact symbolic expression</w:t>
      </w:r>
      <w:r>
        <w:t xml:space="preserve"> </w:t>
      </w:r>
      <w:r>
        <w:t xml:space="preserve">discovered by ADCD, evaluated with the fitted parameters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;</w:t>
      </w:r>
      <w:r>
        <w:t xml:space="preserve"> </w:t>
      </w:r>
      <w:r>
        <w:t xml:space="preserve">see Table </w:t>
      </w:r>
      <w:hyperlink w:anchor="_3004d538530d216c95e9fae87e902706469aff1">
        <w:r>
          <w:rPr>
            <w:rStyle w:val="Hyperlink"/>
          </w:rPr>
          <w:t xml:space="preserve">[tab:results]</w:t>
        </w:r>
      </w:hyperlink>
      <w:r>
        <w:t xml:space="preserve"> </w:t>
      </w:r>
      <w:r>
        <w:t xml:space="preserve">for exact NMSE values.</w:t>
      </w:r>
      <w:r>
        <w:t xml:space="preserve"> </w:t>
      </w:r>
      <w:r>
        <w:t xml:space="preserve">Screened Coulomb (IDENTIFIABLE): exact symbolic match,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2.77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  <w:r>
        <w:t xml:space="preserve"> </w:t>
      </w:r>
      <w:r>
        <w:t xml:space="preserve">Entropy Expansion (IDENTIFIABLE): class-level match,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Time Dilation (WITHHELD): Lorentz structure found at Rank 1,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0.41</m:t>
        </m:r>
      </m:oMath>
      <w:r>
        <w:t xml:space="preserve">;</w:t>
      </w:r>
      <w:r>
        <w:t xml:space="preserve"> </w:t>
      </w:r>
      <w:r>
        <w:t xml:space="preserve">positive control fails within the historical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 </w:t>
      </w:r>
      <w:r>
        <w:t xml:space="preserve">observation window.</w:t>
      </w:r>
      <w:r>
        <w:t xml:space="preserve"> </w:t>
      </w:r>
    </w:p>
    <w:bookmarkEnd w:id="32"/>
    <w:bookmarkStart w:id="36" w:name="_afdb111206819426e5a108476a671f77ce665af"/>
    <w:p>
      <w:pPr>
        <w:pStyle w:val="CaptionedFigure"/>
      </w:pPr>
      <w:r>
        <w:drawing>
          <wp:inline>
            <wp:extent cx="5334000" cy="189222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2_bic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 </w:t>
      </w:r>
      <w:r>
        <w:t xml:space="preserve">BIC identifiability comparison.</w:t>
      </w:r>
      <w:r>
        <w:t xml:space="preserve"> </w:t>
      </w:r>
      <w:r>
        <w:rPr>
          <w:i/>
          <w:iCs/>
        </w:rPr>
        <w:t xml:space="preserve">Left (a)</w:t>
      </w:r>
      <w:r>
        <w:t xml:space="preserve">: absolute BIC of the Rank-1 domain-guided search candidate</w:t>
      </w:r>
      <w:r>
        <w:t xml:space="preserve"> </w:t>
      </w:r>
      <w:r>
        <w:t xml:space="preserve">(dark blue) and the best alternative produced with the ground-truth</w:t>
      </w:r>
      <w:r>
        <w:t xml:space="preserve"> </w:t>
      </w:r>
      <w:r>
        <w:t xml:space="preserve">primitive family excluded (gray).</w:t>
      </w:r>
      <w:r>
        <w:t xml:space="preserve"> </w:t>
      </w:r>
      <w:r>
        <w:rPr>
          <w:i/>
          <w:iCs/>
        </w:rPr>
        <w:t xml:space="preserve">Right (b)</w:t>
      </w:r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on a log scale; positive values indicate</w:t>
      </w:r>
      <w:r>
        <w:t xml:space="preserve"> </w:t>
      </w:r>
      <w:r>
        <w:t xml:space="preserve">the full-primitive Rank-1 candidate is preferred over the ablated best.</w:t>
      </w:r>
      <w:r>
        <w:t xml:space="preserve"> </w:t>
      </w:r>
      <w:r>
        <w:t xml:space="preserve">Red dashed: Kass–Raftery</w:t>
      </w:r>
      <w:r>
        <w:t xml:space="preserve"> </w:t>
      </w:r>
      <w:r>
        <w:t xml:space="preserve">“very strong evidence”</w:t>
      </w:r>
      <w:r>
        <w:t xml:space="preserve"> </w:t>
      </w:r>
      <w:r>
        <w:t xml:space="preserve">threshold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10</m:t>
        </m:r>
      </m:oMath>
      <w:r>
        <w:t xml:space="preserve">) </w:t>
      </w:r>
      <w:r>
        <w:t xml:space="preserve">(Kass and Raftery 1995)</w:t>
      </w:r>
      <w:r>
        <w:t xml:space="preserve">.</w:t>
      </w:r>
      <w:r>
        <w:t xml:space="preserve"> </w:t>
      </w:r>
      <w:r>
        <w:t xml:space="preserve">At seed 42 all three scenarios exceed this threshold (across 5 seeds,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spans 11.0–263, 5.1–14.7, and 5.5–13.8 for Screened</w:t>
      </w:r>
      <w:r>
        <w:t xml:space="preserve"> </w:t>
      </w:r>
      <w:r>
        <w:t xml:space="preserve">Coulomb, Entropy Expansion, and Time Dilation), yet Time Dilation is WITHHELD</w:t>
      </w:r>
      <w:r>
        <w:t xml:space="preserve"> </w:t>
      </w:r>
      <w:r>
        <w:t xml:space="preserve">because its positive control fails (Step 2, Positive Control, of the</w:t>
      </w:r>
      <w:r>
        <w:t xml:space="preserve"> </w:t>
      </w:r>
      <w:r>
        <w:t xml:space="preserve">four-step protocol; see Table </w:t>
      </w:r>
      <w:hyperlink w:anchor="_3004d538530d216c95e9fae87e902706469aff1">
        <w:r>
          <w:rPr>
            <w:rStyle w:val="Hyperlink"/>
          </w:rPr>
          <w:t xml:space="preserve">[tab:results]</w:t>
        </w:r>
      </w:hyperlink>
      <w:r>
        <w:t xml:space="preserve">): a positive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is necessary but not sufficient for an IDENTIFIABLE</w:t>
      </w:r>
      <w:r>
        <w:t xml:space="preserve"> </w:t>
      </w:r>
      <w:r>
        <w:t xml:space="preserve">verdict.</w:t>
      </w:r>
      <w:r>
        <w:t xml:space="preserve"> </w:t>
      </w:r>
    </w:p>
    <w:bookmarkEnd w:id="36"/>
    <w:bookmarkStart w:id="40" w:name="_be1ea107d10d2f739baf6c86264f7c371d7bc21"/>
    <w:p>
      <w:pPr>
        <w:pStyle w:val="CaptionedFigure"/>
      </w:pPr>
      <w:r>
        <w:drawing>
          <wp:inline>
            <wp:extent cx="5334000" cy="174375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3_pari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 </w:t>
      </w:r>
      <w:r>
        <w:t xml:space="preserve">Parity plots: exact analytical recovered correction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evaluated directly from the discovered symbolic expression with fitted</w:t>
      </w:r>
      <w:r>
        <w:t xml:space="preserve"> </w:t>
      </w:r>
      <w:r>
        <w:t xml:space="preserve">parameters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) vs. true correction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e</m:t>
            </m:r>
          </m:sub>
        </m:sSub>
      </m:oMath>
      <w:r>
        <w:t xml:space="preserve">)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data points.</w:t>
      </w:r>
      <w:r>
        <w:t xml:space="preserve"> </w:t>
      </w:r>
      <w:r>
        <w:t xml:space="preserve">Black dashed: 1:1 reference line.</w:t>
      </w:r>
      <w:r>
        <w:t xml:space="preserve"> </w:t>
      </w:r>
      <w:r>
        <w:t xml:space="preserve">All three scenarios form perfect or near-perfect diagonals because the</w:t>
      </w:r>
      <w:r>
        <w:t xml:space="preserve"> </w:t>
      </w:r>
      <w:r>
        <w:t xml:space="preserve">domain-guided search successfully placed the true mathematical structure</w:t>
      </w:r>
      <w:r>
        <w:t xml:space="preserve"> </w:t>
      </w:r>
      <w:r>
        <w:t xml:space="preserve">(exact or class-level match) at Rank-1 in every case.</w:t>
      </w:r>
      <w:r>
        <w:t xml:space="preserve"> </w:t>
      </w:r>
      <w:r>
        <w:t xml:space="preserve">Crucially, Time Dilation achieves structural parity here, yet is still</w:t>
      </w:r>
      <w:r>
        <w:t xml:space="preserve"> </w:t>
      </w:r>
      <w:r>
        <w:t xml:space="preserve">WITHHELD by the system: its high fit error (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0.41</m:t>
        </m:r>
      </m:oMath>
      <w:r>
        <w:t xml:space="preserve">) on the</w:t>
      </w:r>
      <w:r>
        <w:t xml:space="preserve"> </w:t>
      </w:r>
      <w:r>
        <w:rPr>
          <w:i/>
          <w:iCs/>
        </w:rPr>
        <w:t xml:space="preserve">noisy</w:t>
      </w:r>
      <w:r>
        <w:t xml:space="preserve"> </w:t>
      </w:r>
      <w:r>
        <w:t xml:space="preserve">observational data (Figure </w:t>
      </w:r>
      <w:hyperlink w:anchor="_c7946d13b3f336e982488dc050f3a0bcdd814c3">
        <w:r>
          <w:rPr>
            <w:rStyle w:val="Hyperlink"/>
          </w:rPr>
          <w:t xml:space="preserve">1</w:t>
        </w:r>
      </w:hyperlink>
      <w:r>
        <w:t xml:space="preserve">a) causes it to</w:t>
      </w:r>
      <w:r>
        <w:t xml:space="preserve"> </w:t>
      </w:r>
      <w:r>
        <w:t xml:space="preserve">fail the Positive Control, demonstrating ADCD’s epistemic safety against</w:t>
      </w:r>
      <w:r>
        <w:t xml:space="preserve"> </w:t>
      </w:r>
      <w:r>
        <w:t xml:space="preserve">claiming discoveries from insufficient signal-to-noise ratios.</w:t>
      </w:r>
      <w:r>
        <w:t xml:space="preserve"> </w:t>
      </w:r>
    </w:p>
    <w:bookmarkEnd w:id="40"/>
    <w:p>
      <w:pPr>
        <w:pStyle w:val="FirstParagraph"/>
      </w:pPr>
      <w:r>
        <w:t xml:space="preserve">Table </w:t>
      </w:r>
      <w:hyperlink w:anchor="_3004d538530d216c95e9fae87e902706469aff1">
        <w:r>
          <w:rPr>
            <w:rStyle w:val="Hyperlink"/>
          </w:rPr>
          <w:t xml:space="preserve">[tab:results]</w:t>
        </w:r>
      </w:hyperlink>
      <w:r>
        <w:t xml:space="preserve"> </w:t>
      </w:r>
      <w:r>
        <w:t xml:space="preserve">summarizes the quantitative results.</w:t>
      </w:r>
      <w:r>
        <w:t xml:space="preserve"> </w:t>
      </w:r>
      <w:r>
        <w:t xml:space="preserve">Two of three scenarios are IDENTIFIABLE; Time Dilation is WITHHELD because</w:t>
      </w:r>
      <w:r>
        <w:t xml:space="preserve"> </w:t>
      </w:r>
      <w:r>
        <w:t xml:space="preserve">its positive control fails within the historical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 </w:t>
      </w:r>
      <w:r>
        <w:t xml:space="preserve">observation window.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, the change in deviance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acc>
          <m:accPr>
            <m:chr m:val="̂"/>
          </m:accPr>
          <m:e>
            <m:r>
              <m:t>L</m:t>
            </m:r>
          </m:e>
        </m:acc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t xml:space="preserve">(twice the unpenalized NLL difference), isolates the pure fit-quality advantage from the</w:t>
      </w:r>
      <w:r>
        <w:t xml:space="preserve"> </w:t>
      </w:r>
      <w:r>
        <w:t xml:space="preserve">multiple-testing penalty, addressing a known asymmetry in Extended</w:t>
      </w:r>
      <w:r>
        <w:t xml:space="preserve"> </w:t>
      </w:r>
      <w:r>
        <w:t xml:space="preserve">BIC when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≠</m:t>
        </m:r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rPr>
          <w:rStyle w:val="FootnoteReference"/>
        </w:rPr>
        <w:footnoteReference w:id="41"/>
      </w:r>
    </w:p>
    <w:p>
      <w:pPr>
        <w:pStyle w:val="Heading4"/>
      </w:pPr>
      <w:bookmarkStart w:id="42" w:name="_1759a028cfb76cc1228f270093fe5555832d0a5"/>
      <w:r>
        <w:t xml:space="preserve">Screened Coulomb.</w:t>
      </w:r>
      <w:bookmarkEnd w:id="42"/>
    </w:p>
    <w:p>
      <w:pPr>
        <w:pStyle w:val="FirstParagraph"/>
      </w:pPr>
      <w:r>
        <w:t xml:space="preserve">Recovered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θ</m:t>
                </m:r>
              </m:e>
              <m:sub>
                <m:r>
                  <m:t>4</m:t>
                </m:r>
              </m:sub>
            </m:sSub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exact symbolic match to the</w:t>
      </w:r>
      <w:r>
        <w:t xml:space="preserve"> </w:t>
      </w:r>
      <w:r>
        <w:t xml:space="preserve">ground truth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b>
          <m:e>
            <m:r>
              <m:t>θ</m:t>
            </m:r>
          </m:e>
          <m:sub>
            <m:r>
              <m:t>4</m:t>
            </m:r>
          </m:sub>
        </m:sSub>
        <m:r>
          <m:rPr>
            <m:sty m:val="p"/>
          </m:rPr>
          <m:t>≈</m:t>
        </m:r>
        <m:r>
          <m:t>1.49</m:t>
        </m:r>
      </m:oMath>
      <w:r>
        <w:t xml:space="preserve"> m</w:t>
      </w:r>
      <w:r>
        <w:t xml:space="preserve"> </w:t>
      </w:r>
      <w:r>
        <w:t xml:space="preserve">recovering the Debye length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1.50</m:t>
        </m:r>
      </m:oMath>
      <w:r>
        <w:t xml:space="preserve"> m.</w:t>
      </w:r>
      <w:r>
        <w:t xml:space="preserve"> </w:t>
      </w:r>
      <w:r>
        <w:t xml:space="preserve">Subscript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t>0</m:t>
        </m:r>
      </m:oMath>
      <w:r>
        <w:t xml:space="preserve">) is machine-verifiable evidence of automated discovery:</w:t>
      </w:r>
      <w:r>
        <w:t xml:space="preserve"> </w:t>
      </w:r>
      <w:r>
        <w:t xml:space="preserve">the engine assigned this subscript by enumerating four charge-dimensional</w:t>
      </w:r>
      <w:r>
        <w:t xml:space="preserve"> </w:t>
      </w:r>
      <w:r>
        <w:t xml:space="preserve">candidates before reaching the distance-ratio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θ</m:t>
        </m:r>
      </m:oMath>
      <w:r>
        <w:t xml:space="preserve">, which was indexed</w:t>
      </w:r>
      <w:r>
        <w:t xml:space="preserve"> </w:t>
      </w:r>
      <w:r>
        <w:t xml:space="preserve">as the fifth candidate (</w:t>
      </w:r>
      <m:oMath>
        <m:sSub>
          <m:e>
            <m:r>
              <m:t>θ</m:t>
            </m:r>
          </m:e>
          <m:sub>
            <m:r>
              <m:t>4</m:t>
            </m:r>
          </m:sub>
        </m:sSub>
      </m:oMath>
      <w:r>
        <w:t xml:space="preserve">).</w:t>
      </w:r>
      <w:r>
        <w:t xml:space="preserve"> </w:t>
      </w:r>
      <w:r>
        <w:t xml:space="preserve">A manually supplied ratio would be pinned to subscript </w:t>
      </w:r>
      <m:oMath>
        <m:r>
          <m:t>0</m:t>
        </m:r>
      </m:oMath>
      <w:r>
        <w:t xml:space="preserve"> </w:t>
      </w:r>
      <w:r>
        <w:t xml:space="preserve">by convention.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30.65</m:t>
        </m:r>
      </m:oMath>
      <w:r>
        <w:t xml:space="preserve"> </w:t>
      </w:r>
      <w:r>
        <w:t xml:space="preserve">far exceeds the threshold of 10;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=</m:t>
        </m:r>
        <m:r>
          <m:t>20.14</m:t>
        </m:r>
      </m:oMath>
      <w:r>
        <w:t xml:space="preserve"> </w:t>
      </w:r>
      <w:r>
        <w:t xml:space="preserve">confirms the advantage is driven by fit quality,</w:t>
      </w:r>
      <w:r>
        <w:t xml:space="preserve"> </w:t>
      </w:r>
      <w:r>
        <w:t xml:space="preserve">not search-space penalty.</w:t>
      </w:r>
      <w:r>
        <w:t xml:space="preserve"> </w:t>
      </w:r>
      <w:r>
        <w:t xml:space="preserve">Over 5 noise seeds, the verdict is 100% stable (5/5 IDENTIFIABLE,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Δ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</m:bar>
        <m:r>
          <m:rPr>
            <m:sty m:val="p"/>
          </m:rPr>
          <m:t>=</m:t>
        </m:r>
        <m:r>
          <m:t>76.61</m:t>
        </m:r>
      </m:oMath>
      <w:r>
        <w:t xml:space="preserve">, penalty-free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Δ</m:t>
            </m:r>
            <m:r>
              <m:t>D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k</m:t>
            </m:r>
            <m:r>
              <m:rPr>
                <m:sty m:val="p"/>
              </m:rPr>
              <m:t>ln</m:t>
            </m:r>
            <m:r>
              <m:t>N</m:t>
            </m:r>
          </m:e>
        </m:bar>
        <m:r>
          <m:rPr>
            <m:sty m:val="p"/>
          </m:rPr>
          <m:t>=</m:t>
        </m:r>
        <m:r>
          <m:t>71.39</m:t>
        </m:r>
      </m:oMath>
      <w:r>
        <w:t xml:space="preserve">).</w:t>
      </w:r>
    </w:p>
    <w:p>
      <w:pPr>
        <w:pStyle w:val="Heading4"/>
      </w:pPr>
      <w:bookmarkStart w:id="43" w:name="_3237b3bffd4a77c8d5c3040d985d2e630b331b1"/>
      <w:r>
        <w:t xml:space="preserve">Entropy Expansion.</w:t>
      </w:r>
      <w:bookmarkEnd w:id="43"/>
    </w:p>
    <w:p>
      <w:pPr>
        <w:pStyle w:val="FirstParagraph"/>
      </w:pPr>
      <w:r>
        <w:t xml:space="preserve">Because the classical baseline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constant, the scale-dependence test is</w:t>
      </w:r>
      <w:r>
        <w:t xml:space="preserve"> </w:t>
      </w:r>
      <w:r>
        <w:t xml:space="preserve">uninformative and mode detection falls back to an additive search. Thus, the recovered additive</w:t>
      </w:r>
      <w:r>
        <w:t xml:space="preserve"> </w:t>
      </w:r>
      <w:r>
        <w:t xml:space="preserve">correction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d</m:t>
        </m: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matches the additive ground truth</w:t>
      </w:r>
      <w:r>
        <w:t xml:space="preserve"> </w:t>
      </w:r>
      <m:oMath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d</m:t>
        </m: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class level: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legitimately absorbs the additive</w:t>
      </w:r>
      <w:r>
        <w:t xml:space="preserve"> </w:t>
      </w:r>
      <w:r>
        <w:t xml:space="preserve">amplitude</w:t>
      </w:r>
      <w:r>
        <w:t xml:space="preserve"> </w:t>
      </w:r>
      <m:oMath>
        <m:r>
          <m:t>n</m:t>
        </m:r>
        <m:r>
          <m:t>R</m:t>
        </m:r>
        <m:r>
          <m:rPr>
            <m:sty m:val="p"/>
          </m:rPr>
          <m:t>≈</m:t>
        </m:r>
        <m:r>
          <m:t>8.314</m:t>
        </m:r>
      </m:oMath>
      <w:r>
        <w:t xml:space="preserve">, rather than the multiplicative ratio</w:t>
      </w:r>
      <w:r>
        <w:t xml:space="preserve"> </w:t>
      </w:r>
      <m:oMath>
        <m:r>
          <m:t>n</m:t>
        </m:r>
        <m:r>
          <m:t>R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ADCD labels this</w:t>
      </w:r>
      <w:r>
        <w:t xml:space="preserve"> </w:t>
      </w:r>
      <w:r>
        <w:rPr>
          <w:rStyle w:val="VerbatimChar"/>
        </w:rPr>
        <w:t xml:space="preserve">class_only</w:t>
      </w:r>
      <w:r>
        <w:t xml:space="preserve">—explicit epistemic qualification absent</w:t>
      </w:r>
      <w:r>
        <w:t xml:space="preserve"> </w:t>
      </w:r>
      <w:r>
        <w:t xml:space="preserve">from unconstrained SR outputs.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14.70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supports IDENTIFIABLE; however,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1.08</m:t>
        </m:r>
      </m:oMath>
      <w:r>
        <w:t xml:space="preserve"> </w:t>
      </w:r>
      <w:r>
        <w:t xml:space="preserve">reveals the identifiability is</w:t>
      </w:r>
      <w:r>
        <w:t xml:space="preserve"> </w:t>
      </w:r>
      <w:r>
        <w:rPr>
          <w:i/>
          <w:iCs/>
        </w:rPr>
        <w:t xml:space="preserve">parsimony-driven</w:t>
      </w:r>
      <w:r>
        <w:t xml:space="preserve">:</w:t>
      </w:r>
      <w:r>
        <w:t xml:space="preserve"> </w:t>
      </w:r>
      <w:r>
        <w:t xml:space="preserve">the ablated search achieves an equivalent raw fit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parameters</w:t>
      </w:r>
      <w:r>
        <w:t xml:space="preserve"> </w:t>
      </w:r>
      <w:r>
        <w:t xml:space="preserve">versus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the domain-guided model.</w:t>
      </w:r>
      <w:r>
        <w:t xml:space="preserve"> </w:t>
      </w:r>
      <w:r>
        <w:t xml:space="preserve">Over 5 noise seeds, the verdict is borderline (2/5 IDENTIFIABLE,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Δ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</m:bar>
        <m:r>
          <m:rPr>
            <m:sty m:val="p"/>
          </m:rPr>
          <m:t>=</m:t>
        </m:r>
        <m:r>
          <m:t>9.91</m:t>
        </m:r>
        <m:r>
          <m:rPr>
            <m:sty m:val="p"/>
          </m:rPr>
          <m:t>±</m:t>
        </m:r>
        <m:r>
          <m:t>3.40</m:t>
        </m:r>
      </m:oMath>
      <w:r>
        <w:t xml:space="preserve">, sample SD), confirming the logarithmic</w:t>
      </w:r>
      <w:r>
        <w:t xml:space="preserve"> </w:t>
      </w:r>
      <w:r>
        <w:t xml:space="preserve">correction sits at the decision boundary under 1% noise.</w:t>
      </w:r>
    </w:p>
    <w:p>
      <w:pPr>
        <w:pStyle w:val="Heading4"/>
      </w:pPr>
      <w:bookmarkStart w:id="44" w:name="_6b969198ff632a49be3607158edcc3a004149c0"/>
      <w:r>
        <w:t xml:space="preserve">Time Dilation.</w:t>
      </w:r>
      <w:bookmarkEnd w:id="44"/>
    </w:p>
    <w:p>
      <w:pPr>
        <w:pStyle w:val="FirstParagraph"/>
      </w:pPr>
      <w:r>
        <w:t xml:space="preserve">At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, the Lorentz correction</w:t>
      </w:r>
      <w:r>
        <w:t xml:space="preserve"> </w:t>
      </w:r>
      <m:oMath>
        <m:r>
          <m:t>γ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4.8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classical</w:t>
      </w:r>
      <w:r>
        <w:t xml:space="preserve"> </w:t>
      </w:r>
      <w:r>
        <w:t xml:space="preserve">prediction—a signal-to-noise ratio of approximately</w:t>
      </w:r>
      <w:r>
        <w:t xml:space="preserve"> </w:t>
      </w:r>
      <m:oMath>
        <m:r>
          <m:t>4.8</m:t>
        </m:r>
        <m:r>
          <m:t>​</m:t>
        </m:r>
        <m:r>
          <m:rPr>
            <m:sty m:val="p"/>
          </m:rPr>
          <m:t>:</m:t>
        </m:r>
        <m:r>
          <m:t>​</m:t>
        </m:r>
        <m:r>
          <m:t>1</m:t>
        </m:r>
      </m:oMath>
      <w:r>
        <w:t xml:space="preserve"> </w:t>
      </w:r>
      <w:r>
        <w:t xml:space="preserve">against the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noise floor, which is insufficient for reliable isolation.</w:t>
      </w:r>
      <w:r>
        <w:t xml:space="preserve"> </w:t>
      </w:r>
      <w:r>
        <w:t xml:space="preserve">The grammar recovers the Lorentz structure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Rank 1 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1.01</m:t>
        </m:r>
      </m:oMath>
      <w:r>
        <w:t xml:space="preserve">), but the positive control fails (NMSE</w:t>
      </w:r>
      <m:oMath>
        <m:r>
          <m:rPr>
            <m:sty m:val="p"/>
          </m:rPr>
          <m:t>=</m:t>
        </m:r>
        <m:r>
          <m:t>0.41</m:t>
        </m:r>
      </m:oMath>
      <w:r>
        <w:t xml:space="preserve">): over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 </w:t>
      </w:r>
      <w:r>
        <w:t xml:space="preserve">(RMS correction</w:t>
      </w:r>
      <w:r>
        <w:t xml:space="preserve"> </w:t>
      </w:r>
      <m:oMath>
        <m:r>
          <m:rPr>
            <m:sty m:val="p"/>
          </m:rPr>
          <m:t>≈</m:t>
        </m:r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noise), even the exact ground-truth curve has an intrinsic observational noise floor of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≈</m:t>
        </m:r>
        <m:sSubSup>
          <m:e>
            <m:r>
              <m:t>σ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0.05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&gt;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of residual variance is measurement noise, the Positive Control gate correctly triggers WITHHELD.</w:t>
      </w:r>
      <w:r>
        <w:t xml:space="preserve"> </w:t>
      </w:r>
      <w:r>
        <w:t xml:space="preserve">The system outputs WITHHELD.</w:t>
      </w:r>
      <w:r>
        <w:t xml:space="preserve"> </w:t>
      </w:r>
      <w:r>
        <w:t xml:space="preserve">Over 5 noise seeds, this verdict is 100% stable (5/5 WITHHELD).</w:t>
      </w:r>
    </w:p>
    <w:p>
      <w:pPr>
        <w:pStyle w:val="Heading1"/>
      </w:pPr>
      <w:bookmarkStart w:id="45" w:name="_discussion"/>
      <w:r>
        <w:t xml:space="preserve">Discussion</w:t>
      </w:r>
      <w:bookmarkEnd w:id="45"/>
    </w:p>
    <w:p>
      <w:pPr>
        <w:pStyle w:val="FirstParagraph"/>
      </w:pPr>
      <w:r>
        <w:rPr>
          <w:b/>
          <w:bCs/>
        </w:rPr>
        <w:t xml:space="preserve">WITHHELD is not failure.</w:t>
      </w:r>
      <w:r>
        <w:t xml:space="preserve"> </w:t>
      </w:r>
      <w:r>
        <w:t xml:space="preserve">A system that always returns a structural claim regardless of data sufficiency</w:t>
      </w:r>
      <w:r>
        <w:t xml:space="preserve"> </w:t>
      </w:r>
      <w:r>
        <w:t xml:space="preserve">is epistemically weaker than one that formally distinguishes</w:t>
      </w:r>
      <w:r>
        <w:t xml:space="preserve"> </w:t>
      </w:r>
      <w:r>
        <w:rPr>
          <w:i/>
          <w:iCs/>
        </w:rPr>
        <w:t xml:space="preserve">found and confirmed</w:t>
      </w:r>
      <w:r>
        <w:t xml:space="preserve"> </w:t>
      </w:r>
      <w:r>
        <w:t xml:space="preserve">(IDENTIFIABLE) from</w:t>
      </w:r>
      <w:r>
        <w:t xml:space="preserve"> </w:t>
      </w:r>
      <w:r>
        <w:rPr>
          <w:i/>
          <w:iCs/>
        </w:rPr>
        <w:t xml:space="preserve">data insufficient for a structural claim</w:t>
      </w:r>
      <w:r>
        <w:t xml:space="preserve"> </w:t>
      </w:r>
      <w:r>
        <w:t xml:space="preserve">(WITHHELD).</w:t>
      </w:r>
      <w:r>
        <w:t xml:space="preserve"> </w:t>
      </w:r>
      <w:r>
        <w:t xml:space="preserve">ADCD’s WITHHELD verdict on Time Dilation is the system correctly locating</w:t>
      </w:r>
      <w:r>
        <w:t xml:space="preserve"> </w:t>
      </w:r>
      <w:r>
        <w:t xml:space="preserve">its own identifiability boundary—a boundary that is quantitative and</w:t>
      </w:r>
      <w:r>
        <w:t xml:space="preserve"> </w:t>
      </w:r>
      <w:r>
        <w:t xml:space="preserve">testable: a wider velocity window (</w:t>
      </w:r>
      <m:oMath>
        <m:r>
          <m:t>v</m:t>
        </m:r>
        <m:r>
          <m:rPr>
            <m:sty m:val="p"/>
          </m:rPr>
          <m:t>&gt;</m:t>
        </m:r>
        <m:r>
          <m:t>0.3</m:t>
        </m:r>
        <m:r>
          <m:t>c</m:t>
        </m:r>
      </m:oMath>
      <w:r>
        <w:t xml:space="preserve">) or lower measurement noise (</w:t>
      </w:r>
      <m:oMath>
        <m:r>
          <m:t>σ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%</m:t>
        </m:r>
      </m:oMath>
      <w:r>
        <w:t xml:space="preserve">) would lower the observational noise floor below</w:t>
      </w:r>
      <w:r>
        <w:t xml:space="preserve"> </w:t>
      </w:r>
      <m:oMath>
        <m:r>
          <m:t>0.05</m:t>
        </m:r>
      </m:oMath>
      <w:r>
        <w:t xml:space="preserve">, yielding IDENTIFIABLE.</w:t>
      </w:r>
    </w:p>
    <w:p>
      <w:pPr>
        <w:pStyle w:val="BodyText"/>
      </w:pPr>
      <w:r>
        <w:rPr>
          <w:b/>
          <w:bCs/>
        </w:rPr>
        <w:t xml:space="preserve">Taxonomy as prior, not hint.</w:t>
      </w:r>
      <w:r>
        <w:t xml:space="preserve"> </w:t>
      </w:r>
      <w:r>
        <w:t xml:space="preserve">The taxonomy restricts</w:t>
      </w:r>
      <w:r>
        <w:t xml:space="preserve"> </w:t>
      </w:r>
      <w:r>
        <w:rPr>
          <w:i/>
          <w:iCs/>
        </w:rPr>
        <w:t xml:space="preserve">which primitive family</w:t>
      </w:r>
      <w:r>
        <w:t xml:space="preserve"> </w:t>
      </w:r>
      <w:r>
        <w:t xml:space="preserve">is active;</w:t>
      </w:r>
      <w:r>
        <w:t xml:space="preserve"> </w:t>
      </w:r>
      <w:r>
        <w:t xml:space="preserve">the Buckingham-</w:t>
      </w:r>
      <m:oMath>
        <m:r>
          <m:t>π</m:t>
        </m:r>
      </m:oMath>
      <w:r>
        <w:t xml:space="preserve"> </w:t>
      </w:r>
      <w:r>
        <w:t xml:space="preserve">engine and optimizer determine</w:t>
      </w:r>
      <w:r>
        <w:t xml:space="preserve"> </w:t>
      </w:r>
      <w:r>
        <w:rPr>
          <w:i/>
          <w:iCs/>
        </w:rPr>
        <w:t xml:space="preserve">which variable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 scale</w:t>
      </w:r>
      <w:r>
        <w:t xml:space="preserve"> </w:t>
      </w:r>
      <w:r>
        <w:t xml:space="preserve">within that family.</w:t>
      </w:r>
      <w:r>
        <w:t xml:space="preserve"> </w:t>
      </w:r>
      <w:r>
        <w:t xml:space="preserve">This is by design: ADCD operates as a domain-guided framework</w:t>
      </w:r>
      <w:r>
        <w:t xml:space="preserve"> </w:t>
      </w:r>
      <w:r>
        <w:t xml:space="preserve">(see Table </w:t>
      </w:r>
      <w:hyperlink w:anchor="_96aeef6d635a29d310fd6bb56863d841e90bdd0">
        <w:r>
          <w:rPr>
            <w:rStyle w:val="Hyperlink"/>
          </w:rPr>
          <w:t xml:space="preserve">5</w:t>
        </w:r>
      </w:hyperlink>
      <w:r>
        <w:t xml:space="preserve">, row</w:t>
      </w:r>
      <w:r>
        <w:t xml:space="preserve"> </w:t>
      </w:r>
      <w:r>
        <w:t xml:space="preserve">“Prior”</w:t>
      </w:r>
      <w:r>
        <w:t xml:space="preserve">), not a tabula-rasa search.</w:t>
      </w:r>
      <w:r>
        <w:t xml:space="preserve"> </w:t>
      </w:r>
      <w:r>
        <w:t xml:space="preserve">The taxonomy prior is active from the budget-disclosure step onward,</w:t>
      </w:r>
      <w:r>
        <w:t xml:space="preserve"> </w:t>
      </w:r>
      <w:r>
        <w:t xml:space="preserve">consistent with the framework’s explicit use of peer-reviewed functional</w:t>
      </w:r>
      <w:r>
        <w:t xml:space="preserve"> </w:t>
      </w:r>
      <w:r>
        <w:t xml:space="preserve">priors as a Bayesian constraint.</w:t>
      </w:r>
      <w:r>
        <w:t xml:space="preserve"> </w:t>
      </w:r>
      <w:r>
        <w:t xml:space="preserve">The Screened Coulomb subscript</w:t>
      </w:r>
      <w:r>
        <w:t xml:space="preserve"> </w:t>
      </w:r>
      <m:oMath>
        <m:sSub>
          <m:e>
            <m:r>
              <m:t>θ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 machine-verifiable evidence</w:t>
      </w:r>
      <w:r>
        <w:t xml:space="preserve"> </w:t>
      </w:r>
      <w:r>
        <w:t xml:space="preserve">that the optimizer found the correct variable independently: subscript</w:t>
      </w:r>
      <w:r>
        <w:t xml:space="preserve"> </w:t>
      </w:r>
      <w:r>
        <w:t xml:space="preserve">indices are assigned sequentially by the Buckingham-</w:t>
      </w:r>
      <m:oMath>
        <m:r>
          <m:t>π</m:t>
        </m:r>
      </m:oMath>
      <w:r>
        <w:t xml:space="preserve"> </w:t>
      </w:r>
      <w:r>
        <w:t xml:space="preserve">engine, not</w:t>
      </w:r>
      <w:r>
        <w:t xml:space="preserve"> </w:t>
      </w:r>
      <w:r>
        <w:t xml:space="preserve">by any taxonomy entry.</w:t>
      </w:r>
      <w:r>
        <w:t xml:space="preserve"> </w:t>
      </w: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misspecification audit confirms the taxonomy is safe:</w:t>
      </w:r>
      <w:r>
        <w:t xml:space="preserve"> </w:t>
      </w:r>
      <w:r>
        <w:t xml:space="preserve">all 6 wrong-taxonomy trials yielded WITHHELD (0% false discovery).</w:t>
      </w:r>
    </w:p>
    <w:p>
      <w:pPr>
        <w:pStyle w:val="BodyText"/>
      </w:pPr>
      <w:r>
        <w:rPr>
          <w:b/>
          <w:bCs/>
        </w:rPr>
        <w:t xml:space="preserve">Comparison with general SR.</w:t>
      </w:r>
      <w:r>
        <w:t xml:space="preserve"> </w:t>
      </w:r>
      <w:r>
        <w:t xml:space="preserve">ADCD and general SR address different objectives: corrections to a known law</w:t>
      </w:r>
      <w:r>
        <w:t xml:space="preserve"> </w:t>
      </w:r>
      <w:r>
        <w:t xml:space="preserve">vs. full equation discovery from scratch.</w:t>
      </w:r>
      <w:r>
        <w:t xml:space="preserve"> </w:t>
      </w:r>
      <w:r>
        <w:t xml:space="preserve">The relevant axis is not search-space flexibility but epistemic certainty—the</w:t>
      </w:r>
      <w:r>
        <w:t xml:space="preserve"> </w:t>
      </w:r>
      <w:r>
        <w:t xml:space="preserve">ability to distinguish confirmed from data-insufficient.</w:t>
      </w:r>
      <w:r>
        <w:t xml:space="preserve"> </w:t>
      </w:r>
      <w:r>
        <w:t xml:space="preserve">Table </w:t>
      </w:r>
      <w:hyperlink w:anchor="_96aeef6d635a29d310fd6bb56863d841e90bdd0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summarises the operational regimes.</w:t>
      </w:r>
    </w:p>
    <w:p>
      <w:pPr>
        <w:pStyle w:val="BodyText"/>
      </w:pPr>
      <w:r>
        <w:rPr>
          <w:b/>
          <w:bCs/>
        </w:rPr>
        <w:t xml:space="preserve">Principle-guided discovery vs. black-box prediction.</w:t>
      </w:r>
      <w:r>
        <w:t xml:space="preserve"> </w:t>
      </w:r>
      <w:r>
        <w:t xml:space="preserve">Recent perspectives on AI for physics highlight a crucial epistemic challenge:</w:t>
      </w:r>
      <w:r>
        <w:t xml:space="preserve"> </w:t>
      </w:r>
      <w:r>
        <w:t xml:space="preserve">while modern AI excels at high-dimensional predictive emulation, true physical theory</w:t>
      </w:r>
      <w:r>
        <w:t xml:space="preserve"> </w:t>
      </w:r>
      <w:r>
        <w:t xml:space="preserve">building requires compact mathematical laws, symmetry invariance, and controlled asymptotic</w:t>
      </w:r>
      <w:r>
        <w:t xml:space="preserve"> </w:t>
      </w:r>
      <w:r>
        <w:t xml:space="preserve">regimes </w:t>
      </w:r>
      <w:r>
        <w:t xml:space="preserve">(Shalyt et al. 2026)</w:t>
      </w:r>
      <w:r>
        <w:t xml:space="preserve">.</w:t>
      </w:r>
      <w:r>
        <w:t xml:space="preserve"> </w:t>
      </w:r>
      <w:r>
        <w:t xml:space="preserve">ADCD explicitly embodies this principle-first paradigm: rather than performing unconstrained</w:t>
      </w:r>
      <w:r>
        <w:t xml:space="preserve"> </w:t>
      </w:r>
      <w:r>
        <w:t xml:space="preserve">curve-fitting, it converts physical correction discovery into an exact, dimensionally</w:t>
      </w:r>
      <w:r>
        <w:t xml:space="preserve"> </w:t>
      </w:r>
      <w:r>
        <w:t xml:space="preserve">consistent perturbation search anchored to established baselines and audited by falsifiable</w:t>
      </w:r>
      <w:r>
        <w:t xml:space="preserve"> </w:t>
      </w:r>
      <w:r>
        <w:t xml:space="preserve">identifiability metrics.</w:t>
      </w:r>
    </w:p>
    <w:bookmarkStart w:id="46" w:name="_96aeef6d635a29d310fd6bb56863d841e90bdd0"/>
    <w:p>
      <w:pPr>
        <w:pStyle w:val="TableCaption"/>
      </w:pPr>
      <w:r>
        <w:t xml:space="preserve">Operational comparison: ADCD vs. unconstrained symbolic regression.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comparison: ADCD vs. unconstrained symbolic regress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Corrections to known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equations from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Phenomenon-specific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(tabula rasa)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Dimensional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 MLT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(often 3D or 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Algebraic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loss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Explicit; WITHHELD if 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or post-hoc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Byte-exact 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Stochastic</w:t>
            </w:r>
          </w:p>
        </w:tc>
      </w:tr>
    </w:tbl>
    <w:bookmarkEnd w:id="46"/>
    <w:p>
      <w:pPr>
        <w:pStyle w:val="Heading2"/>
      </w:pPr>
      <w:bookmarkStart w:id="47" w:name="_9ec194be0a3e630d64226647765ad9b11c91126"/>
      <w:r>
        <w:t xml:space="preserve">Limitations</w:t>
      </w:r>
      <w:bookmarkEnd w:id="47"/>
    </w:p>
    <w:p>
      <w:pPr>
        <w:pStyle w:val="FirstParagraph"/>
      </w:pPr>
      <w:r>
        <w:rPr>
          <w:b/>
          <w:bCs/>
        </w:rPr>
        <w:t xml:space="preserve">Weak-signal convergence.</w:t>
      </w:r>
      <w:r>
        <w:t xml:space="preserve"> </w:t>
      </w:r>
      <w:r>
        <w:t xml:space="preserve">Time Dilation’s positive control failure is the correct protocol output for an</w:t>
      </w:r>
      <w:r>
        <w:t xml:space="preserve"> </w:t>
      </w:r>
      <w:r>
        <w:t xml:space="preserve">insufficient signal-to-noise ratio, not an algorithmic defect.</w:t>
      </w:r>
      <w:r>
        <w:t xml:space="preserve"> </w:t>
      </w:r>
      <w:r>
        <w:t xml:space="preserve">Future work should investigate adaptive restarts and denser initialization grids.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Current support covers eight primitive families, additive and multiplicative corrections, and</w:t>
      </w:r>
      <w:r>
        <w:t xml:space="preserve"> </w:t>
      </w:r>
      <w:r>
        <w:t xml:space="preserve">synthetic Gaussian noise.</w:t>
      </w:r>
      <w:r>
        <w:t xml:space="preserve"> </w:t>
      </w:r>
      <w:r>
        <w:t xml:space="preserve">Heavier-tailed noise and real observational data</w:t>
      </w:r>
      <w:r>
        <w:t xml:space="preserve"> </w:t>
      </w:r>
      <w:r>
        <w:t xml:space="preserve">(e.g., galactic rotation curves, pulsar timing residuals) remain future work;</w:t>
      </w:r>
      <w:r>
        <w:t xml:space="preserve"> </w:t>
      </w:r>
      <w:r>
        <w:t xml:space="preserve">real data require preprocessing for heteroscedastic uncertainties not yet modelled.</w:t>
      </w:r>
    </w:p>
    <w:p>
      <w:pPr>
        <w:pStyle w:val="BodyText"/>
      </w:pPr>
      <w:r>
        <w:rPr>
          <w:b/>
          <w:bCs/>
        </w:rPr>
        <w:t xml:space="preserve">Taxonomy coverage.</w:t>
      </w:r>
      <w:r>
        <w:t xml:space="preserve"> </w:t>
      </w:r>
      <w:r>
        <w:t xml:space="preserve">Each new entry requires a peer-reviewed derivation for every admitted family—a</w:t>
      </w:r>
      <w:r>
        <w:t xml:space="preserve"> </w:t>
      </w:r>
      <w:r>
        <w:t xml:space="preserve">deliberate constraint preventing unchecked hypothesis-space expansion.</w:t>
      </w:r>
    </w:p>
    <w:p>
      <w:pPr>
        <w:pStyle w:val="BodyText"/>
      </w:pPr>
      <w:r>
        <w:rPr>
          <w:b/>
          <w:bCs/>
        </w:rPr>
        <w:t xml:space="preserve">Safety–expressivity trade-off.</w:t>
      </w:r>
      <w:r>
        <w:t xml:space="preserve"> </w:t>
      </w:r>
      <w:r>
        <w:t xml:space="preserve">ADCD constrains its hypothesis space relative to general-purpose SR: candidates</w:t>
      </w:r>
      <w:r>
        <w:t xml:space="preserve"> </w:t>
      </w:r>
      <w:r>
        <w:t xml:space="preserve">failing dimensional consistency or outside the phenomenon-specific primitive set</w:t>
      </w:r>
      <w:r>
        <w:t xml:space="preserve"> </w:t>
      </w:r>
      <w:r>
        <w:t xml:space="preserve">are rejected before fitting.</w:t>
      </w:r>
      <w:r>
        <w:t xml:space="preserve"> </w:t>
      </w:r>
      <w:r>
        <w:t xml:space="preserve">This prevents noise-sponge overfitting but means ADCD cannot discover corrections</w:t>
      </w:r>
      <w:r>
        <w:t xml:space="preserve"> </w:t>
      </w:r>
      <w:r>
        <w:t xml:space="preserve">whose functional family lacks a documented derivation.</w:t>
      </w:r>
      <w:r>
        <w:t xml:space="preserve"> </w:t>
      </w:r>
      <w:r>
        <w:t xml:space="preserve">The appropriate framing is complementarity: general SR generates hypotheses;</w:t>
      </w:r>
      <w:r>
        <w:t xml:space="preserve"> </w:t>
      </w:r>
      <w:r>
        <w:t xml:space="preserve">ADCD audits corrections to an already-established baseline.</w:t>
      </w:r>
    </w:p>
    <w:p>
      <w:pPr>
        <w:pStyle w:val="BodyText"/>
      </w:pPr>
      <w:r>
        <w:rPr>
          <w:b/>
          <w:bCs/>
        </w:rPr>
        <w:t xml:space="preserve">Seed stability of borderline verdicts.</w:t>
      </w:r>
      <w:r>
        <w:t xml:space="preserve"> </w:t>
      </w:r>
      <w:r>
        <w:t xml:space="preserve">Entropy Expansion’s verdict varies across noise realizations (2/5 IDENTIFIABLE,</w:t>
      </w:r>
      <w:r>
        <w:t xml:space="preserve"> </w:t>
      </w:r>
      <w:r>
        <w:t xml:space="preserve">3/5 WITHHELD), indicating the logarithmic correction sits at the identifiability</w:t>
      </w:r>
      <w:r>
        <w:t xml:space="preserve"> </w:t>
      </w:r>
      <w:r>
        <w:t xml:space="preserve">boundary under 1% noise.</w:t>
      </w:r>
      <w:r>
        <w:t xml:space="preserve"> </w:t>
      </w:r>
      <w:r>
        <w:t xml:space="preserve">We report this transparently as a limitation of the current noise regime.</w:t>
      </w:r>
    </w:p>
    <w:p>
      <w:pPr>
        <w:pStyle w:val="Heading1"/>
      </w:pPr>
      <w:bookmarkStart w:id="48" w:name="_conclusion"/>
      <w:r>
        <w:t xml:space="preserve">Conclusion</w:t>
      </w:r>
      <w:bookmarkEnd w:id="48"/>
    </w:p>
    <w:p>
      <w:pPr>
        <w:pStyle w:val="FirstParagraph"/>
      </w:pPr>
      <w:r>
        <w:t xml:space="preserve">ADCD is a deterministic, correction-first framework combining algebraically</w:t>
      </w:r>
      <w:r>
        <w:t xml:space="preserve"> </w:t>
      </w:r>
      <w:r>
        <w:t xml:space="preserve">regularized primitives, a 5D (MLT</w:t>
      </w:r>
      <m:oMath>
        <m:r>
          <m:rPr>
            <m:sty m:val="p"/>
          </m:rPr>
          <m:t>Θ</m:t>
        </m:r>
      </m:oMath>
      <w:r>
        <w:t xml:space="preserve">Q) Buckingham-</w:t>
      </w:r>
      <m:oMath>
        <m:r>
          <m:t>π</m:t>
        </m:r>
      </m:oMath>
      <w:r>
        <w:t xml:space="preserve"> </w:t>
      </w:r>
      <w:r>
        <w:t xml:space="preserve">engine, and</w:t>
      </w:r>
      <w:r>
        <w:t xml:space="preserve"> </w:t>
      </w:r>
      <w:r>
        <w:t xml:space="preserve">a Phenomenon-Specific Taxonomy.</w:t>
      </w:r>
      <w:r>
        <w:t xml:space="preserve"> </w:t>
      </w:r>
      <w:r>
        <w:t xml:space="preserve">On three canonical scenarios, two yield IDENTIFIABLE results</w:t>
      </w:r>
      <w:r>
        <w:t xml:space="preserve"> </w:t>
      </w:r>
      <w:r>
        <w:t xml:space="preserve">(Screened Coulomb: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30.65</m:t>
        </m:r>
      </m:oMath>
      <w:r>
        <w:t xml:space="preserve">, exact match;</w:t>
      </w:r>
      <w:r>
        <w:t xml:space="preserve"> </w:t>
      </w:r>
      <w:r>
        <w:t xml:space="preserve">Entropy Expansion: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14.70</m:t>
        </m:r>
      </m:oMath>
      <w:r>
        <w:t xml:space="preserve">, class-level match, borderline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seeds)</w:t>
      </w:r>
      <w:r>
        <w:t xml:space="preserve"> </w:t>
      </w:r>
      <w:r>
        <w:t xml:space="preserve">and one yields a principled WITHHELD verdict (Time Dilation at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),</w:t>
      </w:r>
      <w:r>
        <w:t xml:space="preserve"> </w:t>
      </w:r>
      <w:r>
        <w:t xml:space="preserve">where the historical signal is insufficient for a confident structural claim.</w:t>
      </w:r>
      <w:r>
        <w:t xml:space="preserve"> </w:t>
      </w:r>
      <w:r>
        <w:t xml:space="preserve">Within its deliberate scope—known classical baseline, multiplicative</w:t>
      </w:r>
      <w:r>
        <w:t xml:space="preserve"> </w:t>
      </w:r>
      <w:r>
        <w:t xml:space="preserve">correction, Gaussian noise—ADCD provides stronger reproducibility and</w:t>
      </w:r>
      <w:r>
        <w:t xml:space="preserve"> </w:t>
      </w:r>
      <w:r>
        <w:t xml:space="preserve">identifiability guarantees than general-purpose SR, and furnishes an explicit</w:t>
      </w:r>
      <w:r>
        <w:t xml:space="preserve"> </w:t>
      </w:r>
      <w:r>
        <w:t xml:space="preserve">WITHHELD verdict (with associated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) when those</w:t>
      </w:r>
      <w:r>
        <w:t xml:space="preserve"> </w:t>
      </w:r>
      <w:r>
        <w:t xml:space="preserve">guarantees cannot be met.</w:t>
      </w:r>
    </w:p>
    <w:p>
      <w:pPr>
        <w:pStyle w:val="FirstParagraph"/>
      </w:pPr>
      <w:r>
        <w:t xml:space="preserve">The author thanks the anonymous NewInML reviewers for constructive feedback</w:t>
      </w:r>
      <w:r>
        <w:t xml:space="preserve"> </w:t>
      </w:r>
      <w:r>
        <w:t xml:space="preserve">that motivated the BIC decomposition, multi-seed stability, and taxonomy</w:t>
      </w:r>
      <w:r>
        <w:t xml:space="preserve"> </w:t>
      </w:r>
      <w:r>
        <w:t xml:space="preserve">misspecification analyses incorporated into this camera-ready version.</w:t>
      </w:r>
      <w:r>
        <w:t xml:space="preserve"> </w:t>
      </w:r>
      <w:r>
        <w:t xml:space="preserve">No external funding was received for this work.</w:t>
      </w:r>
    </w:p>
    <w:p>
      <w:pPr>
        <w:pStyle w:val="Heading1"/>
      </w:pPr>
      <w:bookmarkStart w:id="49" w:name="_d6dc127f91df9bcc46c1702cd683a760cc63be4"/>
      <w:r>
        <w:t xml:space="preserve">Use of AI-Assisted Tools</w:t>
      </w:r>
      <w:bookmarkEnd w:id="49"/>
    </w:p>
    <w:p>
      <w:pPr>
        <w:pStyle w:val="FirstParagraph"/>
      </w:pPr>
      <w:r>
        <w:t xml:space="preserve">During the preparation of this work, the author used AI-assisted tools</w:t>
      </w:r>
      <w:r>
        <w:t xml:space="preserve"> </w:t>
      </w:r>
      <w:r>
        <w:t xml:space="preserve">for software implementation, figure scripting, and manuscript drafting.</w:t>
      </w:r>
      <w:r>
        <w:t xml:space="preserve"> </w:t>
      </w:r>
      <w:r>
        <w:t xml:space="preserve">The author provided scientific direction, mathematical framework, experimental</w:t>
      </w:r>
      <w:r>
        <w:t xml:space="preserve"> </w:t>
      </w:r>
      <w:r>
        <w:t xml:space="preserve">design, and interpretation of all results, and takes full responsibility for</w:t>
      </w:r>
      <w:r>
        <w:t xml:space="preserve"> </w:t>
      </w:r>
      <w:r>
        <w:t xml:space="preserve">all scientific claims. No AI tool is listed as an author.</w:t>
      </w:r>
      <w:r>
        <w:t xml:space="preserve"> </w:t>
      </w:r>
      <w:r>
        <w:t xml:space="preserve">The codebase and raw validation logs are publicly available at</w:t>
      </w:r>
      <w:r>
        <w:t xml:space="preserve"> </w:t>
      </w:r>
      <w:hyperlink r:id="rId50">
        <w:r>
          <w:rPr>
            <w:rStyle w:val="Hyperlink"/>
          </w:rPr>
          <w:t xml:space="preserve">https://github.com/apiprdt/PhysicsPaper</w:t>
        </w:r>
      </w:hyperlink>
      <w:r>
        <w:t xml:space="preserve">.</w:t>
      </w:r>
    </w:p>
    <w:p>
      <w:pPr>
        <w:pStyle w:val="Heading1"/>
      </w:pPr>
      <w:bookmarkStart w:id="51" w:name="_ea5c66868f283220c19382d0fdd5a852ec570ca"/>
      <w:r>
        <w:t xml:space="preserve">Data Availability</w:t>
      </w:r>
      <w:bookmarkEnd w:id="51"/>
    </w:p>
    <w:p>
      <w:pPr>
        <w:pStyle w:val="FirstParagraph"/>
      </w:pPr>
      <w:r>
        <w:t xml:space="preserve">All data used in this paper are synthetically generated from known physical</w:t>
      </w:r>
      <w:r>
        <w:t xml:space="preserve"> </w:t>
      </w:r>
      <w:r>
        <w:t xml:space="preserve">formulas; generation code is included in the public repository.</w:t>
      </w:r>
      <w:r>
        <w:t xml:space="preserve"> </w:t>
      </w:r>
      <w:r>
        <w:t xml:space="preserve">No proprietary or restricted datasets are used.</w:t>
      </w:r>
    </w:p>
    <w:bookmarkStart w:id="106" w:name="_refs"/>
    <w:bookmarkStart w:id="53" w:name="_4821a1adf58ef0c96a762a09b8aff3e5f2fbdd2"/>
    <w:p>
      <w:pPr>
        <w:pStyle w:val="Bibliography"/>
        <w:ind w:left="720" w:hanging="720"/>
      </w:pPr>
      <w:r>
        <w:t xml:space="preserve">Bongard, Josh, and Hod Lipson. 2007.</w:t>
      </w:r>
      <w:r>
        <w:t xml:space="preserve"> </w:t>
      </w:r>
      <w:r>
        <w:t xml:space="preserve">“Automated Reverse Engineering of Nonlinear Dynamical Systems.”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104 (24): 9943–48.</w:t>
      </w:r>
      <w:r>
        <w:t xml:space="preserve"> </w:t>
      </w:r>
      <w:hyperlink r:id="rId52">
        <w:r>
          <w:rPr>
            <w:rStyle w:val="Hyperlink"/>
          </w:rPr>
          <w:t xml:space="preserve">https://doi.org/10.1073/pnas.0609476104</w:t>
        </w:r>
      </w:hyperlink>
      <w:r>
        <w:t xml:space="preserve">.</w:t>
      </w:r>
    </w:p>
    <w:bookmarkEnd w:id="53"/>
    <w:bookmarkStart w:id="55" w:name="_972595d462a57f288069c0989f06ae98b9776ca"/>
    <w:p>
      <w:pPr>
        <w:pStyle w:val="Bibliography"/>
        <w:ind w:left="720" w:hanging="720"/>
      </w:pPr>
      <w:r>
        <w:t xml:space="preserve">Brunton, Steven L., Joshua L. Proctor, and J. Nathan Kutz. 2016.</w:t>
      </w:r>
      <w:r>
        <w:t xml:space="preserve"> </w:t>
      </w:r>
      <w:r>
        <w:t xml:space="preserve">“Discovering Governing Equations from Data by Sparse Identification of Nonlinear Dynamical Systems.”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113 (15): 3932–37.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https://doi.org/10.1073/pnas.1517384113</w:t>
        </w:r>
      </w:hyperlink>
      <w:r>
        <w:t xml:space="preserve">.</w:t>
      </w:r>
    </w:p>
    <w:bookmarkEnd w:id="55"/>
    <w:bookmarkStart w:id="56" w:name="_5a7bf24f795849e5e5e3120cac41566a0db05ce"/>
    <w:p>
      <w:pPr>
        <w:pStyle w:val="Bibliography"/>
        <w:ind w:left="720" w:hanging="720"/>
      </w:pPr>
      <w:r>
        <w:t xml:space="preserve">Callen, Herbert B. 1985.</w:t>
      </w:r>
      <w:r>
        <w:t xml:space="preserve"> </w:t>
      </w:r>
      <w:r>
        <w:rPr>
          <w:i/>
          <w:iCs/>
        </w:rPr>
        <w:t xml:space="preserve">Thermodynamics and an Introduction to Thermostatistics</w:t>
      </w:r>
      <w:r>
        <w:t xml:space="preserve">. 2nd ed. Wiley.</w:t>
      </w:r>
    </w:p>
    <w:bookmarkEnd w:id="56"/>
    <w:bookmarkStart w:id="58" w:name="_527bc24a5bc63163e89c9230bde2b620b0637aa"/>
    <w:p>
      <w:pPr>
        <w:pStyle w:val="Bibliography"/>
        <w:ind w:left="720" w:hanging="720"/>
      </w:pPr>
      <w:r>
        <w:t xml:space="preserve">Carleo, Giuseppe, Ignacio Cirac, Kyle Cranmer, et al. 2019.</w:t>
      </w:r>
      <w:r>
        <w:t xml:space="preserve"> </w:t>
      </w:r>
      <w:r>
        <w:t xml:space="preserve">“Machine Learning and the Physical Sciences.”</w:t>
      </w:r>
      <w:r>
        <w:t xml:space="preserve"> </w:t>
      </w:r>
      <w:r>
        <w:rPr>
          <w:i/>
          <w:iCs/>
        </w:rPr>
        <w:t xml:space="preserve">Reviews of Modern Physics</w:t>
      </w:r>
      <w:r>
        <w:t xml:space="preserve"> </w:t>
      </w:r>
      <w:r>
        <w:t xml:space="preserve">91 (4): 045002.</w:t>
      </w:r>
      <w:r>
        <w:t xml:space="preserve"> </w:t>
      </w:r>
      <w:hyperlink r:id="rId57">
        <w:r>
          <w:rPr>
            <w:rStyle w:val="Hyperlink"/>
          </w:rPr>
          <w:t xml:space="preserve">https://doi.org/10.1103/RevModPhys.91.045002</w:t>
        </w:r>
      </w:hyperlink>
      <w:r>
        <w:t xml:space="preserve">.</w:t>
      </w:r>
    </w:p>
    <w:bookmarkEnd w:id="58"/>
    <w:bookmarkStart w:id="59" w:name="_1f20afe20d89a70b30df817a6a432dd3d531798"/>
    <w:p>
      <w:pPr>
        <w:pStyle w:val="Bibliography"/>
        <w:ind w:left="720" w:hanging="720"/>
      </w:pPr>
      <w:r>
        <w:t xml:space="preserve">Chen, Jiahua, and Zehua Chen. 2008.</w:t>
      </w:r>
      <w:r>
        <w:t xml:space="preserve"> </w:t>
      </w:r>
      <w:r>
        <w:t xml:space="preserve">“Extended Bayesian Information Criteria for Model Selection with Large Model Spaces.”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95 (3): 759–71.</w:t>
      </w:r>
    </w:p>
    <w:bookmarkEnd w:id="59"/>
    <w:bookmarkStart w:id="61" w:name="_1aa4da2289bc40a24eeb1e679cede6f8870fdd8"/>
    <w:p>
      <w:pPr>
        <w:pStyle w:val="Bibliography"/>
        <w:ind w:left="720" w:hanging="720"/>
      </w:pPr>
      <w:r>
        <w:t xml:space="preserve">Cornelio, Cristina, Subhajit Dash, Vernon Austel, et al. 2023.</w:t>
      </w:r>
      <w:r>
        <w:t xml:space="preserve"> </w:t>
      </w:r>
      <w:r>
        <w:t xml:space="preserve">“Combining Data and Theory for Derivable Scientific Discovery with</w:t>
      </w:r>
      <w:r>
        <w:t xml:space="preserve"> </w:t>
      </w:r>
      <w:r>
        <w:t xml:space="preserve">AI-Descartes</w:t>
      </w:r>
      <w:r>
        <w:t xml:space="preserve">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14 (1): 1777.</w:t>
      </w:r>
      <w:r>
        <w:t xml:space="preserve"> </w:t>
      </w:r>
      <w:hyperlink r:id="rId60">
        <w:r>
          <w:rPr>
            <w:rStyle w:val="Hyperlink"/>
          </w:rPr>
          <w:t xml:space="preserve">https://doi.org/10.1038/s41467-023-37236-y</w:t>
        </w:r>
      </w:hyperlink>
      <w:r>
        <w:t xml:space="preserve">.</w:t>
      </w:r>
    </w:p>
    <w:bookmarkEnd w:id="61"/>
    <w:bookmarkStart w:id="63" w:name="_47fce09a41d36943dba5ee88797fd7a28ead209"/>
    <w:p>
      <w:pPr>
        <w:pStyle w:val="Bibliography"/>
        <w:ind w:left="720" w:hanging="720"/>
      </w:pPr>
      <w:r>
        <w:t xml:space="preserve">Cory-Wright, Ryan, Cristina Cornelio, Sanjeeb Dash, Bachir El Khadir, and Lior Horesh. 2024.</w:t>
      </w:r>
      <w:r>
        <w:t xml:space="preserve"> </w:t>
      </w:r>
      <w:r>
        <w:t xml:space="preserve">“Evolving Scientific Discovery by Unifying Data and Background Knowledge with</w:t>
      </w:r>
      <w:r>
        <w:t xml:space="preserve"> </w:t>
      </w:r>
      <w:r>
        <w:t xml:space="preserve">AI Hilbert</w:t>
      </w:r>
      <w:r>
        <w:t xml:space="preserve">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15: 5922.</w:t>
      </w:r>
      <w:r>
        <w:t xml:space="preserve"> </w:t>
      </w:r>
      <w:hyperlink r:id="rId62">
        <w:r>
          <w:rPr>
            <w:rStyle w:val="Hyperlink"/>
          </w:rPr>
          <w:t xml:space="preserve">https://doi.org/10.1038/s41467-024-50143-6</w:t>
        </w:r>
      </w:hyperlink>
      <w:r>
        <w:t xml:space="preserve">.</w:t>
      </w:r>
    </w:p>
    <w:bookmarkEnd w:id="63"/>
    <w:bookmarkStart w:id="65" w:name="_57bb1749bce326fa5cfd4da4d6d25d6b6384540"/>
    <w:p>
      <w:pPr>
        <w:pStyle w:val="Bibliography"/>
        <w:ind w:left="720" w:hanging="720"/>
      </w:pPr>
      <w:r>
        <w:t xml:space="preserve">Cranmer, Miles. 2023.</w:t>
      </w:r>
      <w:r>
        <w:t xml:space="preserve"> </w:t>
      </w:r>
      <w:r>
        <w:rPr>
          <w:i/>
          <w:iCs/>
        </w:rPr>
        <w:t xml:space="preserve">Interpretable Machine Learning for Science with</w:t>
      </w:r>
      <w:r>
        <w:rPr>
          <w:i/>
          <w:iCs/>
        </w:rPr>
        <w:t xml:space="preserve"> </w:t>
      </w:r>
      <w:r>
        <w:rPr>
          <w:i/>
          <w:iCs/>
        </w:rPr>
        <w:t xml:space="preserve">PySR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SymbolicRegression.jl</w:t>
      </w:r>
      <w:r>
        <w:t xml:space="preserve">. arXiv preprint.</w:t>
      </w:r>
      <w:r>
        <w:t xml:space="preserve"> </w:t>
      </w:r>
      <w:hyperlink r:id="rId64">
        <w:r>
          <w:rPr>
            <w:rStyle w:val="Hyperlink"/>
          </w:rPr>
          <w:t xml:space="preserve">https://doi.org/10.48550/arXiv.2305.01582</w:t>
        </w:r>
      </w:hyperlink>
      <w:r>
        <w:t xml:space="preserve">.</w:t>
      </w:r>
    </w:p>
    <w:bookmarkEnd w:id="65"/>
    <w:bookmarkStart w:id="66" w:name="_3dffa07bf7d9f10c2c4fc62ba3207e235802136"/>
    <w:p>
      <w:pPr>
        <w:pStyle w:val="Bibliography"/>
        <w:ind w:left="720" w:hanging="720"/>
      </w:pPr>
      <w:r>
        <w:t xml:space="preserve">Cranmer, Miles, Alvaro Sanchez-Gonzalez, Peter Battaglia, et al. 2020.</w:t>
      </w:r>
      <w:r>
        <w:t xml:space="preserve"> </w:t>
      </w:r>
      <w:r>
        <w:t xml:space="preserve">“Discovering Symbolic Models from Deep Learning with Inductive Biases.”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33: 17429–42.</w:t>
      </w:r>
    </w:p>
    <w:bookmarkEnd w:id="66"/>
    <w:bookmarkStart w:id="67" w:name="_5baff60950e3fd28de2def13fedece90097bde2"/>
    <w:p>
      <w:pPr>
        <w:pStyle w:val="Bibliography"/>
        <w:ind w:left="720" w:hanging="720"/>
      </w:pPr>
      <w:r>
        <w:t xml:space="preserve">Debye, Peter, and Erich Hückel. 1923.</w:t>
      </w:r>
      <w:r>
        <w:t xml:space="preserve"> </w:t>
      </w:r>
      <w:r>
        <w:t xml:space="preserve">“</w:t>
      </w:r>
      <w:r>
        <w:t xml:space="preserve">Zur Theorie der Elektrolyte. I. Gefrierpunktserniedrigung und verwandte Erscheinungen</w:t>
      </w:r>
      <w:r>
        <w:t xml:space="preserve">.”</w:t>
      </w:r>
      <w:r>
        <w:t xml:space="preserve"> </w:t>
      </w:r>
      <w:r>
        <w:rPr>
          <w:i/>
          <w:iCs/>
        </w:rPr>
        <w:t xml:space="preserve">Physikalische Zeitschrift</w:t>
      </w:r>
      <w:r>
        <w:t xml:space="preserve"> </w:t>
      </w:r>
      <w:r>
        <w:t xml:space="preserve">24: 185–206.</w:t>
      </w:r>
    </w:p>
    <w:bookmarkEnd w:id="67"/>
    <w:bookmarkStart w:id="69" w:name="_54fc4244cf878bc882c58757acab17cf0f1de4b"/>
    <w:p>
      <w:pPr>
        <w:pStyle w:val="Bibliography"/>
        <w:ind w:left="720" w:hanging="720"/>
      </w:pPr>
      <w:r>
        <w:t xml:space="preserve">Einstein, Albert. 1905.</w:t>
      </w:r>
      <w:r>
        <w:t xml:space="preserve"> </w:t>
      </w:r>
      <w:r>
        <w:t xml:space="preserve">“</w:t>
      </w:r>
      <w:r>
        <w:t xml:space="preserve">Zur Elektrodynamik bewegter Körper</w:t>
      </w:r>
      <w:r>
        <w:t xml:space="preserve">.”</w:t>
      </w:r>
      <w:r>
        <w:t xml:space="preserve"> </w:t>
      </w:r>
      <w:r>
        <w:rPr>
          <w:i/>
          <w:iCs/>
        </w:rPr>
        <w:t xml:space="preserve">Annalen Der Physik</w:t>
      </w:r>
      <w:r>
        <w:t xml:space="preserve"> </w:t>
      </w:r>
      <w:r>
        <w:t xml:space="preserve">322 (10): 891–921.</w:t>
      </w:r>
      <w:r>
        <w:t xml:space="preserve"> </w:t>
      </w:r>
      <w:hyperlink r:id="rId68">
        <w:r>
          <w:rPr>
            <w:rStyle w:val="Hyperlink"/>
          </w:rPr>
          <w:t xml:space="preserve">https://doi.org/10.1002/andp.19053221004</w:t>
        </w:r>
      </w:hyperlink>
      <w:r>
        <w:t xml:space="preserve">.</w:t>
      </w:r>
    </w:p>
    <w:bookmarkEnd w:id="69"/>
    <w:bookmarkStart w:id="71" w:name="_6d9de38ad2303b748f9514fcc69957dc59bffcf"/>
    <w:p>
      <w:pPr>
        <w:pStyle w:val="Bibliography"/>
        <w:ind w:left="720" w:hanging="720"/>
      </w:pPr>
      <w:r>
        <w:t xml:space="preserve">IEEE Task P754. 2019.</w:t>
      </w:r>
      <w:r>
        <w:t xml:space="preserve"> </w:t>
      </w:r>
      <w:r>
        <w:rPr>
          <w:i/>
          <w:iCs/>
        </w:rPr>
        <w:t xml:space="preserve">IEEE 754-2019</w:t>
      </w:r>
      <w:r>
        <w:rPr>
          <w:i/>
          <w:iCs/>
        </w:rPr>
        <w:t xml:space="preserve">: Standard for Floating-Point Arithmetic</w:t>
      </w:r>
      <w:r>
        <w:t xml:space="preserve">. IEEE.</w:t>
      </w:r>
      <w:r>
        <w:t xml:space="preserve"> </w:t>
      </w:r>
      <w:hyperlink r:id="rId70">
        <w:r>
          <w:rPr>
            <w:rStyle w:val="Hyperlink"/>
          </w:rPr>
          <w:t xml:space="preserve">https://doi.org/10.1109/IEEESTD.2019.8766229</w:t>
        </w:r>
      </w:hyperlink>
      <w:r>
        <w:t xml:space="preserve">.</w:t>
      </w:r>
    </w:p>
    <w:bookmarkEnd w:id="71"/>
    <w:bookmarkStart w:id="73" w:name="_7d626b01f070f825f964e2471844a68b8b1a8c0"/>
    <w:p>
      <w:pPr>
        <w:pStyle w:val="Bibliography"/>
        <w:ind w:left="720" w:hanging="720"/>
      </w:pPr>
      <w:r>
        <w:t xml:space="preserve">Karagiorgi, Georgia, Gregor Kasieczka, Scott Kravitz, Benjamin Nachman, and David Shih. 2022.</w:t>
      </w:r>
      <w:r>
        <w:t xml:space="preserve"> </w:t>
      </w:r>
      <w:r>
        <w:t xml:space="preserve">“Machine Learning in the Search for New Fundamental Physics.”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 </w:t>
      </w:r>
      <w:r>
        <w:t xml:space="preserve">4 (6): 399–412.</w:t>
      </w:r>
      <w:r>
        <w:t xml:space="preserve"> </w:t>
      </w:r>
      <w:hyperlink r:id="rId72">
        <w:r>
          <w:rPr>
            <w:rStyle w:val="Hyperlink"/>
          </w:rPr>
          <w:t xml:space="preserve">https://doi.org/10.1038/s42254-022-00455-1</w:t>
        </w:r>
      </w:hyperlink>
      <w:r>
        <w:t xml:space="preserve">.</w:t>
      </w:r>
    </w:p>
    <w:bookmarkEnd w:id="73"/>
    <w:bookmarkStart w:id="75" w:name="_67d140581bebbd7107a285497e887c8d9f7aade"/>
    <w:p>
      <w:pPr>
        <w:pStyle w:val="Bibliography"/>
        <w:ind w:left="720" w:hanging="720"/>
      </w:pPr>
      <w:r>
        <w:t xml:space="preserve">Karniadakis, George Em, Ioannis G. Kevrekidis, Lu Lu, Paris Perdikaris, Sifan Wang, and Liu Yang. 2021.</w:t>
      </w:r>
      <w:r>
        <w:t xml:space="preserve"> </w:t>
      </w:r>
      <w:r>
        <w:t xml:space="preserve">“Physics-Informed Machine Learning.”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 </w:t>
      </w:r>
      <w:r>
        <w:t xml:space="preserve">3: 422–40.</w:t>
      </w:r>
      <w:r>
        <w:t xml:space="preserve"> </w:t>
      </w:r>
      <w:hyperlink r:id="rId74">
        <w:r>
          <w:rPr>
            <w:rStyle w:val="Hyperlink"/>
          </w:rPr>
          <w:t xml:space="preserve">https://doi.org/10.1038/s42254-021-00314-5</w:t>
        </w:r>
      </w:hyperlink>
      <w:r>
        <w:t xml:space="preserve">.</w:t>
      </w:r>
    </w:p>
    <w:bookmarkEnd w:id="75"/>
    <w:bookmarkStart w:id="77" w:name="_d05e573060570526385b447eaf9f72b7345eb82"/>
    <w:p>
      <w:pPr>
        <w:pStyle w:val="Bibliography"/>
        <w:ind w:left="720" w:hanging="720"/>
      </w:pPr>
      <w:r>
        <w:t xml:space="preserve">Kass, Robert E., and Adrian E. Raftery. 1995.</w:t>
      </w:r>
      <w:r>
        <w:t xml:space="preserve"> </w:t>
      </w:r>
      <w:r>
        <w:t xml:space="preserve">“Bayes Factors.”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90 (430): 773–95.</w:t>
      </w:r>
      <w:r>
        <w:t xml:space="preserve"> </w:t>
      </w:r>
      <w:hyperlink r:id="rId76">
        <w:r>
          <w:rPr>
            <w:rStyle w:val="Hyperlink"/>
          </w:rPr>
          <w:t xml:space="preserve">https://doi.org/10.1080/01621459.1995.10476572</w:t>
        </w:r>
      </w:hyperlink>
      <w:r>
        <w:t xml:space="preserve">.</w:t>
      </w:r>
    </w:p>
    <w:bookmarkEnd w:id="77"/>
    <w:bookmarkStart w:id="79" w:name="_1900e79b43a611181bec25bb8fa080110cfe3b3"/>
    <w:p>
      <w:pPr>
        <w:pStyle w:val="Bibliography"/>
        <w:ind w:left="720" w:hanging="720"/>
      </w:pPr>
      <w:r>
        <w:t xml:space="preserve">Kramer, Stefan, Marco Cerrato, Jannis Brugger, Sašo Džeroski, and Ross D. King. 2026.</w:t>
      </w:r>
      <w:r>
        <w:t xml:space="preserve"> </w:t>
      </w:r>
      <w:r>
        <w:t xml:space="preserve">“Automated Scientific Discovery: From Equation Discovery to Autonomous Discovery Systems.”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115: 109.</w:t>
      </w:r>
      <w:r>
        <w:t xml:space="preserve"> </w:t>
      </w:r>
      <w:hyperlink r:id="rId78">
        <w:r>
          <w:rPr>
            <w:rStyle w:val="Hyperlink"/>
          </w:rPr>
          <w:t xml:space="preserve">https://doi.org/10.1007/s10994-025-06721-6</w:t>
        </w:r>
      </w:hyperlink>
      <w:r>
        <w:t xml:space="preserve">.</w:t>
      </w:r>
    </w:p>
    <w:bookmarkEnd w:id="79"/>
    <w:bookmarkStart w:id="81" w:name="_706d685f658d8e4e7854a745bc539622c68d316"/>
    <w:p>
      <w:pPr>
        <w:pStyle w:val="Bibliography"/>
        <w:ind w:left="720" w:hanging="720"/>
      </w:pPr>
      <w:r>
        <w:t xml:space="preserve">Krenn, Mario, Robert Pollice, Si Yue Guo, et al. 2022.</w:t>
      </w:r>
      <w:r>
        <w:t xml:space="preserve"> </w:t>
      </w:r>
      <w:r>
        <w:t xml:space="preserve">“On Scientific Understanding with Artificial Intelligence.”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 </w:t>
      </w:r>
      <w:r>
        <w:t xml:space="preserve">4 (12): 761–69.</w:t>
      </w:r>
      <w:r>
        <w:t xml:space="preserve"> </w:t>
      </w:r>
      <w:hyperlink r:id="rId80">
        <w:r>
          <w:rPr>
            <w:rStyle w:val="Hyperlink"/>
          </w:rPr>
          <w:t xml:space="preserve">https://doi.org/10.1038/s42254-022-00518-3</w:t>
        </w:r>
      </w:hyperlink>
      <w:r>
        <w:t xml:space="preserve">.</w:t>
      </w:r>
    </w:p>
    <w:bookmarkEnd w:id="81"/>
    <w:bookmarkStart w:id="83" w:name="_111554707e6767316c8b5ff11c385e98243c247"/>
    <w:p>
      <w:pPr>
        <w:pStyle w:val="Bibliography"/>
        <w:ind w:left="720" w:hanging="720"/>
      </w:pPr>
      <w:r>
        <w:t xml:space="preserve">La Cava, William, Patryk Orzechowski, Bogdan Burlacu, et al. 2021.</w:t>
      </w:r>
      <w:r>
        <w:t xml:space="preserve"> </w:t>
      </w:r>
      <w:r>
        <w:t xml:space="preserve">“Contemporary Symbolic Regression Methods and Their Relative Performance.”</w:t>
      </w:r>
      <w:r>
        <w:t xml:space="preserve"> </w:t>
      </w:r>
      <w:r>
        <w:rPr>
          <w:i/>
          <w:iCs/>
        </w:rPr>
        <w:t xml:space="preserve">Proceedings of the Neural Information Processing Systems Track on Datasets and Benchmarks</w:t>
      </w:r>
      <w:r>
        <w:t xml:space="preserve"> </w:t>
      </w:r>
      <w:r>
        <w:t xml:space="preserve">1.</w:t>
      </w:r>
      <w:r>
        <w:t xml:space="preserve"> </w:t>
      </w:r>
      <w:hyperlink r:id="rId82">
        <w:r>
          <w:rPr>
            <w:rStyle w:val="Hyperlink"/>
          </w:rPr>
          <w:t xml:space="preserve">https://arxiv.org/abs/2107.14351</w:t>
        </w:r>
      </w:hyperlink>
      <w:r>
        <w:t xml:space="preserve">.</w:t>
      </w:r>
    </w:p>
    <w:bookmarkEnd w:id="83"/>
    <w:bookmarkStart w:id="84" w:name="_3eeecacc9a76ececfb93de6eecd116041e12250"/>
    <w:p>
      <w:pPr>
        <w:pStyle w:val="Bibliography"/>
        <w:ind w:left="720" w:hanging="720"/>
      </w:pPr>
      <w:r>
        <w:t xml:space="preserve">Langley, Pat, Herbert A. Simon, Gary L. Bradshaw, and Jan M. Zytkow. 1987.</w:t>
      </w:r>
      <w:r>
        <w:t xml:space="preserve"> </w:t>
      </w:r>
      <w:r>
        <w:rPr>
          <w:i/>
          <w:iCs/>
        </w:rPr>
        <w:t xml:space="preserve">Scientific Discovery: Computational Explorations of the Creative Process</w:t>
      </w:r>
      <w:r>
        <w:t xml:space="preserve">. MIT Press.</w:t>
      </w:r>
    </w:p>
    <w:bookmarkEnd w:id="84"/>
    <w:bookmarkStart w:id="85" w:name="_487adff8243fba59e6cf717edc54005140a48bd"/>
    <w:p>
      <w:pPr>
        <w:pStyle w:val="Bibliography"/>
        <w:ind w:left="720" w:hanging="720"/>
      </w:pPr>
      <w:r>
        <w:t xml:space="preserve">Makke, Nour, and Sanjay Chawla. 2024.</w:t>
      </w:r>
      <w:r>
        <w:t xml:space="preserve"> </w:t>
      </w:r>
      <w:r>
        <w:t xml:space="preserve">“A Perspective on Symbolic Machine Learning in Physical Sciences.”</w:t>
      </w:r>
      <w:r>
        <w:t xml:space="preserve"> </w:t>
      </w:r>
      <w:r>
        <w:rPr>
          <w:i/>
          <w:iCs/>
        </w:rPr>
        <w:t xml:space="preserve">NeurIPS 2024 Workshop on Machine Learning and the Physical Sciences</w:t>
      </w:r>
      <w:r>
        <w:t xml:space="preserve">.</w:t>
      </w:r>
    </w:p>
    <w:bookmarkEnd w:id="85"/>
    <w:bookmarkStart w:id="87" w:name="_91b59947130ffdd5d02deab777df77813338c35"/>
    <w:p>
      <w:pPr>
        <w:pStyle w:val="Bibliography"/>
        <w:ind w:left="720" w:hanging="720"/>
      </w:pPr>
      <w:r>
        <w:t xml:space="preserve">Messeri, Lisa, and M. J. Crockett. 2024.</w:t>
      </w:r>
      <w:r>
        <w:t xml:space="preserve"> </w:t>
      </w:r>
      <w:r>
        <w:t xml:space="preserve">“Artificial Intelligence and Illusions of Understanding in Scientific Research.”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627 (8002): 49–58.</w:t>
      </w:r>
      <w:r>
        <w:t xml:space="preserve"> </w:t>
      </w:r>
      <w:hyperlink r:id="rId86">
        <w:r>
          <w:rPr>
            <w:rStyle w:val="Hyperlink"/>
          </w:rPr>
          <w:t xml:space="preserve">https://doi.org/10.1038/s41586-024-07146-0</w:t>
        </w:r>
      </w:hyperlink>
      <w:r>
        <w:t xml:space="preserve">.</w:t>
      </w:r>
    </w:p>
    <w:bookmarkEnd w:id="87"/>
    <w:bookmarkStart w:id="88" w:name="_97fe74aee6e1866024e3578107d1a9db6ca039d"/>
    <w:p>
      <w:pPr>
        <w:pStyle w:val="Bibliography"/>
        <w:ind w:left="720" w:hanging="720"/>
      </w:pPr>
      <w:r>
        <w:t xml:space="preserve">Otto, Samuel E., Nicholas Zolman, J. Nathan Kutz, and Steven L. Brunton. 2025.</w:t>
      </w:r>
      <w:r>
        <w:t xml:space="preserve"> </w:t>
      </w:r>
      <w:r>
        <w:t xml:space="preserve">“A Unified Framework to Enforce, Discover, and Promote Symmetry in Machine Learning.”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26: 1–83.</w:t>
      </w:r>
    </w:p>
    <w:bookmarkEnd w:id="88"/>
    <w:bookmarkStart w:id="90" w:name="_ef604ae533fad333bc697748e3dc0fd28f0aa78"/>
    <w:p>
      <w:pPr>
        <w:pStyle w:val="Bibliography"/>
        <w:ind w:left="720" w:hanging="720"/>
      </w:pPr>
      <w:r>
        <w:t xml:space="preserve">Petersen, Brenden K., Mikel Landajuela Larma, T. Nathan Mundhenk, Claudio P. Santiago, Soo Kyung Kim, and Joanne T. Kim. 2021.</w:t>
      </w:r>
      <w:r>
        <w:t xml:space="preserve"> </w:t>
      </w:r>
      <w:r>
        <w:t xml:space="preserve">“Deep Symbolic Regression: Recovering Mathematical Expressions from Data via Risk-Seeking Policy Gradients.”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https://openreview.net/forum?id=m5Qsh0kBQG</w:t>
        </w:r>
      </w:hyperlink>
      <w:r>
        <w:t xml:space="preserve">.</w:t>
      </w:r>
    </w:p>
    <w:bookmarkEnd w:id="90"/>
    <w:bookmarkStart w:id="92" w:name="_457df0eb6f3cee80a45c4fff61dc37b0f5cd9b1"/>
    <w:p>
      <w:pPr>
        <w:pStyle w:val="Bibliography"/>
        <w:ind w:left="720" w:hanging="720"/>
      </w:pPr>
      <w:r>
        <w:t xml:space="preserve">Raissi, Maziar, Paris Perdikaris, and George E. Karniadakis. 2019.</w:t>
      </w:r>
      <w:r>
        <w:t xml:space="preserve"> </w:t>
      </w:r>
      <w:r>
        <w:t xml:space="preserve">“Physics-Informed Neural Networks: A Deep Learning Framework for Solving Forward and Inverse Problems Involving Nonlinear Partial Differential Equations.”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 </w:t>
      </w:r>
      <w:r>
        <w:t xml:space="preserve">378: 686–707.</w:t>
      </w:r>
      <w:r>
        <w:t xml:space="preserve"> </w:t>
      </w:r>
      <w:hyperlink r:id="rId91">
        <w:r>
          <w:rPr>
            <w:rStyle w:val="Hyperlink"/>
          </w:rPr>
          <w:t xml:space="preserve">https://doi.org/10.1016/j.jcp.2018.10.045</w:t>
        </w:r>
      </w:hyperlink>
      <w:r>
        <w:t xml:space="preserve">.</w:t>
      </w:r>
    </w:p>
    <w:bookmarkEnd w:id="92"/>
    <w:bookmarkStart w:id="94" w:name="_224126058e881b11118696e484baee7c8dbe6db"/>
    <w:p>
      <w:pPr>
        <w:pStyle w:val="Bibliography"/>
        <w:ind w:left="720" w:hanging="720"/>
      </w:pPr>
      <w:r>
        <w:t xml:space="preserve">Schmidt, Michael, and Hod Lipson. 2009.</w:t>
      </w:r>
      <w:r>
        <w:t xml:space="preserve"> </w:t>
      </w:r>
      <w:r>
        <w:t xml:space="preserve">“Distilling Free-Form Natural Laws from Experimental Data.”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324 (5923): 81–85.</w:t>
      </w:r>
      <w:r>
        <w:t xml:space="preserve"> </w:t>
      </w:r>
      <w:hyperlink r:id="rId93">
        <w:r>
          <w:rPr>
            <w:rStyle w:val="Hyperlink"/>
          </w:rPr>
          <w:t xml:space="preserve">https://doi.org/10.1126/science.1165893</w:t>
        </w:r>
      </w:hyperlink>
      <w:r>
        <w:t xml:space="preserve">.</w:t>
      </w:r>
    </w:p>
    <w:bookmarkEnd w:id="94"/>
    <w:bookmarkStart w:id="96" w:name="_1717fb37a54aa1a40df471b2975d2fd09729c85"/>
    <w:p>
      <w:pPr>
        <w:pStyle w:val="Bibliography"/>
        <w:ind w:left="720" w:hanging="720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95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96"/>
    <w:bookmarkStart w:id="98" w:name="_8b25f64435fc5ff192d03ffcdc0af37daecff02"/>
    <w:p>
      <w:pPr>
        <w:pStyle w:val="Bibliography"/>
        <w:ind w:left="720" w:hanging="720"/>
      </w:pPr>
      <w:r>
        <w:t xml:space="preserve">Shalyt, Michael, Nathan Regev, Marin Soljačić, and Ido Kaminer. 2026.</w:t>
      </w:r>
      <w:r>
        <w:t xml:space="preserve"> </w:t>
      </w:r>
      <w:r>
        <w:t xml:space="preserve">“Can</w:t>
      </w:r>
      <w:r>
        <w:t xml:space="preserve"> </w:t>
      </w:r>
      <w:r>
        <w:t xml:space="preserve">AI</w:t>
      </w:r>
      <w:r>
        <w:t xml:space="preserve"> </w:t>
      </w:r>
      <w:r>
        <w:t xml:space="preserve">Follow in</w:t>
      </w:r>
      <w:r>
        <w:t xml:space="preserve"> </w:t>
      </w:r>
      <w:r>
        <w:t xml:space="preserve">Einstein</w:t>
      </w:r>
      <w:r>
        <w:t xml:space="preserve">’s Footsteps?”</w:t>
      </w:r>
      <w:r>
        <w:t xml:space="preserve"> </w:t>
      </w:r>
      <w:r>
        <w:rPr>
          <w:i/>
          <w:iCs/>
        </w:rPr>
        <w:t xml:space="preserve">arXiv Preprint arXiv:2607.27794</w:t>
      </w:r>
      <w:r>
        <w:t xml:space="preserve">, ahead of print.</w:t>
      </w:r>
      <w:r>
        <w:t xml:space="preserve"> </w:t>
      </w:r>
      <w:hyperlink r:id="rId97">
        <w:r>
          <w:rPr>
            <w:rStyle w:val="Hyperlink"/>
          </w:rPr>
          <w:t xml:space="preserve">https://doi.org/10.48550/arXiv.2607.27794</w:t>
        </w:r>
      </w:hyperlink>
      <w:r>
        <w:t xml:space="preserve">.</w:t>
      </w:r>
    </w:p>
    <w:bookmarkEnd w:id="98"/>
    <w:bookmarkStart w:id="100" w:name="_087162fecb529c26266ceb922b457ce775002f4"/>
    <w:p>
      <w:pPr>
        <w:pStyle w:val="Bibliography"/>
        <w:ind w:left="720" w:hanging="720"/>
      </w:pPr>
      <w:r>
        <w:t xml:space="preserve">Tenachi, Wassim, Rodrigo Ibata, and Foivos I. Diakogiannis. 2023.</w:t>
      </w:r>
      <w:r>
        <w:t xml:space="preserve"> </w:t>
      </w:r>
      <w:r>
        <w:t xml:space="preserve">“Deep Symbolic Regression for Physics Guided by Units Constraints.”</w:t>
      </w:r>
      <w:r>
        <w:t xml:space="preserve"> </w:t>
      </w:r>
      <w:r>
        <w:rPr>
          <w:i/>
          <w:iCs/>
        </w:rPr>
        <w:t xml:space="preserve">The Astrophysical Journal</w:t>
      </w:r>
      <w:r>
        <w:t xml:space="preserve"> </w:t>
      </w:r>
      <w:r>
        <w:t xml:space="preserve">959 (2): 99.</w:t>
      </w:r>
      <w:r>
        <w:t xml:space="preserve"> </w:t>
      </w:r>
      <w:hyperlink r:id="rId99">
        <w:r>
          <w:rPr>
            <w:rStyle w:val="Hyperlink"/>
          </w:rPr>
          <w:t xml:space="preserve">https://doi.org/10.3847/1538-4357/ad014c</w:t>
        </w:r>
      </w:hyperlink>
      <w:r>
        <w:t xml:space="preserve">.</w:t>
      </w:r>
    </w:p>
    <w:bookmarkEnd w:id="100"/>
    <w:bookmarkStart w:id="101" w:name="_7ab753a07ab1486fccf9d5891a2e9e206624fa4"/>
    <w:p>
      <w:pPr>
        <w:pStyle w:val="Bibliography"/>
        <w:ind w:left="720" w:hanging="720"/>
      </w:pPr>
      <w:r>
        <w:t xml:space="preserve">Udrescu, Silviu-Marian, Andrew Tan, Jiahai Feng, Orisvaldo Neto, Tailin Wu, and Max Tegmark. 2020.</w:t>
      </w:r>
      <w:r>
        <w:t xml:space="preserve"> </w:t>
      </w:r>
      <w:r>
        <w:t xml:space="preserve">“</w:t>
      </w:r>
      <w:r>
        <w:t xml:space="preserve">AI Feynman</w:t>
      </w:r>
      <w:r>
        <w:t xml:space="preserve"> </w:t>
      </w:r>
      <w:r>
        <w:t xml:space="preserve">2.0: Pareto-Optimal Equations Including Auxiliary Assumptions.”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33: 4860–71.</w:t>
      </w:r>
    </w:p>
    <w:bookmarkEnd w:id="101"/>
    <w:bookmarkStart w:id="103" w:name="_a9b2e19e299c9f94ea16f0b1c1b195864220abf"/>
    <w:p>
      <w:pPr>
        <w:pStyle w:val="Bibliography"/>
        <w:ind w:left="720" w:hanging="720"/>
      </w:pPr>
      <w:r>
        <w:t xml:space="preserve">Udrescu, Silviu-Marian, and Max Tegmark. 2020.</w:t>
      </w:r>
      <w:r>
        <w:t xml:space="preserve"> </w:t>
      </w:r>
      <w:r>
        <w:t xml:space="preserve">“</w:t>
      </w:r>
      <w:r>
        <w:t xml:space="preserve">AI Feynman</w:t>
      </w:r>
      <w:r>
        <w:t xml:space="preserve">: A Physics-Inspired Method for Symbolic Regression.”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 </w:t>
      </w:r>
      <w:r>
        <w:t xml:space="preserve">6 (16): eaay2631.</w:t>
      </w:r>
      <w:r>
        <w:t xml:space="preserve"> </w:t>
      </w:r>
      <w:hyperlink r:id="rId102">
        <w:r>
          <w:rPr>
            <w:rStyle w:val="Hyperlink"/>
          </w:rPr>
          <w:t xml:space="preserve">https://doi.org/10.1126/sciadv.aay2631</w:t>
        </w:r>
      </w:hyperlink>
      <w:r>
        <w:t xml:space="preserve">.</w:t>
      </w:r>
    </w:p>
    <w:bookmarkEnd w:id="103"/>
    <w:bookmarkStart w:id="105" w:name="_a50bc08bafa126fa7b3f332668ec078da73e90d"/>
    <w:p>
      <w:pPr>
        <w:pStyle w:val="Bibliography"/>
        <w:ind w:left="720" w:hanging="720"/>
      </w:pPr>
      <w:r>
        <w:t xml:space="preserve">Wang, Hanchen, Tianfan Fu, Yuanqi Du, et al. 2023.</w:t>
      </w:r>
      <w:r>
        <w:t xml:space="preserve"> </w:t>
      </w:r>
      <w:r>
        <w:t xml:space="preserve">“Scientific Discovery in the Age of Artificial Intelligence.”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620 (7972): 47–60.</w:t>
      </w:r>
      <w:r>
        <w:t xml:space="preserve"> </w:t>
      </w:r>
      <w:hyperlink r:id="rId104">
        <w:r>
          <w:rPr>
            <w:rStyle w:val="Hyperlink"/>
          </w:rPr>
          <w:t xml:space="preserve">https://doi.org/10.1038/s41586-023-06221-2</w:t>
        </w:r>
      </w:hyperlink>
      <w:r>
        <w:t xml:space="preserve">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Full rebuttal tables are available at</w:t>
      </w:r>
      <w:r>
        <w:t xml:space="preserve"> </w:t>
      </w:r>
      <w:hyperlink r:id="rId18">
        <w:r>
          <w:rPr>
            <w:rStyle w:val="Hyperlink"/>
          </w:rPr>
          <w:t xml:space="preserve">https://github.com/apiprdt/PhysicsPaper/tree/PythonADCD/rebuttal</w:t>
        </w:r>
      </w:hyperlink>
      <w:r>
        <w:t xml:space="preserve">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includes a search-space penalty</w:t>
      </w:r>
      <w:r>
        <w:t xml:space="preserve"> </w:t>
      </w:r>
      <m:oMath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 </w:t>
      </w:r>
      <w:r>
        <w:t xml:space="preserve">that differs between domain-guided and ablated runs;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reports the penalty-free fit-quality difference.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814</m:t>
        </m:r>
        <m:r>
          <m:rPr>
            <m:sty m:val="p"/>
          </m:rPr>
          <m:t>/</m:t>
        </m:r>
        <m:r>
          <m:t>534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for Screened Coulomb, Entropy</w:t>
      </w:r>
      <w:r>
        <w:t xml:space="preserve"> </w:t>
      </w:r>
      <w:r>
        <w:t xml:space="preserve">Expansion, and Time Dilation, versus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Screened Coulomb’s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=</m:t>
        </m:r>
        <m:r>
          <m:t>20.14</m:t>
        </m:r>
      </m:oMath>
      <w:r>
        <w:t xml:space="preserve"> </w:t>
      </w:r>
      <w:r>
        <w:t xml:space="preserve">alone exceeds the</w:t>
      </w:r>
      <w:r>
        <w:t xml:space="preserve"> </w:t>
      </w:r>
      <w:r>
        <w:t xml:space="preserve">Kass–Raftery threshold of 10.</w:t>
      </w:r>
      <w:r>
        <w:t xml:space="preserve"> </w:t>
      </w:r>
      <w:r>
        <w:t xml:space="preserve">Entropy Expansion’s identifiability is parsimony-driven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1.08</m:t>
        </m:r>
      </m:oMath>
      <w:r>
        <w:t xml:space="preserve">; the ablated model achieves an equivalent fit</w:t>
      </w:r>
      <w:r>
        <w:t xml:space="preserve"> </w:t>
      </w:r>
      <w:r>
        <w:t xml:space="preserve">with more parameters), a distinction we report transparently.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82" Target="https://arxiv.org/abs/2107.14351" TargetMode="External" /><Relationship Type="http://schemas.openxmlformats.org/officeDocument/2006/relationships/hyperlink" Id="rId68" Target="https://doi.org/10.1002/andp.19053221004" TargetMode="External" /><Relationship Type="http://schemas.openxmlformats.org/officeDocument/2006/relationships/hyperlink" Id="rId78" Target="https://doi.org/10.1007/s10994-025-06721-6" TargetMode="External" /><Relationship Type="http://schemas.openxmlformats.org/officeDocument/2006/relationships/hyperlink" Id="rId91" Target="https://doi.org/10.1016/j.jcp.2018.10.045" TargetMode="External" /><Relationship Type="http://schemas.openxmlformats.org/officeDocument/2006/relationships/hyperlink" Id="rId60" Target="https://doi.org/10.1038/s41467-023-37236-y" TargetMode="External" /><Relationship Type="http://schemas.openxmlformats.org/officeDocument/2006/relationships/hyperlink" Id="rId62" Target="https://doi.org/10.1038/s41467-024-50143-6" TargetMode="External" /><Relationship Type="http://schemas.openxmlformats.org/officeDocument/2006/relationships/hyperlink" Id="rId104" Target="https://doi.org/10.1038/s41586-023-06221-2" TargetMode="External" /><Relationship Type="http://schemas.openxmlformats.org/officeDocument/2006/relationships/hyperlink" Id="rId86" Target="https://doi.org/10.1038/s41586-024-07146-0" TargetMode="External" /><Relationship Type="http://schemas.openxmlformats.org/officeDocument/2006/relationships/hyperlink" Id="rId74" Target="https://doi.org/10.1038/s42254-021-00314-5" TargetMode="External" /><Relationship Type="http://schemas.openxmlformats.org/officeDocument/2006/relationships/hyperlink" Id="rId72" Target="https://doi.org/10.1038/s42254-022-00455-1" TargetMode="External" /><Relationship Type="http://schemas.openxmlformats.org/officeDocument/2006/relationships/hyperlink" Id="rId80" Target="https://doi.org/10.1038/s42254-022-00518-3" TargetMode="External" /><Relationship Type="http://schemas.openxmlformats.org/officeDocument/2006/relationships/hyperlink" Id="rId52" Target="https://doi.org/10.1073/pnas.0609476104" TargetMode="External" /><Relationship Type="http://schemas.openxmlformats.org/officeDocument/2006/relationships/hyperlink" Id="rId54" Target="https://doi.org/10.1073/pnas.1517384113" TargetMode="External" /><Relationship Type="http://schemas.openxmlformats.org/officeDocument/2006/relationships/hyperlink" Id="rId76" Target="https://doi.org/10.1080/01621459.1995.10476572" TargetMode="External" /><Relationship Type="http://schemas.openxmlformats.org/officeDocument/2006/relationships/hyperlink" Id="rId57" Target="https://doi.org/10.1103/RevModPhys.91.045002" TargetMode="External" /><Relationship Type="http://schemas.openxmlformats.org/officeDocument/2006/relationships/hyperlink" Id="rId70" Target="https://doi.org/10.1109/IEEESTD.2019.8766229" TargetMode="External" /><Relationship Type="http://schemas.openxmlformats.org/officeDocument/2006/relationships/hyperlink" Id="rId102" Target="https://doi.org/10.1126/sciadv.aay2631" TargetMode="External" /><Relationship Type="http://schemas.openxmlformats.org/officeDocument/2006/relationships/hyperlink" Id="rId93" Target="https://doi.org/10.1126/science.1165893" TargetMode="External" /><Relationship Type="http://schemas.openxmlformats.org/officeDocument/2006/relationships/hyperlink" Id="rId95" Target="https://doi.org/10.1214/aos/1176344136" TargetMode="External" /><Relationship Type="http://schemas.openxmlformats.org/officeDocument/2006/relationships/hyperlink" Id="rId99" Target="https://doi.org/10.3847/1538-4357/ad014c" TargetMode="External" /><Relationship Type="http://schemas.openxmlformats.org/officeDocument/2006/relationships/hyperlink" Id="rId64" Target="https://doi.org/10.48550/arXiv.2305.01582" TargetMode="External" /><Relationship Type="http://schemas.openxmlformats.org/officeDocument/2006/relationships/hyperlink" Id="rId97" Target="https://doi.org/10.48550/arXiv.2607.27794" TargetMode="External" /><Relationship Type="http://schemas.openxmlformats.org/officeDocument/2006/relationships/hyperlink" Id="rId50" Target="https://github.com/apiprdt/PhysicsPaper" TargetMode="External" /><Relationship Type="http://schemas.openxmlformats.org/officeDocument/2006/relationships/hyperlink" Id="rId18" Target="https://github.com/apiprdt/PhysicsPaper/tree/PythonADCD/rebuttal" TargetMode="External" /><Relationship Type="http://schemas.openxmlformats.org/officeDocument/2006/relationships/hyperlink" Id="rId89" Target="https://openreview.net/forum?id=m5Qsh0kBQ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arxiv.org/abs/2107.14351" TargetMode="External" /><Relationship Type="http://schemas.openxmlformats.org/officeDocument/2006/relationships/hyperlink" Id="rId68" Target="https://doi.org/10.1002/andp.19053221004" TargetMode="External" /><Relationship Type="http://schemas.openxmlformats.org/officeDocument/2006/relationships/hyperlink" Id="rId78" Target="https://doi.org/10.1007/s10994-025-06721-6" TargetMode="External" /><Relationship Type="http://schemas.openxmlformats.org/officeDocument/2006/relationships/hyperlink" Id="rId91" Target="https://doi.org/10.1016/j.jcp.2018.10.045" TargetMode="External" /><Relationship Type="http://schemas.openxmlformats.org/officeDocument/2006/relationships/hyperlink" Id="rId60" Target="https://doi.org/10.1038/s41467-023-37236-y" TargetMode="External" /><Relationship Type="http://schemas.openxmlformats.org/officeDocument/2006/relationships/hyperlink" Id="rId62" Target="https://doi.org/10.1038/s41467-024-50143-6" TargetMode="External" /><Relationship Type="http://schemas.openxmlformats.org/officeDocument/2006/relationships/hyperlink" Id="rId104" Target="https://doi.org/10.1038/s41586-023-06221-2" TargetMode="External" /><Relationship Type="http://schemas.openxmlformats.org/officeDocument/2006/relationships/hyperlink" Id="rId86" Target="https://doi.org/10.1038/s41586-024-07146-0" TargetMode="External" /><Relationship Type="http://schemas.openxmlformats.org/officeDocument/2006/relationships/hyperlink" Id="rId74" Target="https://doi.org/10.1038/s42254-021-00314-5" TargetMode="External" /><Relationship Type="http://schemas.openxmlformats.org/officeDocument/2006/relationships/hyperlink" Id="rId72" Target="https://doi.org/10.1038/s42254-022-00455-1" TargetMode="External" /><Relationship Type="http://schemas.openxmlformats.org/officeDocument/2006/relationships/hyperlink" Id="rId80" Target="https://doi.org/10.1038/s42254-022-00518-3" TargetMode="External" /><Relationship Type="http://schemas.openxmlformats.org/officeDocument/2006/relationships/hyperlink" Id="rId52" Target="https://doi.org/10.1073/pnas.0609476104" TargetMode="External" /><Relationship Type="http://schemas.openxmlformats.org/officeDocument/2006/relationships/hyperlink" Id="rId54" Target="https://doi.org/10.1073/pnas.1517384113" TargetMode="External" /><Relationship Type="http://schemas.openxmlformats.org/officeDocument/2006/relationships/hyperlink" Id="rId76" Target="https://doi.org/10.1080/01621459.1995.10476572" TargetMode="External" /><Relationship Type="http://schemas.openxmlformats.org/officeDocument/2006/relationships/hyperlink" Id="rId57" Target="https://doi.org/10.1103/RevModPhys.91.045002" TargetMode="External" /><Relationship Type="http://schemas.openxmlformats.org/officeDocument/2006/relationships/hyperlink" Id="rId70" Target="https://doi.org/10.1109/IEEESTD.2019.8766229" TargetMode="External" /><Relationship Type="http://schemas.openxmlformats.org/officeDocument/2006/relationships/hyperlink" Id="rId102" Target="https://doi.org/10.1126/sciadv.aay2631" TargetMode="External" /><Relationship Type="http://schemas.openxmlformats.org/officeDocument/2006/relationships/hyperlink" Id="rId93" Target="https://doi.org/10.1126/science.1165893" TargetMode="External" /><Relationship Type="http://schemas.openxmlformats.org/officeDocument/2006/relationships/hyperlink" Id="rId95" Target="https://doi.org/10.1214/aos/1176344136" TargetMode="External" /><Relationship Type="http://schemas.openxmlformats.org/officeDocument/2006/relationships/hyperlink" Id="rId99" Target="https://doi.org/10.3847/1538-4357/ad014c" TargetMode="External" /><Relationship Type="http://schemas.openxmlformats.org/officeDocument/2006/relationships/hyperlink" Id="rId64" Target="https://doi.org/10.48550/arXiv.2305.01582" TargetMode="External" /><Relationship Type="http://schemas.openxmlformats.org/officeDocument/2006/relationships/hyperlink" Id="rId97" Target="https://doi.org/10.48550/arXiv.2607.27794" TargetMode="External" /><Relationship Type="http://schemas.openxmlformats.org/officeDocument/2006/relationships/hyperlink" Id="rId50" Target="https://github.com/apiprdt/PhysicsPaper" TargetMode="External" /><Relationship Type="http://schemas.openxmlformats.org/officeDocument/2006/relationships/hyperlink" Id="rId18" Target="https://github.com/apiprdt/PhysicsPaper/tree/PythonADCD/rebuttal" TargetMode="External" /><Relationship Type="http://schemas.openxmlformats.org/officeDocument/2006/relationships/hyperlink" Id="rId89" Target="https://openreview.net/forum?id=m5Qsh0kBQ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Dictionary Correction Discovery: A Deterministic, Identifiability-Aware Framework for Recovering Physical Corrections from Observational Data</dc:title>
  <dc:creator>Muhammad Afif Erdita Independent Researcher Indonesia maeapip10@gmail.com </dc:creator>
  <cp:keywords/>
  <dcterms:created xsi:type="dcterms:W3CDTF">2026-10-26T10:18:34Z</dcterms:created>
  <dcterms:modified xsi:type="dcterms:W3CDTF">2026-10-26T10:18:34Z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ADCD (Asymptotic Dictionary Correction Discovery), a deterministic framework for recovering structured corrections to known physical laws from noisy data. Given a classical baseline, ADCD searches for the residual correction that vanishes exactly at the classical limit, using three interlocking mechanisms: algebraically regularized primitives that enforce asymptotic vanishing as an exact algebraic identity; a five-dimensional (MLT\ThetaQ) Buckingham-\pi engine that auto-derives dimensionless ratio arguments without manual specification; and a Phenomenon-Specific Taxonomy encoding peer-reviewed functional priors for each physics domain. A four-step validation protocol—budget disclosure, positive control, BIC-based ablation control, and determinism check—issues one of two verdicts: IDENTIFIABLE or WITHHELD. On three canonical scenarios at historical low-signal windows, Screened Coulomb (\Delta\mathrm{BIC}=30.65, exact symbolic match) and Entropy Expansion (\Delta\mathrm{BIC}=14.70, class-level match; borderline across noise seeds) are IDENTIFIABLE; Time Dilation at v\le0.3c is WITHHELD because the 4.8\% correction is indistinguishable from 1% noise—the intended, epistemically honest behavior. All results are byte-exact deterministic.Keywords: symbolic regression; correction discovery; dimensional analysis; Bayesian prior; model selection; identifiability</vt:lpwstr>
  </property>
  <property fmtid="{D5CDD505-2E9C-101B-9397-08002B2CF9AE}" pid="3" name="bibliography">
    <vt:lpwstr/>
  </property>
</Properties>
</file>