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Product design philosophy and UX guidelines at Acme Corp.</w:t>
      </w:r>
    </w:p>
    <w:bookmarkStart w:id="25" w:name="core-principles"/>
    <w:p>
      <w:pPr>
        <w:pStyle w:val="Heading2"/>
      </w:pPr>
      <w:r>
        <w:t xml:space="preserve">Core Principles</w:t>
      </w:r>
    </w:p>
    <w:bookmarkStart w:id="20" w:name="clarity-over-cleverness"/>
    <w:p>
      <w:pPr>
        <w:pStyle w:val="Heading3"/>
      </w:pPr>
      <w:r>
        <w:t xml:space="preserve">1. Clarity Over Cleverness</w:t>
      </w:r>
    </w:p>
    <w:p>
      <w:pPr>
        <w:pStyle w:val="FirstParagraph"/>
      </w:pPr>
      <w:r>
        <w:t xml:space="preserve">Every interface should be understandable at a glance. Avoid jargon, ambiguous icons, and hidden interactions. If a user has to guess what something does, it’s a design failure.</w:t>
      </w:r>
    </w:p>
    <w:bookmarkEnd w:id="20"/>
    <w:bookmarkStart w:id="21" w:name="progressive-disclosure"/>
    <w:p>
      <w:pPr>
        <w:pStyle w:val="Heading3"/>
      </w:pPr>
      <w:r>
        <w:t xml:space="preserve">2. Progressive Disclosure</w:t>
      </w:r>
    </w:p>
    <w:p>
      <w:pPr>
        <w:pStyle w:val="FirstParagraph"/>
      </w:pPr>
      <w:r>
        <w:t xml:space="preserve">Show the most common actions by default. Nest advanced options behind expandable sections or secondary menus. Don’t overwhelm beginners; don’t slow down power users.</w:t>
      </w:r>
    </w:p>
    <w:bookmarkEnd w:id="21"/>
    <w:bookmarkStart w:id="22" w:name="consistency"/>
    <w:p>
      <w:pPr>
        <w:pStyle w:val="Heading3"/>
      </w:pPr>
      <w:r>
        <w:t xml:space="preserve">3. Consistency</w:t>
      </w:r>
    </w:p>
    <w:p>
      <w:pPr>
        <w:pStyle w:val="FirstParagraph"/>
      </w:pPr>
      <w:r>
        <w:t xml:space="preserve">Use established patterns over novel ones. Our design system (Acme UI) documents every component, its states (default, hover, active, disabled, error), and its usage rules. If a pattern doesn’t exist, create it and add it to the system — don’t improvise.</w:t>
      </w:r>
    </w:p>
    <w:bookmarkEnd w:id="22"/>
    <w:bookmarkStart w:id="23" w:name="feedback"/>
    <w:p>
      <w:pPr>
        <w:pStyle w:val="Heading3"/>
      </w:pPr>
      <w:r>
        <w:t xml:space="preserve">4. Feedback</w:t>
      </w:r>
    </w:p>
    <w:p>
      <w:pPr>
        <w:pStyle w:val="FirstParagraph"/>
      </w:pPr>
      <w:r>
        <w:t xml:space="preserve">Every user action must produce visible feedback within 100ms: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state change + result within 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Spinner/optimistic UI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error message at the relevant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 with progress</w:t>
            </w:r>
          </w:p>
        </w:tc>
      </w:tr>
    </w:tbl>
    <w:bookmarkEnd w:id="23"/>
    <w:bookmarkStart w:id="24" w:name="accessibility"/>
    <w:p>
      <w:pPr>
        <w:pStyle w:val="Heading3"/>
      </w:pPr>
      <w:r>
        <w:t xml:space="preserve">5. Accessibility</w:t>
      </w:r>
    </w:p>
    <w:p>
      <w:pPr>
        <w:pStyle w:val="FirstParagraph"/>
      </w:pPr>
      <w:r>
        <w:t xml:space="preserve">All interfaces must meet WCAG 2.1 AA standards minimum:</w:t>
      </w:r>
    </w:p>
    <w:p>
      <w:pPr>
        <w:pStyle w:val="Compact"/>
        <w:numPr>
          <w:ilvl w:val="0"/>
          <w:numId w:val="1001"/>
        </w:numPr>
      </w:pPr>
      <w:r>
        <w:t xml:space="preserve">Color is never the sole indicator of state.</w:t>
      </w:r>
    </w:p>
    <w:p>
      <w:pPr>
        <w:pStyle w:val="Compact"/>
        <w:numPr>
          <w:ilvl w:val="0"/>
          <w:numId w:val="1001"/>
        </w:numPr>
      </w:pPr>
      <w:r>
        <w:t xml:space="preserve">All interactive elements are keyboard-navigable.</w:t>
      </w:r>
    </w:p>
    <w:p>
      <w:pPr>
        <w:pStyle w:val="Compact"/>
        <w:numPr>
          <w:ilvl w:val="0"/>
          <w:numId w:val="1001"/>
        </w:numPr>
      </w:pPr>
      <w:r>
        <w:t xml:space="preserve">Touch targets are at least 44×44px.</w:t>
      </w:r>
    </w:p>
    <w:p>
      <w:pPr>
        <w:pStyle w:val="Compact"/>
        <w:numPr>
          <w:ilvl w:val="0"/>
          <w:numId w:val="1001"/>
        </w:numPr>
      </w:pPr>
      <w:r>
        <w:t xml:space="preserve">Screen reader support with proper ARIA labels.</w:t>
      </w:r>
    </w:p>
    <w:bookmarkEnd w:id="24"/>
    <w:bookmarkEnd w:id="25"/>
    <w:bookmarkStart w:id="26" w:name="design-review-process"/>
    <w:p>
      <w:pPr>
        <w:pStyle w:val="Heading2"/>
      </w:pPr>
      <w:r>
        <w:t xml:space="preserve">Design Review Process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Early review</w:t>
      </w:r>
      <w:r>
        <w:t xml:space="preserve"> </w:t>
      </w:r>
      <w:r>
        <w:t xml:space="preserve">— Share wireframes or low-fidelity mockups with the product team. Validate the flow before investing in high-fidelity.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review</w:t>
      </w:r>
      <w:r>
        <w:t xml:space="preserve"> </w:t>
      </w:r>
      <w:r>
        <w:t xml:space="preserve">— Present high-fidelity designs in Figma. Stakeholders and at least one engineer review for feasibility.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 review</w:t>
      </w:r>
      <w:r>
        <w:t xml:space="preserve"> </w:t>
      </w:r>
      <w:r>
        <w:t xml:space="preserve">— Once built, compare the implementation against the design spec. Pixel-perfect is the goal, but accessibility and performance take priority.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2026-07-04T13:29:15Z</dcterms:created>
  <dcterms:modified xsi:type="dcterms:W3CDTF">2026-07-04T13:29:15Z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