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9066D" w14:textId="77777777" w:rsidR="001337A4" w:rsidRPr="001337A4" w:rsidRDefault="001337A4" w:rsidP="001337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37A4">
        <w:rPr>
          <w:rFonts w:ascii="Times New Roman" w:eastAsia="Times New Roman" w:hAnsi="Times New Roman" w:cs="Times New Roman"/>
          <w:b/>
          <w:bCs/>
          <w:color w:val="000000"/>
          <w:kern w:val="0"/>
          <w:sz w:val="27"/>
          <w:szCs w:val="27"/>
          <w14:ligatures w14:val="none"/>
        </w:rPr>
        <w:t>III. TECHNICAL CONTEXT: STERILIZING IMMUNITY AND REGULATORY DEFINITIONAL SLIPPAGE</w:t>
      </w:r>
    </w:p>
    <w:p w14:paraId="426868D3" w14:textId="77777777" w:rsidR="001337A4" w:rsidRPr="001337A4" w:rsidRDefault="003907BD" w:rsidP="001337A4">
      <w:pPr>
        <w:spacing w:after="0" w:line="240" w:lineRule="auto"/>
        <w:rPr>
          <w:rFonts w:ascii="Times New Roman" w:eastAsia="Times New Roman" w:hAnsi="Times New Roman" w:cs="Times New Roman"/>
          <w:kern w:val="0"/>
          <w14:ligatures w14:val="none"/>
        </w:rPr>
      </w:pPr>
      <w:r w:rsidRPr="003907BD">
        <w:rPr>
          <w:rFonts w:ascii="Times New Roman" w:eastAsia="Times New Roman" w:hAnsi="Times New Roman" w:cs="Times New Roman"/>
          <w:noProof/>
          <w:kern w:val="0"/>
        </w:rPr>
        <w:pict w14:anchorId="49874F45">
          <v:rect id="_x0000_i1026" alt="" style="width:468pt;height:.05pt;mso-width-percent:0;mso-height-percent:0;mso-width-percent:0;mso-height-percent:0" o:hralign="center" o:hrstd="t" o:hr="t" fillcolor="#a0a0a0" stroked="f"/>
        </w:pict>
      </w:r>
    </w:p>
    <w:p w14:paraId="3A8A4FC7" w14:textId="7E5CB0C5"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The concept of </w:t>
      </w:r>
      <w:r w:rsidRPr="001337A4">
        <w:rPr>
          <w:rFonts w:ascii="Times New Roman" w:eastAsia="Times New Roman" w:hAnsi="Times New Roman" w:cs="Times New Roman"/>
          <w:i/>
          <w:iCs/>
          <w:color w:val="000000"/>
          <w:kern w:val="0"/>
          <w14:ligatures w14:val="none"/>
        </w:rPr>
        <w:t>sterilizing immunity</w:t>
      </w:r>
      <w:r w:rsidRPr="001337A4">
        <w:rPr>
          <w:rFonts w:ascii="Times New Roman" w:eastAsia="Times New Roman" w:hAnsi="Times New Roman" w:cs="Times New Roman"/>
          <w:color w:val="000000"/>
          <w:kern w:val="0"/>
          <w14:ligatures w14:val="none"/>
        </w:rPr>
        <w:t>—the complete elimination of a pathogen before it can replicate in the host</w:t>
      </w: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ADDIN ZOTERO_ITEM CSL_CITATION {"citationID":"Z645bTH7","properties":{"formattedCitation":"\\super 1\\nosupersub{}","plainCitation":"1","noteIndex":0},"citationItems":[{"id":819,"uris":["http://zotero.org/users/8196738/items/VL2Q6U5C"],"itemData":{"id":819,"type":"article-journal","container-title":"Immunity","DOI":"10.1016/j.immuni.2022.10.017","ISSN":"1074-7613","issue":"12","language":"en","license":"https://www.elsevier.com/tdm/userlicense/1.0/","note":"publisher: Elsevier BV","page":"2231-2235","source":"Crossref","title":"Sterilizing immunity: Understanding COVID-19","title-short":"Sterilizing immunity","volume":"55","author":[{"family":"Wahl","given":"Ilka"},{"family":"Wardemann","given":"Hedda"}],"issued":{"date-parts":[["2022",12]]}}}],"schema":"https://github.com/citation-style-language/schema/raw/master/csl-citation.json"} </w:instrText>
      </w:r>
      <w:r>
        <w:rPr>
          <w:rFonts w:ascii="Times New Roman" w:eastAsia="Times New Roman" w:hAnsi="Times New Roman" w:cs="Times New Roman"/>
          <w:color w:val="000000"/>
          <w:kern w:val="0"/>
          <w14:ligatures w14:val="none"/>
        </w:rPr>
        <w:fldChar w:fldCharType="separate"/>
      </w:r>
      <w:r w:rsidRPr="001337A4">
        <w:rPr>
          <w:rFonts w:ascii="Times New Roman" w:hAnsi="Times New Roman" w:cs="Times New Roman"/>
          <w:color w:val="000000"/>
          <w:kern w:val="0"/>
          <w:vertAlign w:val="superscript"/>
        </w:rPr>
        <w:t>1</w:t>
      </w:r>
      <w:r>
        <w:rPr>
          <w:rFonts w:ascii="Times New Roman" w:eastAsia="Times New Roman" w:hAnsi="Times New Roman" w:cs="Times New Roman"/>
          <w:color w:val="000000"/>
          <w:kern w:val="0"/>
          <w14:ligatures w14:val="none"/>
        </w:rPr>
        <w:fldChar w:fldCharType="end"/>
      </w:r>
      <w:r w:rsidRPr="001337A4">
        <w:rPr>
          <w:rFonts w:ascii="Times New Roman" w:eastAsia="Times New Roman" w:hAnsi="Times New Roman" w:cs="Times New Roman"/>
          <w:color w:val="000000"/>
          <w:kern w:val="0"/>
          <w14:ligatures w14:val="none"/>
        </w:rPr>
        <w:t>—has long served as the gold standard for vaccine evaluation. Yet no vaccine has ever been 100% effective in achieving it</w:t>
      </w: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ADDIN ZOTERO_ITEM CSL_CITATION {"citationID":"w2W1sfZa","properties":{"formattedCitation":"\\super 2\\nosupersub{}","plainCitation":"2","noteIndex":0},"citationItems":[{"id":850,"uris":["http://zotero.org/users/8196738/items/NHH8HRQT"],"itemData":{"id":850,"type":"webpage","container-title":"AP","genre":"News","language":"en","title":"Experts say changes to CDC’s vaccination definition are normal | AP News","URL":"https://web.archive.org/web/20220209232529/https://apnews.com/article/fact-checking-976069264061","issued":{"date-parts":[["2022",2,9]]}}}],"schema":"https://github.com/citation-style-language/schema/raw/master/csl-citation.json"} </w:instrText>
      </w:r>
      <w:r>
        <w:rPr>
          <w:rFonts w:ascii="Times New Roman" w:eastAsia="Times New Roman" w:hAnsi="Times New Roman" w:cs="Times New Roman"/>
          <w:color w:val="000000"/>
          <w:kern w:val="0"/>
          <w14:ligatures w14:val="none"/>
        </w:rPr>
        <w:fldChar w:fldCharType="separate"/>
      </w:r>
      <w:r w:rsidRPr="001337A4">
        <w:rPr>
          <w:rFonts w:ascii="Times New Roman" w:hAnsi="Times New Roman" w:cs="Times New Roman"/>
          <w:color w:val="000000"/>
          <w:kern w:val="0"/>
          <w:vertAlign w:val="superscript"/>
        </w:rPr>
        <w:t>2</w:t>
      </w:r>
      <w:r>
        <w:rPr>
          <w:rFonts w:ascii="Times New Roman" w:eastAsia="Times New Roman" w:hAnsi="Times New Roman" w:cs="Times New Roman"/>
          <w:color w:val="000000"/>
          <w:kern w:val="0"/>
          <w14:ligatures w14:val="none"/>
        </w:rPr>
        <w:fldChar w:fldCharType="end"/>
      </w:r>
      <w:r w:rsidRPr="001337A4">
        <w:rPr>
          <w:rFonts w:ascii="Times New Roman" w:eastAsia="Times New Roman" w:hAnsi="Times New Roman" w:cs="Times New Roman"/>
          <w:color w:val="000000"/>
          <w:kern w:val="0"/>
          <w14:ligatures w14:val="none"/>
        </w:rPr>
        <w:t>. This is not a new insight. In fact, when the CDC revised its public definition of "vaccine" in </w:t>
      </w:r>
      <w:r w:rsidRPr="001337A4">
        <w:rPr>
          <w:rFonts w:ascii="Times New Roman" w:eastAsia="Times New Roman" w:hAnsi="Times New Roman" w:cs="Times New Roman"/>
          <w:b/>
          <w:bCs/>
          <w:color w:val="000000"/>
          <w:kern w:val="0"/>
          <w14:ligatures w14:val="none"/>
        </w:rPr>
        <w:t>September 2021</w:t>
      </w:r>
      <w:r w:rsidRPr="001337A4">
        <w:rPr>
          <w:rFonts w:ascii="Times New Roman" w:eastAsia="Times New Roman" w:hAnsi="Times New Roman" w:cs="Times New Roman"/>
          <w:color w:val="000000"/>
          <w:kern w:val="0"/>
          <w14:ligatures w14:val="none"/>
        </w:rPr>
        <w:t>, its stated reason—quoted in an AP fact check—was precisely that</w:t>
      </w: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ADDIN ZOTERO_ITEM CSL_CITATION {"citationID":"VM2SGCMD","properties":{"formattedCitation":"\\super 2\\nosupersub{}","plainCitation":"2","noteIndex":0},"citationItems":[{"id":850,"uris":["http://zotero.org/users/8196738/items/NHH8HRQT"],"itemData":{"id":850,"type":"webpage","container-title":"AP","genre":"News","language":"en","title":"Experts say changes to CDC’s vaccination definition are normal | AP News","URL":"https://web.archive.org/web/20220209232529/https://apnews.com/article/fact-checking-976069264061","issued":{"date-parts":[["2022",2,9]]}}}],"schema":"https://github.com/citation-style-language/schema/raw/master/csl-citation.json"} </w:instrText>
      </w:r>
      <w:r>
        <w:rPr>
          <w:rFonts w:ascii="Times New Roman" w:eastAsia="Times New Roman" w:hAnsi="Times New Roman" w:cs="Times New Roman"/>
          <w:color w:val="000000"/>
          <w:kern w:val="0"/>
          <w14:ligatures w14:val="none"/>
        </w:rPr>
        <w:fldChar w:fldCharType="separate"/>
      </w:r>
      <w:r w:rsidRPr="001337A4">
        <w:rPr>
          <w:rFonts w:ascii="Times New Roman" w:hAnsi="Times New Roman" w:cs="Times New Roman"/>
          <w:color w:val="000000"/>
          <w:kern w:val="0"/>
          <w:vertAlign w:val="superscript"/>
        </w:rPr>
        <w:t>2</w:t>
      </w:r>
      <w:r>
        <w:rPr>
          <w:rFonts w:ascii="Times New Roman" w:eastAsia="Times New Roman" w:hAnsi="Times New Roman" w:cs="Times New Roman"/>
          <w:color w:val="000000"/>
          <w:kern w:val="0"/>
          <w14:ligatures w14:val="none"/>
        </w:rPr>
        <w:fldChar w:fldCharType="end"/>
      </w:r>
      <w:r w:rsidRPr="001337A4">
        <w:rPr>
          <w:rFonts w:ascii="Times New Roman" w:eastAsia="Times New Roman" w:hAnsi="Times New Roman" w:cs="Times New Roman"/>
          <w:color w:val="000000"/>
          <w:kern w:val="0"/>
          <w14:ligatures w14:val="none"/>
        </w:rPr>
        <w:t>:</w:t>
      </w:r>
    </w:p>
    <w:p w14:paraId="67235910" w14:textId="77777777"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“The previous definition could be interpreted to mean that vaccines were 100% effective, which they never have been”.</w:t>
      </w:r>
    </w:p>
    <w:p w14:paraId="521C977F" w14:textId="7AE53358"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That statement is </w:t>
      </w:r>
      <w:r w:rsidRPr="001337A4">
        <w:rPr>
          <w:rFonts w:ascii="Times New Roman" w:eastAsia="Times New Roman" w:hAnsi="Times New Roman" w:cs="Times New Roman"/>
          <w:i/>
          <w:iCs/>
          <w:color w:val="000000"/>
          <w:kern w:val="0"/>
          <w14:ligatures w14:val="none"/>
        </w:rPr>
        <w:t>technically correct</w:t>
      </w:r>
      <w:r w:rsidRPr="001337A4">
        <w:rPr>
          <w:rFonts w:ascii="Times New Roman" w:eastAsia="Times New Roman" w:hAnsi="Times New Roman" w:cs="Times New Roman"/>
          <w:color w:val="000000"/>
          <w:kern w:val="0"/>
          <w14:ligatures w14:val="none"/>
        </w:rPr>
        <w:t>. Even among traditional vaccines, real-world performance varies. Consider the </w:t>
      </w:r>
      <w:r w:rsidRPr="001337A4">
        <w:rPr>
          <w:rFonts w:ascii="Times New Roman" w:eastAsia="Times New Roman" w:hAnsi="Times New Roman" w:cs="Times New Roman"/>
          <w:b/>
          <w:bCs/>
          <w:color w:val="000000"/>
          <w:kern w:val="0"/>
          <w14:ligatures w14:val="none"/>
        </w:rPr>
        <w:t>mumps component</w:t>
      </w:r>
      <w:r w:rsidRPr="001337A4">
        <w:rPr>
          <w:rFonts w:ascii="Times New Roman" w:eastAsia="Times New Roman" w:hAnsi="Times New Roman" w:cs="Times New Roman"/>
          <w:color w:val="000000"/>
          <w:kern w:val="0"/>
          <w14:ligatures w14:val="none"/>
        </w:rPr>
        <w:t> of MMR: outbreaks today occur </w:t>
      </w:r>
      <w:r w:rsidRPr="001337A4">
        <w:rPr>
          <w:rFonts w:ascii="Times New Roman" w:eastAsia="Times New Roman" w:hAnsi="Times New Roman" w:cs="Times New Roman"/>
          <w:i/>
          <w:iCs/>
          <w:color w:val="000000"/>
          <w:kern w:val="0"/>
          <w14:ligatures w14:val="none"/>
        </w:rPr>
        <w:t>primarily among vaccinated populations</w:t>
      </w:r>
      <w:r>
        <w:rPr>
          <w:rFonts w:ascii="Times New Roman" w:eastAsia="Times New Roman" w:hAnsi="Times New Roman" w:cs="Times New Roman"/>
          <w:i/>
          <w:iCs/>
          <w:color w:val="000000"/>
          <w:kern w:val="0"/>
          <w14:ligatures w14:val="none"/>
        </w:rPr>
        <w:fldChar w:fldCharType="begin"/>
      </w:r>
      <w:r w:rsidR="00944613">
        <w:rPr>
          <w:rFonts w:ascii="Times New Roman" w:eastAsia="Times New Roman" w:hAnsi="Times New Roman" w:cs="Times New Roman"/>
          <w:i/>
          <w:iCs/>
          <w:color w:val="000000"/>
          <w:kern w:val="0"/>
          <w14:ligatures w14:val="none"/>
        </w:rPr>
        <w:instrText xml:space="preserve"> ADDIN ZOTERO_ITEM CSL_CITATION {"citationID":"gzcBe6vn","properties":{"formattedCitation":"\\super 3\\nosupersub{}","plainCitation":"3","noteIndex":0},"citationItems":[{"id":825,"uris":["http://zotero.org/users/8196738/items/WA8HF6YS"],"itemData":{"id":825,"type":"article-journal","abstract":"ABSTRACTRecently, numerous large-scale mumps outbreaks have occurred in vaccinated populations. Clinical isolates sequenced from these outbreaks have invariably been of genotypes distinct from those of vaccine viruses, raising concern that certain mumps virus strains may escape vaccine-induced immunity. To investigate this concern, sera obtained from children 6 weeks after receipt of measles, mumps, and rubella (MMR) vaccine were tested for the ability to neutralize a carefully selected group of genetically diverse mumps virus strains. Although the geometric mean neutralizing antibody titer of the sera was lower against some virus strains than others, all viruses were readily neutralized, arguing against immune escape.","container-title":"Journal of Virology","DOI":"10.1128/jvi.06125-11","ISSN":"0022-538X, 1098-5514","issue":"1","journalAbbreviation":"J Virol","language":"en","license":"https://journals.asm.org/non-commercial-tdm-license","note":"publisher: American Society for Microbiology","page":"615-620","source":"Crossref","title":"Recent Mumps Outbreaks in Vaccinated Populations: No Evidence of Immune Escape","title-short":"Recent Mumps Outbreaks in Vaccinated Populations","volume":"86","author":[{"family":"Rubin","given":"Steven A."},{"family":"Link","given":"Malen A."},{"family":"Sauder","given":"Christian J."},{"family":"Zhang","given":"Cheryl"},{"family":"Ngo","given":"Laurie"},{"family":"Rima","given":"Bert K."},{"family":"Duprex","given":"W. Paul"}],"issued":{"date-parts":[["2012",1]]}}}],"schema":"https://github.com/citation-style-language/schema/raw/master/csl-citation.json"} </w:instrText>
      </w:r>
      <w:r>
        <w:rPr>
          <w:rFonts w:ascii="Times New Roman" w:eastAsia="Times New Roman" w:hAnsi="Times New Roman" w:cs="Times New Roman"/>
          <w:i/>
          <w:iCs/>
          <w:color w:val="000000"/>
          <w:kern w:val="0"/>
          <w14:ligatures w14:val="none"/>
        </w:rPr>
        <w:fldChar w:fldCharType="separate"/>
      </w:r>
      <w:r w:rsidR="00944613" w:rsidRPr="00944613">
        <w:rPr>
          <w:rFonts w:ascii="Times New Roman" w:hAnsi="Times New Roman" w:cs="Times New Roman"/>
          <w:color w:val="000000"/>
          <w:kern w:val="0"/>
          <w:vertAlign w:val="superscript"/>
        </w:rPr>
        <w:t>3</w:t>
      </w:r>
      <w:r>
        <w:rPr>
          <w:rFonts w:ascii="Times New Roman" w:eastAsia="Times New Roman" w:hAnsi="Times New Roman" w:cs="Times New Roman"/>
          <w:i/>
          <w:iCs/>
          <w:color w:val="000000"/>
          <w:kern w:val="0"/>
          <w14:ligatures w14:val="none"/>
        </w:rPr>
        <w:fldChar w:fldCharType="end"/>
      </w:r>
      <w:r w:rsidRPr="001337A4">
        <w:rPr>
          <w:rFonts w:ascii="Times New Roman" w:eastAsia="Times New Roman" w:hAnsi="Times New Roman" w:cs="Times New Roman"/>
          <w:color w:val="000000"/>
          <w:kern w:val="0"/>
          <w14:ligatures w14:val="none"/>
        </w:rPr>
        <w:t>, and immunity is known to wane substantially after 20–30 years</w:t>
      </w:r>
      <w:r w:rsidR="00944613">
        <w:rPr>
          <w:rFonts w:ascii="Times New Roman" w:eastAsia="Times New Roman" w:hAnsi="Times New Roman" w:cs="Times New Roman"/>
          <w:color w:val="000000"/>
          <w:kern w:val="0"/>
          <w14:ligatures w14:val="none"/>
        </w:rPr>
        <w:fldChar w:fldCharType="begin"/>
      </w:r>
      <w:r w:rsidR="00C77E9C">
        <w:rPr>
          <w:rFonts w:ascii="Times New Roman" w:eastAsia="Times New Roman" w:hAnsi="Times New Roman" w:cs="Times New Roman"/>
          <w:color w:val="000000"/>
          <w:kern w:val="0"/>
          <w14:ligatures w14:val="none"/>
        </w:rPr>
        <w:instrText xml:space="preserve"> ADDIN ZOTERO_ITEM CSL_CITATION {"citationID":"trQ9Lgmb","properties":{"formattedCitation":"\\super 4,5\\nosupersub{}","plainCitation":"4,5","noteIndex":0},"citationItems":[{"id":861,"uris":["http://zotero.org/users/8196738/items/STIN2UVT"],"itemData":{"id":861,"type":"article-journal","container-title":"SCIENCE TRANSLATIONAL MEDICINE","language":"en","source":"Zotero","title":"Vaccine waning and mumps re-emergence in the United States","author":[{"family":"Lewnard","given":"Joseph A"},{"family":"Grad","given":"Yonatan H"}],"issued":{"date-parts":[["2018"]]}}},{"id":816,"uris":["http://zotero.org/users/8196738/items/QKFTJ6QK"],"itemData":{"id":816,"type":"article-journal","abstract":"History illustrates the remarkable public health impact of mass vaccination, by dramatically improving life expectancy and reducing the burden of infectious diseases and co-morbidities worldwide. It has been perceived that if an individual adhered to the MMR vaccine schedule that immunity to mumps virus (MuV) would be lifelong. Recent mumps outbreaks in individuals who had received two doses of the Measles Mumps Rubella (MMR) vaccine has challenged the efﬁcacy of the MMR vaccine. However, clinical symptoms, complications, viral shedding and transmission associated with mumps infection has been shown to be reduced in vaccinated individuals, demonstrating a beneﬁt of this vaccine. Therefore, the question of what constitutes a good mumps vaccine and how its impact is assessed in this modern era remains to be addressed. Epidemiology of the individuals most affected by the outbreaks (predominantly young adults) and variance in the circulating MuV genotype have been well-described alluding to a collection of inﬂuences such as vaccine hesitancy, heterogeneous vaccine uptake, primary, and/or secondary vaccine failures. This review aims to discuss in detail the interplay of factors thought to be contributing to the current mumps outbreaks seen in highly vaccinated populations. In addition, how mumps diagnoses has progressed and impacted the understanding of mumps infection since a mumps vaccine was ﬁrst developed, the limitations of current laboratory tests in conﬁrming protection in vaccinated individuals and how vaccine effectiveness is quantiﬁed are also considered. By highlighting knowledge gaps within this area, this state-of-the-art review proposes a change of perspective regarding the impact of a vaccine in a highly vaccinated population from a clinical, diagnostic and public perspective, highlighting a need for a paradigm shift on what is considered vaccine immunity.","container-title":"Frontiers in Immunology","DOI":"10.3389/fimmu.2020.02089","ISSN":"1664-3224","journalAbbreviation":"Front. Immunol.","language":"en","license":"https://creativecommons.org/licenses/by/4.0/","note":"publisher: Frontiers Media SA","source":"Crossref","title":"Mumps Outbreaks in Vaccinated Populations—Is It Time to Re-assess the Clinical Efficacy of Vaccines?","URL":"https://www.frontiersin.org/article/10.3389/fimmu.2020.02089/full","volume":"11","author":[{"family":"Connell","given":"Anna R."},{"family":"Connell","given":"Jeff"},{"family":"Leahy","given":"T. Ronan"},{"family":"Hassan","given":"Jaythoon"}],"accessed":{"date-parts":[["2025",7,11]]},"issued":{"date-parts":[["2020",9,18]]}}}],"schema":"https://github.com/citation-style-language/schema/raw/master/csl-citation.json"} </w:instrText>
      </w:r>
      <w:r w:rsidR="00944613">
        <w:rPr>
          <w:rFonts w:ascii="Times New Roman" w:eastAsia="Times New Roman" w:hAnsi="Times New Roman" w:cs="Times New Roman"/>
          <w:color w:val="000000"/>
          <w:kern w:val="0"/>
          <w14:ligatures w14:val="none"/>
        </w:rPr>
        <w:fldChar w:fldCharType="separate"/>
      </w:r>
      <w:r w:rsidR="00C77E9C" w:rsidRPr="00C77E9C">
        <w:rPr>
          <w:rFonts w:ascii="Times New Roman" w:hAnsi="Times New Roman" w:cs="Times New Roman"/>
          <w:color w:val="000000"/>
          <w:kern w:val="0"/>
          <w:vertAlign w:val="superscript"/>
        </w:rPr>
        <w:t>4,5</w:t>
      </w:r>
      <w:r w:rsidR="00944613">
        <w:rPr>
          <w:rFonts w:ascii="Times New Roman" w:eastAsia="Times New Roman" w:hAnsi="Times New Roman" w:cs="Times New Roman"/>
          <w:color w:val="000000"/>
          <w:kern w:val="0"/>
          <w14:ligatures w14:val="none"/>
        </w:rPr>
        <w:fldChar w:fldCharType="end"/>
      </w:r>
      <w:r w:rsidRPr="001337A4">
        <w:rPr>
          <w:rFonts w:ascii="Times New Roman" w:eastAsia="Times New Roman" w:hAnsi="Times New Roman" w:cs="Times New Roman"/>
          <w:color w:val="000000"/>
          <w:kern w:val="0"/>
          <w14:ligatures w14:val="none"/>
        </w:rPr>
        <w:t>. A 2022 review noted that even two doses conferred only </w:t>
      </w:r>
      <w:r w:rsidRPr="001337A4">
        <w:rPr>
          <w:rFonts w:ascii="Times New Roman" w:eastAsia="Times New Roman" w:hAnsi="Times New Roman" w:cs="Times New Roman"/>
          <w:b/>
          <w:bCs/>
          <w:color w:val="000000"/>
          <w:kern w:val="0"/>
          <w14:ligatures w14:val="none"/>
        </w:rPr>
        <w:t>88% median effectiveness</w:t>
      </w:r>
      <w:r w:rsidR="00C77E9C">
        <w:rPr>
          <w:rFonts w:ascii="Times New Roman" w:eastAsia="Times New Roman" w:hAnsi="Times New Roman" w:cs="Times New Roman"/>
          <w:b/>
          <w:bCs/>
          <w:color w:val="000000"/>
          <w:kern w:val="0"/>
          <w14:ligatures w14:val="none"/>
        </w:rPr>
        <w:fldChar w:fldCharType="begin"/>
      </w:r>
      <w:r w:rsidR="00C77E9C">
        <w:rPr>
          <w:rFonts w:ascii="Times New Roman" w:eastAsia="Times New Roman" w:hAnsi="Times New Roman" w:cs="Times New Roman"/>
          <w:b/>
          <w:bCs/>
          <w:color w:val="000000"/>
          <w:kern w:val="0"/>
          <w14:ligatures w14:val="none"/>
        </w:rPr>
        <w:instrText xml:space="preserve"> ADDIN ZOTERO_ITEM CSL_CITATION {"citationID":"BoxFIcTv","properties":{"formattedCitation":"\\super 5\\nosupersub{}","plainCitation":"5","noteIndex":0},"citationItems":[{"id":816,"uris":["http://zotero.org/users/8196738/items/QKFTJ6QK"],"itemData":{"id":816,"type":"article-journal","abstract":"History illustrates the remarkable public health impact of mass vaccination, by dramatically improving life expectancy and reducing the burden of infectious diseases and co-morbidities worldwide. It has been perceived that if an individual adhered to the MMR vaccine schedule that immunity to mumps virus (MuV) would be lifelong. Recent mumps outbreaks in individuals who had received two doses of the Measles Mumps Rubella (MMR) vaccine has challenged the efﬁcacy of the MMR vaccine. However, clinical symptoms, complications, viral shedding and transmission associated with mumps infection has been shown to be reduced in vaccinated individuals, demonstrating a beneﬁt of this vaccine. Therefore, the question of what constitutes a good mumps vaccine and how its impact is assessed in this modern era remains to be addressed. Epidemiology of the individuals most affected by the outbreaks (predominantly young adults) and variance in the circulating MuV genotype have been well-described alluding to a collection of inﬂuences such as vaccine hesitancy, heterogeneous vaccine uptake, primary, and/or secondary vaccine failures. This review aims to discuss in detail the interplay of factors thought to be contributing to the current mumps outbreaks seen in highly vaccinated populations. In addition, how mumps diagnoses has progressed and impacted the understanding of mumps infection since a mumps vaccine was ﬁrst developed, the limitations of current laboratory tests in conﬁrming protection in vaccinated individuals and how vaccine effectiveness is quantiﬁed are also considered. By highlighting knowledge gaps within this area, this state-of-the-art review proposes a change of perspective regarding the impact of a vaccine in a highly vaccinated population from a clinical, diagnostic and public perspective, highlighting a need for a paradigm shift on what is considered vaccine immunity.","container-title":"Frontiers in Immunology","DOI":"10.3389/fimmu.2020.02089","ISSN":"1664-3224","journalAbbreviation":"Front. Immunol.","language":"en","license":"https://creativecommons.org/licenses/by/4.0/","note":"publisher: Frontiers Media SA","source":"Crossref","title":"Mumps Outbreaks in Vaccinated Populations—Is It Time to Re-assess the Clinical Efficacy of Vaccines?","URL":"https://www.frontiersin.org/article/10.3389/fimmu.2020.02089/full","volume":"11","author":[{"family":"Connell","given":"Anna R."},{"family":"Connell","given":"Jeff"},{"family":"Leahy","given":"T. Ronan"},{"family":"Hassan","given":"Jaythoon"}],"accessed":{"date-parts":[["2025",7,11]]},"issued":{"date-parts":[["2020",9,18]]}}}],"schema":"https://github.com/citation-style-language/schema/raw/master/csl-citation.json"} </w:instrText>
      </w:r>
      <w:r w:rsidR="00C77E9C">
        <w:rPr>
          <w:rFonts w:ascii="Times New Roman" w:eastAsia="Times New Roman" w:hAnsi="Times New Roman" w:cs="Times New Roman"/>
          <w:b/>
          <w:bCs/>
          <w:color w:val="000000"/>
          <w:kern w:val="0"/>
          <w14:ligatures w14:val="none"/>
        </w:rPr>
        <w:fldChar w:fldCharType="separate"/>
      </w:r>
      <w:r w:rsidR="00C77E9C" w:rsidRPr="00C77E9C">
        <w:rPr>
          <w:rFonts w:ascii="Times New Roman" w:hAnsi="Times New Roman" w:cs="Times New Roman"/>
          <w:color w:val="000000"/>
          <w:kern w:val="0"/>
          <w:vertAlign w:val="superscript"/>
        </w:rPr>
        <w:t>5</w:t>
      </w:r>
      <w:r w:rsidR="00C77E9C">
        <w:rPr>
          <w:rFonts w:ascii="Times New Roman" w:eastAsia="Times New Roman" w:hAnsi="Times New Roman" w:cs="Times New Roman"/>
          <w:b/>
          <w:bCs/>
          <w:color w:val="000000"/>
          <w:kern w:val="0"/>
          <w14:ligatures w14:val="none"/>
        </w:rPr>
        <w:fldChar w:fldCharType="end"/>
      </w:r>
      <w:r w:rsidRPr="001337A4">
        <w:rPr>
          <w:rFonts w:ascii="Times New Roman" w:eastAsia="Times New Roman" w:hAnsi="Times New Roman" w:cs="Times New Roman"/>
          <w:color w:val="000000"/>
          <w:kern w:val="0"/>
          <w14:ligatures w14:val="none"/>
        </w:rPr>
        <w:t>, with lower efficacy against circulating genotype G strains</w:t>
      </w:r>
      <w:r w:rsidR="00C77E9C">
        <w:rPr>
          <w:rFonts w:ascii="Times New Roman" w:eastAsia="Times New Roman" w:hAnsi="Times New Roman" w:cs="Times New Roman"/>
          <w:color w:val="000000"/>
          <w:kern w:val="0"/>
          <w14:ligatures w14:val="none"/>
        </w:rPr>
        <w:fldChar w:fldCharType="begin"/>
      </w:r>
      <w:r w:rsidR="00C77E9C">
        <w:rPr>
          <w:rFonts w:ascii="Times New Roman" w:eastAsia="Times New Roman" w:hAnsi="Times New Roman" w:cs="Times New Roman"/>
          <w:color w:val="000000"/>
          <w:kern w:val="0"/>
          <w14:ligatures w14:val="none"/>
        </w:rPr>
        <w:instrText xml:space="preserve"> ADDIN ZOTERO_ITEM CSL_CITATION {"citationID":"hXIX9uVn","properties":{"formattedCitation":"\\super 6\\nosupersub{}","plainCitation":"6","noteIndex":0},"citationItems":[{"id":863,"uris":["http://zotero.org/users/8196738/items/C224JZEY"],"itemData":{"id":863,"type":"article-journal","abstract":"Background: Similar to other recent mumps genotype G outbreaks worldwide, most mumps patients during the recent mumps genotype G outbreaks in the Netherlands had received 2 doses of measles, mumps and rubella (MMR) vaccine during childhood. Here, we investigate the capacity of vaccineinduced antibodies to neutralize wild type mumps virus strains, including mumps virus genotype G.\nMethods: In this study, we tested 105 pre-outbreak serum samples from students who had received 2 MMR vaccine doses and who had no mumps virus infection (n = 76), symptomatic mumps virus infection (n = 10) or asymptomatic mumps virus infection (n = 19) during the mumps outbreaks. In all samples, mumps-speciﬁc IgG concentrations were measured by multiplex immunoassay and neutralization titers were measured against the Jeryl Lynn vaccine strain and against wild type genotype G and genotype D mumps virus strains.\nResults: The correlation between mumps-speciﬁc IgG concentrations and neutralization titers against Jeryl Lynn was poor, which suggests that IgG concentrations do not adequately represent immunological protection against mumps virus infection by antibody neutralization. Pre-outbreak neutralization titers in infected persons were signiﬁcantly lower against genotype G than against the vaccine strain. Furthermore, antibody neutralization of wild type mumps virus genotype G and genotype D was significantly reduced in pre-outbreak samples from infected persons as compared with non-infected persons. No statistically signiﬁcant difference was found for the vaccine strain. The sensitivity/speciﬁcity ratio was largest for neutralization of the genotype G strain as compared with the genotype D strain and the vaccine strain.\nConclusions: The reduced neutralization of wild type mumps virus strains in MMR vaccinated persons prior to infection indicates that pre-outbreak mumps virus neutralization is partly strain-speciﬁc and that neutralization differs between infected and non-infected persons. Therefore, we recommend the use of wild type mumps virus neutralization assays as preferred tool for surveillance of protection against mumps virus infection.","container-title":"Vaccine","DOI":"10.1016/j.vaccine.2016.06.063","ISSN":"0264410X","issue":"35","journalAbbreviation":"Vaccine","language":"en","page":"4166-4171","source":"DOI.org (Crossref)","title":"Mumps-specific cross-neutralization by MMR vaccine-induced antibodies predicts protection against mumps virus infection","volume":"34","author":[{"family":"Gouma","given":"Sigrid"},{"family":"Ten Hulscher","given":"Hinke I."},{"family":"Schurink-van ’T Klooster","given":"Tessa M."},{"family":"De Melker","given":"Hester E."},{"family":"Boland","given":"Greet J."},{"family":"Kaaijk","given":"Patricia"},{"family":"Van Els","given":"Cécile A.C.M."},{"family":"Koopmans","given":"Marion P.G."},{"family":"Van Binnendijk","given":"Rob S."}],"issued":{"date-parts":[["2016",7]]}}}],"schema":"https://github.com/citation-style-language/schema/raw/master/csl-citation.json"} </w:instrText>
      </w:r>
      <w:r w:rsidR="00C77E9C">
        <w:rPr>
          <w:rFonts w:ascii="Times New Roman" w:eastAsia="Times New Roman" w:hAnsi="Times New Roman" w:cs="Times New Roman"/>
          <w:color w:val="000000"/>
          <w:kern w:val="0"/>
          <w14:ligatures w14:val="none"/>
        </w:rPr>
        <w:fldChar w:fldCharType="separate"/>
      </w:r>
      <w:r w:rsidR="00C77E9C" w:rsidRPr="00C77E9C">
        <w:rPr>
          <w:rFonts w:ascii="Times New Roman" w:hAnsi="Times New Roman" w:cs="Times New Roman"/>
          <w:color w:val="000000"/>
          <w:kern w:val="0"/>
          <w:vertAlign w:val="superscript"/>
        </w:rPr>
        <w:t>6</w:t>
      </w:r>
      <w:r w:rsidR="00C77E9C">
        <w:rPr>
          <w:rFonts w:ascii="Times New Roman" w:eastAsia="Times New Roman" w:hAnsi="Times New Roman" w:cs="Times New Roman"/>
          <w:color w:val="000000"/>
          <w:kern w:val="0"/>
          <w14:ligatures w14:val="none"/>
        </w:rPr>
        <w:fldChar w:fldCharType="end"/>
      </w:r>
      <w:r w:rsidRPr="001337A4">
        <w:rPr>
          <w:rFonts w:ascii="Times New Roman" w:eastAsia="Times New Roman" w:hAnsi="Times New Roman" w:cs="Times New Roman"/>
          <w:color w:val="000000"/>
          <w:kern w:val="0"/>
          <w14:ligatures w14:val="none"/>
        </w:rPr>
        <w:t>. Similarly, studies comparing natural infection with measles versus vaccination show longer-lasting immunity from wild-type exposure than from the vaccine</w:t>
      </w:r>
      <w:r w:rsidR="00C77E9C">
        <w:rPr>
          <w:rFonts w:ascii="Times New Roman" w:eastAsia="Times New Roman" w:hAnsi="Times New Roman" w:cs="Times New Roman"/>
          <w:color w:val="000000"/>
          <w:kern w:val="0"/>
          <w14:ligatures w14:val="none"/>
        </w:rPr>
        <w:fldChar w:fldCharType="begin"/>
      </w:r>
      <w:r w:rsidR="00C77E9C">
        <w:rPr>
          <w:rFonts w:ascii="Times New Roman" w:eastAsia="Times New Roman" w:hAnsi="Times New Roman" w:cs="Times New Roman"/>
          <w:color w:val="000000"/>
          <w:kern w:val="0"/>
          <w14:ligatures w14:val="none"/>
        </w:rPr>
        <w:instrText xml:space="preserve"> ADDIN ZOTERO_ITEM CSL_CITATION {"citationID":"wVwJ0zCS","properties":{"formattedCitation":"\\super 7\\nosupersub{}","plainCitation":"7","noteIndex":0},"citationItems":[{"id":857,"uris":["http://zotero.org/users/8196738/items/Y7KFUWLH"],"itemData":{"id":857,"type":"article-journal","abstract":"The persistence of specific IgG after measles infection and after measles vaccination has not been sufficiently investigated. Current evidence suggests that immunity after the disease is life-long, whereas the response after two doses of measles-containing vaccine declines within 10–15 years. This study evaluated the proportion of individuals with detectable anti-measles IgG in two groups, those vaccinated with two doses of anti-MMR vaccine and those with a self-reported history of measles infection. Among the 611 students and residents who were tested, 94 (15%) had no detectable protective anti-measles IgG. This proportion was higher among vaccinated individuals (20%; GMT = 92.2) than among those with a selfreported history of measles (6%; GMT = 213.3; p &lt; .0001). After one or two MMR vaccine booster doses, the overall seroconversion rate was 92%. An important proportion of people immunized for measles did not have a protective IgG titer in the years after vaccination, but among those who had a natural infection the rate was three-fold lower. This finding should be considered in the pre-elimination phase, given the resurgence of measles cases among individuals who after being vaccinated lost their circulating IgG after several years, especially if they failed to receive a natural booster.","container-title":"Human Vaccines &amp; Immunotherapeutics","DOI":"10.1080/21645515.2020.1871296","ISSN":"2164-5515, 2164-554X","issue":"7","journalAbbreviation":"Human Vaccines &amp; Immunotherapeutics","language":"en","page":"2078-2084","source":"DOI.org (Crossref)","title":"Long-term immunogenicity after measles vaccine vs. wild infection: an Italian retrospective cohort study","title-short":"Long-term immunogenicity after measles vaccine vs. wild infection","volume":"17","author":[{"family":"Bianchi","given":"Francesco Paolo"},{"family":"Mascipinto","given":"Simona"},{"family":"Stefanizzi","given":"Pasquale"},{"family":"De Nitto","given":"Sara"},{"family":"Germinario","given":"Cinzia"},{"family":"Tafuri","given":"Silvio"}],"issued":{"date-parts":[["2021",7,3]]}}}],"schema":"https://github.com/citation-style-language/schema/raw/master/csl-citation.json"} </w:instrText>
      </w:r>
      <w:r w:rsidR="00C77E9C">
        <w:rPr>
          <w:rFonts w:ascii="Times New Roman" w:eastAsia="Times New Roman" w:hAnsi="Times New Roman" w:cs="Times New Roman"/>
          <w:color w:val="000000"/>
          <w:kern w:val="0"/>
          <w14:ligatures w14:val="none"/>
        </w:rPr>
        <w:fldChar w:fldCharType="separate"/>
      </w:r>
      <w:r w:rsidR="00C77E9C" w:rsidRPr="00C77E9C">
        <w:rPr>
          <w:rFonts w:ascii="Times New Roman" w:hAnsi="Times New Roman" w:cs="Times New Roman"/>
          <w:color w:val="000000"/>
          <w:kern w:val="0"/>
          <w:vertAlign w:val="superscript"/>
        </w:rPr>
        <w:t>7</w:t>
      </w:r>
      <w:r w:rsidR="00C77E9C">
        <w:rPr>
          <w:rFonts w:ascii="Times New Roman" w:eastAsia="Times New Roman" w:hAnsi="Times New Roman" w:cs="Times New Roman"/>
          <w:color w:val="000000"/>
          <w:kern w:val="0"/>
          <w14:ligatures w14:val="none"/>
        </w:rPr>
        <w:fldChar w:fldCharType="end"/>
      </w:r>
      <w:r w:rsidRPr="001337A4">
        <w:rPr>
          <w:rFonts w:ascii="Times New Roman" w:eastAsia="Times New Roman" w:hAnsi="Times New Roman" w:cs="Times New Roman"/>
          <w:color w:val="000000"/>
          <w:kern w:val="0"/>
          <w14:ligatures w14:val="none"/>
        </w:rPr>
        <w:t>.</w:t>
      </w:r>
    </w:p>
    <w:p w14:paraId="2DECD76D" w14:textId="24887967"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What’s important is that these limitations were </w:t>
      </w:r>
      <w:r w:rsidRPr="001337A4">
        <w:rPr>
          <w:rFonts w:ascii="Times New Roman" w:eastAsia="Times New Roman" w:hAnsi="Times New Roman" w:cs="Times New Roman"/>
          <w:i/>
          <w:iCs/>
          <w:color w:val="000000"/>
          <w:kern w:val="0"/>
          <w14:ligatures w14:val="none"/>
        </w:rPr>
        <w:t>known</w:t>
      </w:r>
      <w:r w:rsidRPr="001337A4">
        <w:rPr>
          <w:rFonts w:ascii="Times New Roman" w:eastAsia="Times New Roman" w:hAnsi="Times New Roman" w:cs="Times New Roman"/>
          <w:color w:val="000000"/>
          <w:kern w:val="0"/>
          <w14:ligatures w14:val="none"/>
        </w:rPr>
        <w:t>—and yet, under the pre-2021 definition</w:t>
      </w:r>
      <w:r w:rsidR="00C77E9C">
        <w:rPr>
          <w:rFonts w:ascii="Times New Roman" w:eastAsia="Times New Roman" w:hAnsi="Times New Roman" w:cs="Times New Roman"/>
          <w:color w:val="000000"/>
          <w:kern w:val="0"/>
          <w14:ligatures w14:val="none"/>
        </w:rPr>
        <w:fldChar w:fldCharType="begin"/>
      </w:r>
      <w:r w:rsidR="00C77E9C">
        <w:rPr>
          <w:rFonts w:ascii="Times New Roman" w:eastAsia="Times New Roman" w:hAnsi="Times New Roman" w:cs="Times New Roman"/>
          <w:color w:val="000000"/>
          <w:kern w:val="0"/>
          <w14:ligatures w14:val="none"/>
        </w:rPr>
        <w:instrText xml:space="preserve"> ADDIN ZOTERO_ITEM CSL_CITATION {"citationID":"0R9rVtcV","properties":{"formattedCitation":"\\super 8\\uc0\\u8211{}10\\nosupersub{}","plainCitation":"8–10","noteIndex":0},"citationItems":[{"id":815,"uris":["http://zotero.org/users/8196738/items/HA3II885"],"itemData":{"id":815,"type":"webpage","abstract":"Waybackmachine Achieve - 01/09/19, Immunity def","container-title":"CDC - Immunization: The Basics - 01/09/19","language":"en","title":"Immunization Basics | CDC - 01/09/19","URL":"The Wayback Machine - https://web.archive.org/web/20190109174625/https://www.cdc.gov/vaccines/vac-gen/imz-basics.htm","issued":{"date-parts":[["2019",1,9]]}}},{"id":813,"uris":["http://zotero.org/users/8196738/items/UAV6CMQB"],"itemData":{"id":813,"type":"webpage","abstract":"Waybackmachine Achieve - 03/17/20, Immunity def","container-title":"CDC - Vaccines &amp; Immunizations: The basics","genre":"CDC","language":"en","title":"CDC - Vaccines: Vac-Gen/Imz Basics - 03/17/20","URL":"https://web.archive.org/web/20200317214611/https://www.cdc.gov/vaccines/vac-gen/imz-basics.htm","issued":{"date-parts":[["2020",3,17]]}}},{"id":814,"uris":["http://zotero.org/users/8196738/items/CVVNYGQI"],"itemData":{"id":814,"type":"webpage","container-title":"Immunization Basics | Vaccines and Immunizations | CDC","genre":"CDC","language":"en","title":"Immunization Basics | Vaccines and Immunizations | CDC - 01/31/21","URL":"https://web.archive.org/web/20210131134831/https://www.cdc.gov/vaccines/vac-gen/imz-basics.htm","issued":{"date-parts":[["2021",1,31]]}}}],"schema":"https://github.com/citation-style-language/schema/raw/master/csl-citation.json"} </w:instrText>
      </w:r>
      <w:r w:rsidR="00C77E9C">
        <w:rPr>
          <w:rFonts w:ascii="Times New Roman" w:eastAsia="Times New Roman" w:hAnsi="Times New Roman" w:cs="Times New Roman"/>
          <w:color w:val="000000"/>
          <w:kern w:val="0"/>
          <w14:ligatures w14:val="none"/>
        </w:rPr>
        <w:fldChar w:fldCharType="separate"/>
      </w:r>
      <w:r w:rsidR="00C77E9C" w:rsidRPr="00C77E9C">
        <w:rPr>
          <w:rFonts w:ascii="Times New Roman" w:hAnsi="Times New Roman" w:cs="Times New Roman"/>
          <w:color w:val="000000"/>
          <w:kern w:val="0"/>
          <w:vertAlign w:val="superscript"/>
        </w:rPr>
        <w:t>8–10</w:t>
      </w:r>
      <w:r w:rsidR="00C77E9C">
        <w:rPr>
          <w:rFonts w:ascii="Times New Roman" w:eastAsia="Times New Roman" w:hAnsi="Times New Roman" w:cs="Times New Roman"/>
          <w:color w:val="000000"/>
          <w:kern w:val="0"/>
          <w14:ligatures w14:val="none"/>
        </w:rPr>
        <w:fldChar w:fldCharType="end"/>
      </w:r>
      <w:r w:rsidRPr="001337A4">
        <w:rPr>
          <w:rFonts w:ascii="Times New Roman" w:eastAsia="Times New Roman" w:hAnsi="Times New Roman" w:cs="Times New Roman"/>
          <w:color w:val="000000"/>
          <w:kern w:val="0"/>
          <w14:ligatures w14:val="none"/>
        </w:rPr>
        <w:t>, these products were still considered vaccines, because they very often </w:t>
      </w:r>
      <w:r w:rsidRPr="001337A4">
        <w:rPr>
          <w:rFonts w:ascii="Times New Roman" w:eastAsia="Times New Roman" w:hAnsi="Times New Roman" w:cs="Times New Roman"/>
          <w:b/>
          <w:bCs/>
          <w:color w:val="000000"/>
          <w:kern w:val="0"/>
          <w14:ligatures w14:val="none"/>
        </w:rPr>
        <w:t>prevented transmission</w:t>
      </w:r>
      <w:r w:rsidRPr="001337A4">
        <w:rPr>
          <w:rFonts w:ascii="Times New Roman" w:eastAsia="Times New Roman" w:hAnsi="Times New Roman" w:cs="Times New Roman"/>
          <w:color w:val="000000"/>
          <w:kern w:val="0"/>
          <w14:ligatures w14:val="none"/>
        </w:rPr>
        <w:t> and </w:t>
      </w:r>
      <w:r w:rsidRPr="001337A4">
        <w:rPr>
          <w:rFonts w:ascii="Times New Roman" w:eastAsia="Times New Roman" w:hAnsi="Times New Roman" w:cs="Times New Roman"/>
          <w:b/>
          <w:bCs/>
          <w:color w:val="000000"/>
          <w:kern w:val="0"/>
          <w14:ligatures w14:val="none"/>
        </w:rPr>
        <w:t>reliably induced long-term protection</w:t>
      </w:r>
      <w:r w:rsidRPr="001337A4">
        <w:rPr>
          <w:rFonts w:ascii="Times New Roman" w:eastAsia="Times New Roman" w:hAnsi="Times New Roman" w:cs="Times New Roman"/>
          <w:color w:val="000000"/>
          <w:kern w:val="0"/>
          <w14:ligatures w14:val="none"/>
        </w:rPr>
        <w:t>, even if not perfectly.</w:t>
      </w:r>
    </w:p>
    <w:p w14:paraId="721146D6" w14:textId="0881CDC8"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That’s what changed in 2021</w:t>
      </w:r>
      <w:r w:rsidR="00C77E9C">
        <w:rPr>
          <w:rFonts w:ascii="Times New Roman" w:eastAsia="Times New Roman" w:hAnsi="Times New Roman" w:cs="Times New Roman"/>
          <w:color w:val="000000"/>
          <w:kern w:val="0"/>
          <w14:ligatures w14:val="none"/>
        </w:rPr>
        <w:fldChar w:fldCharType="begin"/>
      </w:r>
      <w:r w:rsidR="00C77E9C">
        <w:rPr>
          <w:rFonts w:ascii="Times New Roman" w:eastAsia="Times New Roman" w:hAnsi="Times New Roman" w:cs="Times New Roman"/>
          <w:color w:val="000000"/>
          <w:kern w:val="0"/>
          <w14:ligatures w14:val="none"/>
        </w:rPr>
        <w:instrText xml:space="preserve"> ADDIN ZOTERO_ITEM CSL_CITATION {"citationID":"vDkZ9l5q","properties":{"formattedCitation":"\\super 11\\nosupersub{}","plainCitation":"11","noteIndex":0},"citationItems":[{"id":826,"uris":["http://zotero.org/users/8196738/items/5RVQ5Z8T"],"itemData":{"id":826,"type":"webpage","abstract":"Waybackmachine Achieve - 10/31/21, protection def def","container-title":"CDC - Immunization: The Basics","genre":"CDC","title":"CDC - Immunization: The Basics - 10/31/21","URL":"CDC_Vaccine_def_01_31_21","issued":{"date-parts":[["2021",10,31]]}}}],"schema":"https://github.com/citation-style-language/schema/raw/master/csl-citation.json"} </w:instrText>
      </w:r>
      <w:r w:rsidR="00C77E9C">
        <w:rPr>
          <w:rFonts w:ascii="Times New Roman" w:eastAsia="Times New Roman" w:hAnsi="Times New Roman" w:cs="Times New Roman"/>
          <w:color w:val="000000"/>
          <w:kern w:val="0"/>
          <w14:ligatures w14:val="none"/>
        </w:rPr>
        <w:fldChar w:fldCharType="separate"/>
      </w:r>
      <w:r w:rsidR="00C77E9C" w:rsidRPr="00C77E9C">
        <w:rPr>
          <w:rFonts w:ascii="Times New Roman" w:hAnsi="Times New Roman" w:cs="Times New Roman"/>
          <w:color w:val="000000"/>
          <w:kern w:val="0"/>
          <w:vertAlign w:val="superscript"/>
        </w:rPr>
        <w:t>11</w:t>
      </w:r>
      <w:r w:rsidR="00C77E9C">
        <w:rPr>
          <w:rFonts w:ascii="Times New Roman" w:eastAsia="Times New Roman" w:hAnsi="Times New Roman" w:cs="Times New Roman"/>
          <w:color w:val="000000"/>
          <w:kern w:val="0"/>
          <w14:ligatures w14:val="none"/>
        </w:rPr>
        <w:fldChar w:fldCharType="end"/>
      </w:r>
      <w:r w:rsidRPr="001337A4">
        <w:rPr>
          <w:rFonts w:ascii="Times New Roman" w:eastAsia="Times New Roman" w:hAnsi="Times New Roman" w:cs="Times New Roman"/>
          <w:color w:val="000000"/>
          <w:kern w:val="0"/>
          <w14:ligatures w14:val="none"/>
        </w:rPr>
        <w:t>.</w:t>
      </w:r>
    </w:p>
    <w:p w14:paraId="1BD78292" w14:textId="77777777" w:rsidR="001337A4" w:rsidRPr="001337A4" w:rsidRDefault="001337A4" w:rsidP="001337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337A4">
        <w:rPr>
          <w:rFonts w:ascii="Times New Roman" w:eastAsia="Times New Roman" w:hAnsi="Times New Roman" w:cs="Times New Roman"/>
          <w:b/>
          <w:bCs/>
          <w:color w:val="000000"/>
          <w:kern w:val="0"/>
          <w14:ligatures w14:val="none"/>
        </w:rPr>
        <w:t>The Direction of Definition: From Immunity to Protection</w:t>
      </w:r>
    </w:p>
    <w:p w14:paraId="35B8D436" w14:textId="77777777"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Until 2021, the CDC defined a vaccine as:</w:t>
      </w:r>
    </w:p>
    <w:p w14:paraId="0EB1E5CD" w14:textId="73D5F664"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“a product that stimulates a person’s immune system to produce immunity to a specific disease” (</w:t>
      </w:r>
      <w:r w:rsidR="00C77E9C">
        <w:rPr>
          <w:rFonts w:ascii="Times New Roman" w:eastAsia="Times New Roman" w:hAnsi="Times New Roman" w:cs="Times New Roman"/>
          <w:color w:val="000000"/>
          <w:kern w:val="0"/>
          <w14:ligatures w14:val="none"/>
        </w:rPr>
        <w:t>2015-August 2021</w:t>
      </w:r>
      <w:r w:rsidRPr="001337A4">
        <w:rPr>
          <w:rFonts w:ascii="Times New Roman" w:eastAsia="Times New Roman" w:hAnsi="Times New Roman" w:cs="Times New Roman"/>
          <w:color w:val="000000"/>
          <w:kern w:val="0"/>
          <w14:ligatures w14:val="none"/>
        </w:rPr>
        <w:t xml:space="preserve"> definition)</w:t>
      </w:r>
      <w:r w:rsidR="00C77E9C">
        <w:rPr>
          <w:rFonts w:ascii="Times New Roman" w:eastAsia="Times New Roman" w:hAnsi="Times New Roman" w:cs="Times New Roman"/>
          <w:color w:val="000000"/>
          <w:kern w:val="0"/>
          <w14:ligatures w14:val="none"/>
        </w:rPr>
        <w:fldChar w:fldCharType="begin"/>
      </w:r>
      <w:r w:rsidR="00C77E9C">
        <w:rPr>
          <w:rFonts w:ascii="Times New Roman" w:eastAsia="Times New Roman" w:hAnsi="Times New Roman" w:cs="Times New Roman"/>
          <w:color w:val="000000"/>
          <w:kern w:val="0"/>
          <w14:ligatures w14:val="none"/>
        </w:rPr>
        <w:instrText xml:space="preserve"> ADDIN ZOTERO_ITEM CSL_CITATION {"citationID":"HRYSVBEV","properties":{"formattedCitation":"\\super 8\\uc0\\u8211{}10\\nosupersub{}","plainCitation":"8–10","noteIndex":0},"citationItems":[{"id":815,"uris":["http://zotero.org/users/8196738/items/HA3II885"],"itemData":{"id":815,"type":"webpage","abstract":"Waybackmachine Achieve - 01/09/19, Immunity def","container-title":"CDC - Immunization: The Basics - 01/09/19","language":"en","title":"Immunization Basics | CDC - 01/09/19","URL":"The Wayback Machine - https://web.archive.org/web/20190109174625/https://www.cdc.gov/vaccines/vac-gen/imz-basics.htm","issued":{"date-parts":[["2019",1,9]]}}},{"id":813,"uris":["http://zotero.org/users/8196738/items/UAV6CMQB"],"itemData":{"id":813,"type":"webpage","abstract":"Waybackmachine Achieve - 03/17/20, Immunity def","container-title":"CDC - Vaccines &amp; Immunizations: The basics","genre":"CDC","language":"en","title":"CDC - Vaccines: Vac-Gen/Imz Basics - 03/17/20","URL":"https://web.archive.org/web/20200317214611/https://www.cdc.gov/vaccines/vac-gen/imz-basics.htm","issued":{"date-parts":[["2020",3,17]]}}},{"id":814,"uris":["http://zotero.org/users/8196738/items/CVVNYGQI"],"itemData":{"id":814,"type":"webpage","container-title":"Immunization Basics | Vaccines and Immunizations | CDC","genre":"CDC","language":"en","title":"Immunization Basics | Vaccines and Immunizations | CDC - 01/31/21","URL":"https://web.archive.org/web/20210131134831/https://www.cdc.gov/vaccines/vac-gen/imz-basics.htm","issued":{"date-parts":[["2021",1,31]]}}}],"schema":"https://github.com/citation-style-language/schema/raw/master/csl-citation.json"} </w:instrText>
      </w:r>
      <w:r w:rsidR="00C77E9C">
        <w:rPr>
          <w:rFonts w:ascii="Times New Roman" w:eastAsia="Times New Roman" w:hAnsi="Times New Roman" w:cs="Times New Roman"/>
          <w:color w:val="000000"/>
          <w:kern w:val="0"/>
          <w14:ligatures w14:val="none"/>
        </w:rPr>
        <w:fldChar w:fldCharType="separate"/>
      </w:r>
      <w:r w:rsidR="00C77E9C" w:rsidRPr="00C77E9C">
        <w:rPr>
          <w:rFonts w:ascii="Times New Roman" w:hAnsi="Times New Roman" w:cs="Times New Roman"/>
          <w:color w:val="000000"/>
          <w:kern w:val="0"/>
          <w:vertAlign w:val="superscript"/>
        </w:rPr>
        <w:t>8–10</w:t>
      </w:r>
      <w:r w:rsidR="00C77E9C">
        <w:rPr>
          <w:rFonts w:ascii="Times New Roman" w:eastAsia="Times New Roman" w:hAnsi="Times New Roman" w:cs="Times New Roman"/>
          <w:color w:val="000000"/>
          <w:kern w:val="0"/>
          <w14:ligatures w14:val="none"/>
        </w:rPr>
        <w:fldChar w:fldCharType="end"/>
      </w:r>
    </w:p>
    <w:p w14:paraId="59C99634" w14:textId="77777777"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After the September revision:</w:t>
      </w:r>
    </w:p>
    <w:p w14:paraId="25943397" w14:textId="250A6BED"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“a preparation that is used to stimulate the body’s immune response against diseases”</w:t>
      </w:r>
      <w:r w:rsidR="00C77E9C">
        <w:rPr>
          <w:rFonts w:ascii="Times New Roman" w:eastAsia="Times New Roman" w:hAnsi="Times New Roman" w:cs="Times New Roman"/>
          <w:color w:val="000000"/>
          <w:kern w:val="0"/>
          <w14:ligatures w14:val="none"/>
        </w:rPr>
        <w:fldChar w:fldCharType="begin"/>
      </w:r>
      <w:r w:rsidR="00C77E9C">
        <w:rPr>
          <w:rFonts w:ascii="Times New Roman" w:eastAsia="Times New Roman" w:hAnsi="Times New Roman" w:cs="Times New Roman"/>
          <w:color w:val="000000"/>
          <w:kern w:val="0"/>
          <w14:ligatures w14:val="none"/>
        </w:rPr>
        <w:instrText xml:space="preserve"> ADDIN ZOTERO_ITEM CSL_CITATION {"citationID":"6jheVsQQ","properties":{"formattedCitation":"\\super 11\\nosupersub{}","plainCitation":"11","noteIndex":0},"citationItems":[{"id":826,"uris":["http://zotero.org/users/8196738/items/5RVQ5Z8T"],"itemData":{"id":826,"type":"webpage","abstract":"Waybackmachine Achieve - 10/31/21, protection def def","container-title":"CDC - Immunization: The Basics","genre":"CDC","title":"CDC - Immunization: The Basics - 10/31/21","URL":"CDC_Vaccine_def_01_31_21","issued":{"date-parts":[["2021",10,31]]}}}],"schema":"https://github.com/citation-style-language/schema/raw/master/csl-citation.json"} </w:instrText>
      </w:r>
      <w:r w:rsidR="00C77E9C">
        <w:rPr>
          <w:rFonts w:ascii="Times New Roman" w:eastAsia="Times New Roman" w:hAnsi="Times New Roman" w:cs="Times New Roman"/>
          <w:color w:val="000000"/>
          <w:kern w:val="0"/>
          <w14:ligatures w14:val="none"/>
        </w:rPr>
        <w:fldChar w:fldCharType="separate"/>
      </w:r>
      <w:r w:rsidR="00C77E9C" w:rsidRPr="00C77E9C">
        <w:rPr>
          <w:rFonts w:ascii="Times New Roman" w:hAnsi="Times New Roman" w:cs="Times New Roman"/>
          <w:color w:val="000000"/>
          <w:kern w:val="0"/>
          <w:vertAlign w:val="superscript"/>
        </w:rPr>
        <w:t>11</w:t>
      </w:r>
      <w:r w:rsidR="00C77E9C">
        <w:rPr>
          <w:rFonts w:ascii="Times New Roman" w:eastAsia="Times New Roman" w:hAnsi="Times New Roman" w:cs="Times New Roman"/>
          <w:color w:val="000000"/>
          <w:kern w:val="0"/>
          <w14:ligatures w14:val="none"/>
        </w:rPr>
        <w:fldChar w:fldCharType="end"/>
      </w:r>
    </w:p>
    <w:p w14:paraId="418BF482" w14:textId="027174FE"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This change is subtle but profound. "Immunity" implies a system state—resistance to infection. "Response" merely implies a reaction. As regulatory language, that shift </w:t>
      </w:r>
      <w:r w:rsidRPr="001337A4">
        <w:rPr>
          <w:rFonts w:ascii="Times New Roman" w:eastAsia="Times New Roman" w:hAnsi="Times New Roman" w:cs="Times New Roman"/>
          <w:b/>
          <w:bCs/>
          <w:color w:val="000000"/>
          <w:kern w:val="0"/>
          <w14:ligatures w14:val="none"/>
        </w:rPr>
        <w:t>relaxes the evidentiary burden</w:t>
      </w:r>
      <w:r w:rsidRPr="001337A4">
        <w:rPr>
          <w:rFonts w:ascii="Times New Roman" w:eastAsia="Times New Roman" w:hAnsi="Times New Roman" w:cs="Times New Roman"/>
          <w:color w:val="000000"/>
          <w:kern w:val="0"/>
          <w14:ligatures w14:val="none"/>
        </w:rPr>
        <w:t>. It enabled the introduction—and mass authorization—of COVID-19 biologics that reduce symptom severity but </w:t>
      </w:r>
      <w:r w:rsidRPr="001337A4">
        <w:rPr>
          <w:rFonts w:ascii="Times New Roman" w:eastAsia="Times New Roman" w:hAnsi="Times New Roman" w:cs="Times New Roman"/>
          <w:b/>
          <w:bCs/>
          <w:color w:val="000000"/>
          <w:kern w:val="0"/>
          <w14:ligatures w14:val="none"/>
        </w:rPr>
        <w:t>do not block infection or transmission</w:t>
      </w:r>
      <w:r w:rsidRPr="001337A4">
        <w:rPr>
          <w:rFonts w:ascii="Times New Roman" w:eastAsia="Times New Roman" w:hAnsi="Times New Roman" w:cs="Times New Roman"/>
          <w:color w:val="000000"/>
          <w:kern w:val="0"/>
          <w14:ligatures w14:val="none"/>
        </w:rPr>
        <w:t>.</w:t>
      </w:r>
      <w:r w:rsidR="00C77E9C">
        <w:rPr>
          <w:rFonts w:ascii="Times New Roman" w:eastAsia="Times New Roman" w:hAnsi="Times New Roman" w:cs="Times New Roman"/>
          <w:color w:val="000000"/>
          <w:kern w:val="0"/>
          <w14:ligatures w14:val="none"/>
        </w:rPr>
        <w:fldChar w:fldCharType="begin"/>
      </w:r>
      <w:r w:rsidR="00C77E9C">
        <w:rPr>
          <w:rFonts w:ascii="Times New Roman" w:eastAsia="Times New Roman" w:hAnsi="Times New Roman" w:cs="Times New Roman"/>
          <w:color w:val="000000"/>
          <w:kern w:val="0"/>
          <w14:ligatures w14:val="none"/>
        </w:rPr>
        <w:instrText xml:space="preserve"> ADDIN ZOTERO_ITEM CSL_CITATION {"citationID":"islFBxKa","properties":{"formattedCitation":"\\super 12\\nosupersub{}","plainCitation":"12","noteIndex":0},"citationItems":[{"id":817,"uris":["http://zotero.org/users/8196738/items/C7G62DFN"],"itemData":{"id":817,"type":"article-journal","abstract":"What is known and objective: There has been a paucity of vaccine and vaccine-­related definitions within the scientific and medical peer-­reviewed literature, particularly with the arrival of COVID-­19. Therefore, it was the aim of this commentary to collate definitions to 44 vaccine-­and vaccinology-­related key terms, from four international and respected sources of information (where available), including (i) the World Health Organisation (WHO), (ii) the US Centers for Disease Control and Prevention (CDC), (iii) The Department of Health, Government of Australia and (iv) the European Union. In addition, it was a further aim to develop a lay person's definition to each of these 44 key terms, to act as a published and citeable reference point for pharmacists and other healthcare professionals, when communicating with patients and other public-­ facing stakeholders. Comment: Definitions are important in health care in order to (i) provide concise insight on a specific topic, (ii) provide a common understanding and (iii) set reference points to allow the adoption of a standard uniform approach.","container-title":"Journal of Clinical Pharmacy and Therapeutics","DOI":"10.1111/jcpt.13516","ISSN":"0269-4727, 1365-2710","issue":"3","journalAbbreviation":"Clinical Pharmacy Therapeu","language":"en","license":"http://onlinelibrary.wiley.com/termsAndConditions#vor","note":"publisher: Wiley","page":"369-382","source":"Crossref","title":"Vaccination terminology: A revised glossary of key terms including lay person’s definitions","title-short":"Vaccination terminology","volume":"47","author":[{"family":"Brennan","given":"Orlaith C."},{"family":"Moore","given":"John E."},{"family":"Moore","given":"Peter J. A."},{"family":"Millar","given":"Beverley C."}],"issued":{"date-parts":[["2022",3]]}}}],"schema":"https://github.com/citation-style-language/schema/raw/master/csl-citation.json"} </w:instrText>
      </w:r>
      <w:r w:rsidR="00C77E9C">
        <w:rPr>
          <w:rFonts w:ascii="Times New Roman" w:eastAsia="Times New Roman" w:hAnsi="Times New Roman" w:cs="Times New Roman"/>
          <w:color w:val="000000"/>
          <w:kern w:val="0"/>
          <w14:ligatures w14:val="none"/>
        </w:rPr>
        <w:fldChar w:fldCharType="separate"/>
      </w:r>
      <w:r w:rsidR="00C77E9C" w:rsidRPr="00C77E9C">
        <w:rPr>
          <w:rFonts w:ascii="Times New Roman" w:hAnsi="Times New Roman" w:cs="Times New Roman"/>
          <w:color w:val="000000"/>
          <w:kern w:val="0"/>
          <w:vertAlign w:val="superscript"/>
        </w:rPr>
        <w:t>12</w:t>
      </w:r>
      <w:r w:rsidR="00C77E9C">
        <w:rPr>
          <w:rFonts w:ascii="Times New Roman" w:eastAsia="Times New Roman" w:hAnsi="Times New Roman" w:cs="Times New Roman"/>
          <w:color w:val="000000"/>
          <w:kern w:val="0"/>
          <w14:ligatures w14:val="none"/>
        </w:rPr>
        <w:fldChar w:fldCharType="end"/>
      </w:r>
    </w:p>
    <w:p w14:paraId="312FF219" w14:textId="77777777" w:rsidR="001337A4" w:rsidRPr="001337A4" w:rsidRDefault="001337A4" w:rsidP="001337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337A4">
        <w:rPr>
          <w:rFonts w:ascii="Times New Roman" w:eastAsia="Times New Roman" w:hAnsi="Times New Roman" w:cs="Times New Roman"/>
          <w:b/>
          <w:bCs/>
          <w:color w:val="000000"/>
          <w:kern w:val="0"/>
          <w14:ligatures w14:val="none"/>
        </w:rPr>
        <w:t>A Break from Historical Baseline</w:t>
      </w:r>
    </w:p>
    <w:p w14:paraId="17677EE1" w14:textId="77777777"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lastRenderedPageBreak/>
        <w:t>Traditional vaccines weren’t 100% sterilizing, but many came close:</w:t>
      </w:r>
    </w:p>
    <w:p w14:paraId="787B3063" w14:textId="6808E505" w:rsidR="001337A4" w:rsidRPr="001337A4" w:rsidRDefault="001337A4" w:rsidP="001337A4">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b/>
          <w:bCs/>
          <w:color w:val="000000"/>
          <w:kern w:val="0"/>
          <w14:ligatures w14:val="none"/>
        </w:rPr>
        <w:t>Smallpox vaccine</w:t>
      </w:r>
      <w:r w:rsidRPr="001337A4">
        <w:rPr>
          <w:rFonts w:ascii="Times New Roman" w:eastAsia="Times New Roman" w:hAnsi="Times New Roman" w:cs="Times New Roman"/>
          <w:color w:val="000000"/>
          <w:kern w:val="0"/>
          <w14:ligatures w14:val="none"/>
        </w:rPr>
        <w:t>: &gt;97% retained protective titers decades after inoculation</w:t>
      </w:r>
      <w:r w:rsidR="00C77E9C">
        <w:rPr>
          <w:rFonts w:ascii="Times New Roman" w:eastAsia="Times New Roman" w:hAnsi="Times New Roman" w:cs="Times New Roman"/>
          <w:color w:val="000000"/>
          <w:kern w:val="0"/>
          <w14:ligatures w14:val="none"/>
        </w:rPr>
        <w:fldChar w:fldCharType="begin"/>
      </w:r>
      <w:r w:rsidR="00C77E9C">
        <w:rPr>
          <w:rFonts w:ascii="Times New Roman" w:eastAsia="Times New Roman" w:hAnsi="Times New Roman" w:cs="Times New Roman"/>
          <w:color w:val="000000"/>
          <w:kern w:val="0"/>
          <w14:ligatures w14:val="none"/>
        </w:rPr>
        <w:instrText xml:space="preserve"> ADDIN ZOTERO_ITEM CSL_CITATION {"citationID":"ZNK1Cm3E","properties":{"formattedCitation":"\\super 13\\nosupersub{}","plainCitation":"13","noteIndex":0},"citationItems":[{"id":830,"uris":["http://zotero.org/users/8196738/items/4VJU73H7"],"itemData":{"id":830,"type":"article-journal","abstract":"PURPOSE—The threat of smallpox resulting from bioterrorist action has prompted a reassessment of the level of immunity in current populations.\nMETHODS—We have examined the magnitude and duration of antiviral antibody immunity conferred by smallpox vaccination in 246 participants of the Baltimore Longitudinal Study of Aging. Of this population, 209 subjects were vaccinated one or more times 13 to 88 years before this evaluation, and stored serum samples were available at various intervals after vaccination. An additional 8 subjects who had documented childhood smallpox infection and 29 subjects with no history of infection or vaccination were included. We quantified the total vaccinia IgG and neutralizing antibody titers in each of these subgroups of participants over time.\nRESULTS—Vaccinated participants maintained antivaccinia IgG and neutralizing antibody titers above 3 natural logs essentially indefinitely. The absolute titer of antivaccinia antibody was only slightly higher after multiple vaccinations. In 97% of the participants, no decrease in vaccinia-specific antibody titers was noted with age over a follow-up period of up to 88 years. Moreover, Baltimore Longitudinal Study of Aging participants who survived active smallpox infections in their youth retained antivaccinia antibody titers that were similar to the levels detected in vaccinated subjects.\nCONCLUSION—These data suggest that multiple or recent vaccinations are not essential to maintain vaccinia-specific antibody responses in human subjects. Scarce vaccine supplies should be applied first to individuals who have not previously been vaccinated.","container-title":"The American Journal of Medicine","DOI":"10.1016/j.amjmed.2008.08.019","ISSN":"0002-9343","issue":"12","language":"en","license":"https://www.elsevier.com/tdm/userlicense/1.0/","note":"publisher: Elsevier BV","page":"1058-1064","source":"Crossref","title":"Immunity from Smallpox Vaccine Persists for Decades: A Longitudinal Study","title-short":"Immunity from Smallpox Vaccine Persists for Decades","volume":"121","author":[{"family":"Taub","given":"Dennis D."},{"family":"Ershler","given":"William B."},{"family":"Janowski","given":"Mark"},{"family":"Artz","given":"Andrew"},{"family":"Key","given":"Michael L."},{"family":"McKelvey","given":"Julie"},{"family":"Muller","given":"Denis"},{"family":"Moss","given":"Bernard"},{"family":"Ferrucci","given":"Luigi"},{"family":"Duffey","given":"Patricia L."},{"family":"Longo","given":"Dan L."}],"issued":{"date-parts":[["2008",12]]}}}],"schema":"https://github.com/citation-style-language/schema/raw/master/csl-citation.json"} </w:instrText>
      </w:r>
      <w:r w:rsidR="00C77E9C">
        <w:rPr>
          <w:rFonts w:ascii="Times New Roman" w:eastAsia="Times New Roman" w:hAnsi="Times New Roman" w:cs="Times New Roman"/>
          <w:color w:val="000000"/>
          <w:kern w:val="0"/>
          <w14:ligatures w14:val="none"/>
        </w:rPr>
        <w:fldChar w:fldCharType="separate"/>
      </w:r>
      <w:r w:rsidR="00C77E9C" w:rsidRPr="00C77E9C">
        <w:rPr>
          <w:rFonts w:ascii="Times New Roman" w:hAnsi="Times New Roman" w:cs="Times New Roman"/>
          <w:color w:val="000000"/>
          <w:kern w:val="0"/>
          <w:vertAlign w:val="superscript"/>
        </w:rPr>
        <w:t>13</w:t>
      </w:r>
      <w:r w:rsidR="00C77E9C">
        <w:rPr>
          <w:rFonts w:ascii="Times New Roman" w:eastAsia="Times New Roman" w:hAnsi="Times New Roman" w:cs="Times New Roman"/>
          <w:color w:val="000000"/>
          <w:kern w:val="0"/>
          <w14:ligatures w14:val="none"/>
        </w:rPr>
        <w:fldChar w:fldCharType="end"/>
      </w:r>
    </w:p>
    <w:p w14:paraId="28FC3E14" w14:textId="12E609C6" w:rsidR="001337A4" w:rsidRPr="001337A4" w:rsidRDefault="001337A4" w:rsidP="001337A4">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b/>
          <w:bCs/>
          <w:color w:val="000000"/>
          <w:kern w:val="0"/>
          <w14:ligatures w14:val="none"/>
        </w:rPr>
        <w:t>OPV (oral polio vaccine)</w:t>
      </w:r>
      <w:r w:rsidRPr="001337A4">
        <w:rPr>
          <w:rFonts w:ascii="Times New Roman" w:eastAsia="Times New Roman" w:hAnsi="Times New Roman" w:cs="Times New Roman"/>
          <w:color w:val="000000"/>
          <w:kern w:val="0"/>
          <w14:ligatures w14:val="none"/>
        </w:rPr>
        <w:t>: Provided mucosal immunity</w:t>
      </w:r>
      <w:r w:rsidR="00C77E9C">
        <w:rPr>
          <w:rFonts w:ascii="Times New Roman" w:eastAsia="Times New Roman" w:hAnsi="Times New Roman" w:cs="Times New Roman"/>
          <w:color w:val="000000"/>
          <w:kern w:val="0"/>
          <w14:ligatures w14:val="none"/>
        </w:rPr>
        <w:fldChar w:fldCharType="begin"/>
      </w:r>
      <w:r w:rsidR="00DA763E">
        <w:rPr>
          <w:rFonts w:ascii="Times New Roman" w:eastAsia="Times New Roman" w:hAnsi="Times New Roman" w:cs="Times New Roman"/>
          <w:color w:val="000000"/>
          <w:kern w:val="0"/>
          <w14:ligatures w14:val="none"/>
        </w:rPr>
        <w:instrText xml:space="preserve"> ADDIN ZOTERO_ITEM CSL_CITATION {"citationID":"cTiOsfBP","properties":{"formattedCitation":"\\super 14\\nosupersub{}","plainCitation":"14","noteIndex":0},"citationItems":[{"id":865,"uris":["http://zotero.org/users/8196738/items/68KW2I6R"],"itemData":{"id":865,"type":"article-journal","abstract":"Background Identiﬁcation of mechanisms that limit poliovirus replication is crucial for informing decisions aimed at global polio eradication. Studies of mucosal immunity induced by oral poliovirus (OPV) or inactivated poliovirus (IPV) vaccines and mixed schedules thereof will determine the eﬀectiveness of diﬀerent vaccine strategies to block virus shedding. We used samples from a clinical trial of diﬀerent vaccination schedules to measure intestinal immunity as judged by neutralisation of virus and virus-speciﬁc IgA in stools.","container-title":"The Lancet Infectious Diseases","DOI":"10.1016/S1473-3099(16)30169-4","ISSN":"14733099","issue":"12","journalAbbreviation":"The Lancet Infectious Diseases","language":"en","page":"1377-1384","source":"DOI.org (Crossref)","title":"Vaccine-induced mucosal immunity to poliovirus: analysis of cohorts from an open-label, randomised controlled trial in Latin American infants","title-short":"Vaccine-induced mucosal immunity to poliovirus","volume":"16","author":[{"family":"Wright","given":"Peter F"},{"family":"Connor","given":"Ruth I"},{"family":"Wieland-Alter","given":"Wendy F"},{"family":"Hoen","given":"Anne G"},{"family":"Boesch","given":"Austin W"},{"family":"Ackerman","given":"Margaret E"},{"family":"Oberste","given":"M Steven"},{"family":"Gast","given":"Chris"},{"family":"Brickley","given":"Elizabeth B"},{"family":"Asturias","given":"Edwin J"},{"family":"Rüttimann","given":"Ricardo"},{"family":"Bandyopadhyay","given":"Ananda S"}],"issued":{"date-parts":[["2016",12]]}}}],"schema":"https://github.com/citation-style-language/schema/raw/master/csl-citation.json"} </w:instrText>
      </w:r>
      <w:r w:rsidR="00C77E9C">
        <w:rPr>
          <w:rFonts w:ascii="Times New Roman" w:eastAsia="Times New Roman" w:hAnsi="Times New Roman" w:cs="Times New Roman"/>
          <w:color w:val="000000"/>
          <w:kern w:val="0"/>
          <w14:ligatures w14:val="none"/>
        </w:rPr>
        <w:fldChar w:fldCharType="separate"/>
      </w:r>
      <w:r w:rsidR="00DA763E" w:rsidRPr="00DA763E">
        <w:rPr>
          <w:rFonts w:ascii="Times New Roman" w:hAnsi="Times New Roman" w:cs="Times New Roman"/>
          <w:color w:val="000000"/>
          <w:kern w:val="0"/>
          <w:vertAlign w:val="superscript"/>
        </w:rPr>
        <w:t>14</w:t>
      </w:r>
      <w:r w:rsidR="00C77E9C">
        <w:rPr>
          <w:rFonts w:ascii="Times New Roman" w:eastAsia="Times New Roman" w:hAnsi="Times New Roman" w:cs="Times New Roman"/>
          <w:color w:val="000000"/>
          <w:kern w:val="0"/>
          <w14:ligatures w14:val="none"/>
        </w:rPr>
        <w:fldChar w:fldCharType="end"/>
      </w:r>
      <w:r w:rsidRPr="001337A4">
        <w:rPr>
          <w:rFonts w:ascii="Times New Roman" w:eastAsia="Times New Roman" w:hAnsi="Times New Roman" w:cs="Times New Roman"/>
          <w:color w:val="000000"/>
          <w:kern w:val="0"/>
          <w14:ligatures w14:val="none"/>
        </w:rPr>
        <w:t>, drastically reducing community transmission. Referred to as “close to the ideal of sterilizing immunity” in intestinal challenge studies</w:t>
      </w:r>
      <w:r w:rsidR="00DA763E">
        <w:rPr>
          <w:rFonts w:ascii="Times New Roman" w:eastAsia="Times New Roman" w:hAnsi="Times New Roman" w:cs="Times New Roman"/>
          <w:color w:val="000000"/>
          <w:kern w:val="0"/>
          <w14:ligatures w14:val="none"/>
        </w:rPr>
        <w:fldChar w:fldCharType="begin"/>
      </w:r>
      <w:r w:rsidR="00DA763E">
        <w:rPr>
          <w:rFonts w:ascii="Times New Roman" w:eastAsia="Times New Roman" w:hAnsi="Times New Roman" w:cs="Times New Roman"/>
          <w:color w:val="000000"/>
          <w:kern w:val="0"/>
          <w14:ligatures w14:val="none"/>
        </w:rPr>
        <w:instrText xml:space="preserve"> ADDIN ZOTERO_ITEM CSL_CITATION {"citationID":"tp2lJlg2","properties":{"formattedCitation":"\\super 15\\nosupersub{}","plainCitation":"15","noteIndex":0},"citationItems":[{"id":823,"uris":["http://zotero.org/users/8196738/items/P58JYRFM"],"itemData":{"id":823,"type":"article-journal","container-title":"The Lancet Infectious Diseases","DOI":"10.1016/s1473-3099(17)30236-0","ISSN":"1473-3099","issue":"7","language":"en","license":"https://www.elsevier.com/tdm/userlicense/1.0/","note":"publisher: Elsevier BV","page":"680-681","source":"Crossref","title":"Maximising the impact of inactivated polio vaccines","volume":"17","author":[{"family":"Brickley","given":"Elizabeth B"},{"family":"Wright","given":"Peter F"}],"issued":{"date-parts":[["2017",7]]}}}],"schema":"https://github.com/citation-style-language/schema/raw/master/csl-citation.json"} </w:instrText>
      </w:r>
      <w:r w:rsidR="00DA763E">
        <w:rPr>
          <w:rFonts w:ascii="Times New Roman" w:eastAsia="Times New Roman" w:hAnsi="Times New Roman" w:cs="Times New Roman"/>
          <w:color w:val="000000"/>
          <w:kern w:val="0"/>
          <w14:ligatures w14:val="none"/>
        </w:rPr>
        <w:fldChar w:fldCharType="separate"/>
      </w:r>
      <w:r w:rsidR="00DA763E" w:rsidRPr="00DA763E">
        <w:rPr>
          <w:rFonts w:ascii="Times New Roman" w:hAnsi="Times New Roman" w:cs="Times New Roman"/>
          <w:color w:val="000000"/>
          <w:kern w:val="0"/>
          <w:vertAlign w:val="superscript"/>
        </w:rPr>
        <w:t>15</w:t>
      </w:r>
      <w:r w:rsidR="00DA763E">
        <w:rPr>
          <w:rFonts w:ascii="Times New Roman" w:eastAsia="Times New Roman" w:hAnsi="Times New Roman" w:cs="Times New Roman"/>
          <w:color w:val="000000"/>
          <w:kern w:val="0"/>
          <w14:ligatures w14:val="none"/>
        </w:rPr>
        <w:fldChar w:fldCharType="end"/>
      </w:r>
    </w:p>
    <w:p w14:paraId="6FE63F55" w14:textId="4C20508E" w:rsidR="001337A4" w:rsidRPr="001337A4" w:rsidRDefault="001337A4" w:rsidP="001337A4">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b/>
          <w:bCs/>
          <w:color w:val="000000"/>
          <w:kern w:val="0"/>
          <w14:ligatures w14:val="none"/>
        </w:rPr>
        <w:t>Measles vaccine</w:t>
      </w:r>
      <w:r w:rsidRPr="001337A4">
        <w:rPr>
          <w:rFonts w:ascii="Times New Roman" w:eastAsia="Times New Roman" w:hAnsi="Times New Roman" w:cs="Times New Roman"/>
          <w:color w:val="000000"/>
          <w:kern w:val="0"/>
          <w14:ligatures w14:val="none"/>
        </w:rPr>
        <w:t xml:space="preserve">: </w:t>
      </w:r>
      <w:r w:rsidR="00DA763E">
        <w:rPr>
          <w:rFonts w:ascii="Times New Roman" w:eastAsia="Times New Roman" w:hAnsi="Times New Roman" w:cs="Times New Roman"/>
          <w:color w:val="000000"/>
          <w:kern w:val="0"/>
          <w14:ligatures w14:val="none"/>
        </w:rPr>
        <w:t>99.6</w:t>
      </w:r>
      <w:r w:rsidRPr="001337A4">
        <w:rPr>
          <w:rFonts w:ascii="Times New Roman" w:eastAsia="Times New Roman" w:hAnsi="Times New Roman" w:cs="Times New Roman"/>
          <w:color w:val="000000"/>
          <w:kern w:val="0"/>
          <w14:ligatures w14:val="none"/>
        </w:rPr>
        <w:t xml:space="preserve">% </w:t>
      </w:r>
      <w:r w:rsidR="00DA763E">
        <w:rPr>
          <w:rFonts w:ascii="Times New Roman" w:eastAsia="Times New Roman" w:hAnsi="Times New Roman" w:cs="Times New Roman"/>
          <w:color w:val="000000"/>
          <w:kern w:val="0"/>
          <w14:ligatures w14:val="none"/>
        </w:rPr>
        <w:t xml:space="preserve">vaccine </w:t>
      </w:r>
      <w:proofErr w:type="spellStart"/>
      <w:r w:rsidR="00DA763E">
        <w:rPr>
          <w:rFonts w:ascii="Times New Roman" w:eastAsia="Times New Roman" w:hAnsi="Times New Roman" w:cs="Times New Roman"/>
          <w:color w:val="000000"/>
          <w:kern w:val="0"/>
          <w14:ligatures w14:val="none"/>
        </w:rPr>
        <w:t>effacay</w:t>
      </w:r>
      <w:proofErr w:type="spellEnd"/>
      <w:r w:rsidR="00DA763E">
        <w:rPr>
          <w:rFonts w:ascii="Times New Roman" w:eastAsia="Times New Roman" w:hAnsi="Times New Roman" w:cs="Times New Roman"/>
          <w:color w:val="000000"/>
          <w:kern w:val="0"/>
          <w14:ligatures w14:val="none"/>
        </w:rPr>
        <w:t xml:space="preserve"> (VC)</w:t>
      </w:r>
      <w:r w:rsidRPr="001337A4">
        <w:rPr>
          <w:rFonts w:ascii="Times New Roman" w:eastAsia="Times New Roman" w:hAnsi="Times New Roman" w:cs="Times New Roman"/>
          <w:color w:val="000000"/>
          <w:kern w:val="0"/>
          <w14:ligatures w14:val="none"/>
        </w:rPr>
        <w:t xml:space="preserve"> after two doses</w:t>
      </w:r>
      <w:r w:rsidR="00DA763E">
        <w:rPr>
          <w:rFonts w:ascii="Times New Roman" w:eastAsia="Times New Roman" w:hAnsi="Times New Roman" w:cs="Times New Roman"/>
          <w:color w:val="000000"/>
          <w:kern w:val="0"/>
          <w14:ligatures w14:val="none"/>
        </w:rPr>
        <w:fldChar w:fldCharType="begin"/>
      </w:r>
      <w:r w:rsidR="00DA763E">
        <w:rPr>
          <w:rFonts w:ascii="Times New Roman" w:eastAsia="Times New Roman" w:hAnsi="Times New Roman" w:cs="Times New Roman"/>
          <w:color w:val="000000"/>
          <w:kern w:val="0"/>
          <w14:ligatures w14:val="none"/>
        </w:rPr>
        <w:instrText xml:space="preserve"> ADDIN ZOTERO_ITEM CSL_CITATION {"citationID":"EkKpz7Ve","properties":{"formattedCitation":"\\super 16\\nosupersub{}","plainCitation":"16","noteIndex":0},"citationItems":[{"id":867,"uris":["http://zotero.org/users/8196738/items/M7VJZBQ7"],"itemData":{"id":867,"type":"article-journal","abstract":"Background: From 2008 to 2019, France has experienced a resurgence of measles epidemics. Surveillance data have shown that the proportion of cases vaccinated with two doses of measles-containing vaccine (MCV) increased with age, raising concerns about the duration of vaccine protection. Our objectives were to investigate age-stratified vaccine effectiveness (VE) for the second dose of MCV (MCV2) and to quantify protection levels over time.\nMethods: We analyzed data on measles cases aged 2–31 years, reported via mandatory notification to the French measles surveillance system from October 2017 to September 2019. We estimated an age-stratified VE for MCV2 using the screening method, which compares the vaccination status of cases with that of the general population. We improved this method by accounting for natural immunity, exploring four scenarios with four possible levels of natural immunity in the population. In addition, we quantified the decay rate of protection over time, by fitting an exponential decay model among individuals vaccinated in early life.\nResults: In the baseline analysis (absence of natural immunity), VE estimates were high in all age groups and decreased with age, from 99.6 % (95 % confidence interval: 99.3–99.8) in 2–5 years old to 91.4 % (85.1–95.0) in 26–31 years old. Accounting for natural immunity increased VE in the older age group to 93.2–99.2 % depending on the scenario. We estimated that VE was slowly decreasing over time, with an exponential decay rate of 0.0022/year (0.0017–0.0028), leading to VE of 96.7 % (96.0–97.4) 16 years after MCV2 vaccination. This decline was most compatible with scenario 2, a scenario of 4.4 % naturally immunized, non-vaccinated in­ dividuals in the 26–31 years old.\nConclusion: Our study confirms the continued high effectiveness of two doses of MCV with only slight degra­ dation, decades after immunization. These findings support the importance of achieving a very high vaccination coverage with 2 doses of MCV.","container-title":"Vaccine","DOI":"10.1016/j.vaccine.2023.08.018","ISSN":"0264410X","issue":"39","journalAbbreviation":"Vaccine","language":"en","page":"5797-5804","source":"DOI.org (Crossref)","title":"Two-dose measles vaccine effectiveness remains high over time: A French observational study, 2017–2019","title-short":"Two-dose measles vaccine effectiveness remains high over time","volume":"41","author":[{"family":"Franconeri","given":"Léa"},{"family":"Antona","given":"Denise"},{"family":"Cauchemez","given":"Simon"},{"family":"Lévy-Bruhl","given":"Daniel"},{"family":"Paireau","given":"Juliette"}],"issued":{"date-parts":[["2023",9]]}}}],"schema":"https://github.com/citation-style-language/schema/raw/master/csl-citation.json"} </w:instrText>
      </w:r>
      <w:r w:rsidR="00DA763E">
        <w:rPr>
          <w:rFonts w:ascii="Times New Roman" w:eastAsia="Times New Roman" w:hAnsi="Times New Roman" w:cs="Times New Roman"/>
          <w:color w:val="000000"/>
          <w:kern w:val="0"/>
          <w14:ligatures w14:val="none"/>
        </w:rPr>
        <w:fldChar w:fldCharType="separate"/>
      </w:r>
      <w:r w:rsidR="00DA763E" w:rsidRPr="00DA763E">
        <w:rPr>
          <w:rFonts w:ascii="Times New Roman" w:hAnsi="Times New Roman" w:cs="Times New Roman"/>
          <w:color w:val="000000"/>
          <w:kern w:val="0"/>
          <w:vertAlign w:val="superscript"/>
        </w:rPr>
        <w:t>16</w:t>
      </w:r>
      <w:r w:rsidR="00DA763E">
        <w:rPr>
          <w:rFonts w:ascii="Times New Roman" w:eastAsia="Times New Roman" w:hAnsi="Times New Roman" w:cs="Times New Roman"/>
          <w:color w:val="000000"/>
          <w:kern w:val="0"/>
          <w14:ligatures w14:val="none"/>
        </w:rPr>
        <w:fldChar w:fldCharType="end"/>
      </w:r>
      <w:r w:rsidR="00DA763E">
        <w:rPr>
          <w:rFonts w:ascii="Times New Roman" w:eastAsia="Times New Roman" w:hAnsi="Times New Roman" w:cs="Times New Roman"/>
          <w:color w:val="000000"/>
          <w:kern w:val="0"/>
          <w14:ligatures w14:val="none"/>
        </w:rPr>
        <w:t xml:space="preserve"> in a 10 yr </w:t>
      </w:r>
      <w:proofErr w:type="spellStart"/>
      <w:r w:rsidR="00DA763E">
        <w:rPr>
          <w:rFonts w:ascii="Times New Roman" w:eastAsia="Times New Roman" w:hAnsi="Times New Roman" w:cs="Times New Roman"/>
          <w:color w:val="000000"/>
          <w:kern w:val="0"/>
          <w14:ligatures w14:val="none"/>
        </w:rPr>
        <w:t>longitudinat</w:t>
      </w:r>
      <w:proofErr w:type="spellEnd"/>
      <w:r w:rsidR="00DA763E">
        <w:rPr>
          <w:rFonts w:ascii="Times New Roman" w:eastAsia="Times New Roman" w:hAnsi="Times New Roman" w:cs="Times New Roman"/>
          <w:color w:val="000000"/>
          <w:kern w:val="0"/>
          <w14:ligatures w14:val="none"/>
        </w:rPr>
        <w:t xml:space="preserve"> study with 2-5 year olds</w:t>
      </w:r>
      <w:r w:rsidRPr="001337A4">
        <w:rPr>
          <w:rFonts w:ascii="Times New Roman" w:eastAsia="Times New Roman" w:hAnsi="Times New Roman" w:cs="Times New Roman"/>
          <w:color w:val="000000"/>
          <w:kern w:val="0"/>
          <w14:ligatures w14:val="none"/>
        </w:rPr>
        <w:t>; long-term observational data show protection approaching natural immunity in scale if not duration</w:t>
      </w:r>
      <w:r w:rsidR="003A1BF5">
        <w:rPr>
          <w:rFonts w:ascii="Times New Roman" w:eastAsia="Times New Roman" w:hAnsi="Times New Roman" w:cs="Times New Roman"/>
          <w:color w:val="000000"/>
          <w:kern w:val="0"/>
          <w14:ligatures w14:val="none"/>
        </w:rPr>
        <w:t>. Notably the VE declined significantly in the older cohort 26-31 years old with a 91.4% VE</w:t>
      </w:r>
      <w:r w:rsidR="003A1BF5">
        <w:rPr>
          <w:rFonts w:ascii="Times New Roman" w:eastAsia="Times New Roman" w:hAnsi="Times New Roman" w:cs="Times New Roman"/>
          <w:color w:val="000000"/>
          <w:kern w:val="0"/>
          <w14:ligatures w14:val="none"/>
        </w:rPr>
        <w:fldChar w:fldCharType="begin"/>
      </w:r>
      <w:r w:rsidR="003A1BF5">
        <w:rPr>
          <w:rFonts w:ascii="Times New Roman" w:eastAsia="Times New Roman" w:hAnsi="Times New Roman" w:cs="Times New Roman"/>
          <w:color w:val="000000"/>
          <w:kern w:val="0"/>
          <w14:ligatures w14:val="none"/>
        </w:rPr>
        <w:instrText xml:space="preserve"> ADDIN ZOTERO_ITEM CSL_CITATION {"citationID":"APMpoWtI","properties":{"formattedCitation":"\\super 16\\nosupersub{}","plainCitation":"16","noteIndex":0},"citationItems":[{"id":867,"uris":["http://zotero.org/users/8196738/items/M7VJZBQ7"],"itemData":{"id":867,"type":"article-journal","abstract":"Background: From 2008 to 2019, France has experienced a resurgence of measles epidemics. Surveillance data have shown that the proportion of cases vaccinated with two doses of measles-containing vaccine (MCV) increased with age, raising concerns about the duration of vaccine protection. Our objectives were to investigate age-stratified vaccine effectiveness (VE) for the second dose of MCV (MCV2) and to quantify protection levels over time.\nMethods: We analyzed data on measles cases aged 2–31 years, reported via mandatory notification to the French measles surveillance system from October 2017 to September 2019. We estimated an age-stratified VE for MCV2 using the screening method, which compares the vaccination status of cases with that of the general population. We improved this method by accounting for natural immunity, exploring four scenarios with four possible levels of natural immunity in the population. In addition, we quantified the decay rate of protection over time, by fitting an exponential decay model among individuals vaccinated in early life.\nResults: In the baseline analysis (absence of natural immunity), VE estimates were high in all age groups and decreased with age, from 99.6 % (95 % confidence interval: 99.3–99.8) in 2–5 years old to 91.4 % (85.1–95.0) in 26–31 years old. Accounting for natural immunity increased VE in the older age group to 93.2–99.2 % depending on the scenario. We estimated that VE was slowly decreasing over time, with an exponential decay rate of 0.0022/year (0.0017–0.0028), leading to VE of 96.7 % (96.0–97.4) 16 years after MCV2 vaccination. This decline was most compatible with scenario 2, a scenario of 4.4 % naturally immunized, non-vaccinated in­ dividuals in the 26–31 years old.\nConclusion: Our study confirms the continued high effectiveness of two doses of MCV with only slight degra­ dation, decades after immunization. These findings support the importance of achieving a very high vaccination coverage with 2 doses of MCV.","container-title":"Vaccine","DOI":"10.1016/j.vaccine.2023.08.018","ISSN":"0264410X","issue":"39","journalAbbreviation":"Vaccine","language":"en","page":"5797-5804","source":"DOI.org (Crossref)","title":"Two-dose measles vaccine effectiveness remains high over time: A French observational study, 2017–2019","title-short":"Two-dose measles vaccine effectiveness remains high over time","volume":"41","author":[{"family":"Franconeri","given":"Léa"},{"family":"Antona","given":"Denise"},{"family":"Cauchemez","given":"Simon"},{"family":"Lévy-Bruhl","given":"Daniel"},{"family":"Paireau","given":"Juliette"}],"issued":{"date-parts":[["2023",9]]}}}],"schema":"https://github.com/citation-style-language/schema/raw/master/csl-citation.json"} </w:instrText>
      </w:r>
      <w:r w:rsidR="003A1BF5">
        <w:rPr>
          <w:rFonts w:ascii="Times New Roman" w:eastAsia="Times New Roman" w:hAnsi="Times New Roman" w:cs="Times New Roman"/>
          <w:color w:val="000000"/>
          <w:kern w:val="0"/>
          <w14:ligatures w14:val="none"/>
        </w:rPr>
        <w:fldChar w:fldCharType="separate"/>
      </w:r>
      <w:r w:rsidR="003A1BF5" w:rsidRPr="003A1BF5">
        <w:rPr>
          <w:rFonts w:ascii="Times New Roman" w:hAnsi="Times New Roman" w:cs="Times New Roman"/>
          <w:color w:val="000000"/>
          <w:kern w:val="0"/>
          <w:vertAlign w:val="superscript"/>
        </w:rPr>
        <w:t>16</w:t>
      </w:r>
      <w:r w:rsidR="003A1BF5">
        <w:rPr>
          <w:rFonts w:ascii="Times New Roman" w:eastAsia="Times New Roman" w:hAnsi="Times New Roman" w:cs="Times New Roman"/>
          <w:color w:val="000000"/>
          <w:kern w:val="0"/>
          <w14:ligatures w14:val="none"/>
        </w:rPr>
        <w:fldChar w:fldCharType="end"/>
      </w:r>
    </w:p>
    <w:p w14:paraId="6F189750" w14:textId="7CF53D8B"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By contrast, a 2023 meta-analysis published in </w:t>
      </w:r>
      <w:r w:rsidRPr="001337A4">
        <w:rPr>
          <w:rFonts w:ascii="Times New Roman" w:eastAsia="Times New Roman" w:hAnsi="Times New Roman" w:cs="Times New Roman"/>
          <w:i/>
          <w:iCs/>
          <w:color w:val="000000"/>
          <w:kern w:val="0"/>
          <w14:ligatures w14:val="none"/>
        </w:rPr>
        <w:t>JAMA Network Open</w:t>
      </w:r>
      <w:r w:rsidRPr="001337A4">
        <w:rPr>
          <w:rFonts w:ascii="Times New Roman" w:eastAsia="Times New Roman" w:hAnsi="Times New Roman" w:cs="Times New Roman"/>
          <w:color w:val="000000"/>
          <w:kern w:val="0"/>
          <w14:ligatures w14:val="none"/>
        </w:rPr>
        <w:t> pooled 40 high-quality studies and found that </w:t>
      </w:r>
      <w:r w:rsidRPr="001337A4">
        <w:rPr>
          <w:rFonts w:ascii="Times New Roman" w:eastAsia="Times New Roman" w:hAnsi="Times New Roman" w:cs="Times New Roman"/>
          <w:b/>
          <w:bCs/>
          <w:color w:val="000000"/>
          <w:kern w:val="0"/>
          <w14:ligatures w14:val="none"/>
        </w:rPr>
        <w:t>vaccine effectiveness against Omicron symptomatic disease was &lt;20% at 6 months</w:t>
      </w:r>
      <w:r w:rsidRPr="001337A4">
        <w:rPr>
          <w:rFonts w:ascii="Times New Roman" w:eastAsia="Times New Roman" w:hAnsi="Times New Roman" w:cs="Times New Roman"/>
          <w:color w:val="000000"/>
          <w:kern w:val="0"/>
          <w14:ligatures w14:val="none"/>
        </w:rPr>
        <w:t>, and &lt;30% even after boosters</w:t>
      </w:r>
      <w:r w:rsidR="003A1BF5">
        <w:rPr>
          <w:rFonts w:ascii="Times New Roman" w:eastAsia="Times New Roman" w:hAnsi="Times New Roman" w:cs="Times New Roman"/>
          <w:color w:val="000000"/>
          <w:kern w:val="0"/>
          <w14:ligatures w14:val="none"/>
        </w:rPr>
        <w:fldChar w:fldCharType="begin"/>
      </w:r>
      <w:r w:rsidR="003A1BF5">
        <w:rPr>
          <w:rFonts w:ascii="Times New Roman" w:eastAsia="Times New Roman" w:hAnsi="Times New Roman" w:cs="Times New Roman"/>
          <w:color w:val="000000"/>
          <w:kern w:val="0"/>
          <w14:ligatures w14:val="none"/>
        </w:rPr>
        <w:instrText xml:space="preserve"> ADDIN ZOTERO_ITEM CSL_CITATION {"citationID":"90D8LFGr","properties":{"formattedCitation":"\\super 17\\nosupersub{}","plainCitation":"17","noteIndex":0},"citationItems":[{"id":859,"uris":["http://zotero.org/users/8196738/items/ACYHAFUX"],"itemData":{"id":859,"type":"article-journal","abstract":"OBJECTIVE To quantify the progressive waning of VE associated with the Delta and Omicron variants of SARS-CoV-2 by number of received doses. DATA SOURCES PubMed and Web of Science were searched from the databases’ inception to October 19, 2022, as well as reference lists of eligible articles. Preprints were included. STUDY SELECTION Selected studies for this systematic review and meta-analysis were original articles reporting estimates of VE over time against laboratory-confirmed SARS-CoV-2 infection and symptomatic disease. DATA EXTRACTION AND SYNTHESIS Estimates of VE at different time points from vaccination were retrieved from original studies. A secondary data analysis was performed to project VE at any time from last dose administration, improving the comparability across different studies and between the 2 considered variants. Pooled estimates were obtained from random-effects metaanalysis. MAIN OUTCOMES AND MEASURES Outcomes were VE against laboratory-confirmed Omicron or Delta infection and symptomatic disease and half-life and waning rate associated with vaccineinduced protection.\nRESULTS A total of 799 original articles and 149 reviews published in peer-reviewed journals and 35 preprints were identified. Of these, 40 studies were included in the analysis. Pooled estimates of VE of a primary vaccination cycle against laboratory-confirmed Omicron infection and symptomatic disease were both lower than 20% at 6 months from last dose administration. Booster doses restored VE to levels comparable to those acquired soon after the administration of the primary cycle. However, 9 months after booster administration, VE against Omicron was lower than 30% against laboratory-confirmed infection and symptomatic disease. The half-life of VE against symptomatic infection was estimated to be 87 days (95% CI, 67-129 days) for Omicron compared with 316 days (95% CI, 240-470 days) for Delta. Similar waning rates of VE were found for different age segments of the population.\nCONCLUSIONS AND RELEVANCE These findings suggest that the effectiveness of COVID-19 vaccines against laboratory-confirmed Omicron or Delta infection and symptomatic disease rapidly","container-title":"JAMA Network Open","DOI":"10.1001/jamanetworkopen.2023.10650","ISSN":"2574-3805","issue":"5","journalAbbreviation":"JAMA Netw Open","language":"en","page":"e2310650","source":"DOI.org (Crossref)","title":"Evaluation of Waning of SARS-CoV-2 Vaccine–Induced Immunity: A Systematic Review and Meta-analysis","title-short":"Evaluation of Waning of SARS-CoV-2 Vaccine–Induced Immunity","volume":"6","author":[{"family":"Menegale","given":"Francesco"},{"family":"Manica","given":"Mattia"},{"family":"Zardini","given":"Agnese"},{"family":"Guzzetta","given":"Giorgio"},{"family":"Marziano","given":"Valentina"},{"family":"Andrea","given":"Valeria","non-dropping-particle":"d'"},{"family":"Trentini","given":"Filippo"},{"family":"Ajelli","given":"Marco"},{"family":"Poletti","given":"Piero"},{"family":"Merler","given":"Stefano"}],"issued":{"date-parts":[["2023",5,3]]}}}],"schema":"https://github.com/citation-style-language/schema/raw/master/csl-citation.json"} </w:instrText>
      </w:r>
      <w:r w:rsidR="003A1BF5">
        <w:rPr>
          <w:rFonts w:ascii="Times New Roman" w:eastAsia="Times New Roman" w:hAnsi="Times New Roman" w:cs="Times New Roman"/>
          <w:color w:val="000000"/>
          <w:kern w:val="0"/>
          <w14:ligatures w14:val="none"/>
        </w:rPr>
        <w:fldChar w:fldCharType="separate"/>
      </w:r>
      <w:r w:rsidR="003A1BF5" w:rsidRPr="003A1BF5">
        <w:rPr>
          <w:rFonts w:ascii="Times New Roman" w:hAnsi="Times New Roman" w:cs="Times New Roman"/>
          <w:color w:val="000000"/>
          <w:kern w:val="0"/>
          <w:vertAlign w:val="superscript"/>
        </w:rPr>
        <w:t>17</w:t>
      </w:r>
      <w:r w:rsidR="003A1BF5">
        <w:rPr>
          <w:rFonts w:ascii="Times New Roman" w:eastAsia="Times New Roman" w:hAnsi="Times New Roman" w:cs="Times New Roman"/>
          <w:color w:val="000000"/>
          <w:kern w:val="0"/>
          <w14:ligatures w14:val="none"/>
        </w:rPr>
        <w:fldChar w:fldCharType="end"/>
      </w:r>
      <w:r w:rsidRPr="001337A4">
        <w:rPr>
          <w:rFonts w:ascii="Times New Roman" w:eastAsia="Times New Roman" w:hAnsi="Times New Roman" w:cs="Times New Roman"/>
          <w:color w:val="000000"/>
          <w:kern w:val="0"/>
          <w14:ligatures w14:val="none"/>
        </w:rPr>
        <w:t>. This is not "protection" as the public understands it. Under the pre-2021 regulatory framing, a biologic with this performance profile would not plausibly be labeled a vaccine.</w:t>
      </w:r>
    </w:p>
    <w:p w14:paraId="1D71C696" w14:textId="77777777"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Yet by replacing “immunity” with “response,” it now qualifies.</w:t>
      </w:r>
    </w:p>
    <w:p w14:paraId="30DC18F9" w14:textId="77777777" w:rsidR="001337A4" w:rsidRPr="001337A4" w:rsidRDefault="001337A4" w:rsidP="001337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337A4">
        <w:rPr>
          <w:rFonts w:ascii="Times New Roman" w:eastAsia="Times New Roman" w:hAnsi="Times New Roman" w:cs="Times New Roman"/>
          <w:b/>
          <w:bCs/>
          <w:color w:val="000000"/>
          <w:kern w:val="0"/>
          <w14:ligatures w14:val="none"/>
        </w:rPr>
        <w:t>What the Change Enabled</w:t>
      </w:r>
    </w:p>
    <w:p w14:paraId="06B6CFF1" w14:textId="242C2189"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New vaccine concepts have emerged that wouldn’t have met earlier standards. One example is a 2024 white paper by Arunachalam proposing </w:t>
      </w:r>
      <w:r w:rsidRPr="001337A4">
        <w:rPr>
          <w:rFonts w:ascii="Times New Roman" w:eastAsia="Times New Roman" w:hAnsi="Times New Roman" w:cs="Times New Roman"/>
          <w:b/>
          <w:bCs/>
          <w:color w:val="000000"/>
          <w:kern w:val="0"/>
          <w14:ligatures w14:val="none"/>
        </w:rPr>
        <w:t>“homeostatic immunity”</w:t>
      </w:r>
      <w:r w:rsidRPr="001337A4">
        <w:rPr>
          <w:rFonts w:ascii="Times New Roman" w:eastAsia="Times New Roman" w:hAnsi="Times New Roman" w:cs="Times New Roman"/>
          <w:color w:val="000000"/>
          <w:kern w:val="0"/>
          <w14:ligatures w14:val="none"/>
        </w:rPr>
        <w:t>, where vaccines are designed to </w:t>
      </w:r>
      <w:r w:rsidRPr="001337A4">
        <w:rPr>
          <w:rFonts w:ascii="Times New Roman" w:eastAsia="Times New Roman" w:hAnsi="Times New Roman" w:cs="Times New Roman"/>
          <w:i/>
          <w:iCs/>
          <w:color w:val="000000"/>
          <w:kern w:val="0"/>
          <w14:ligatures w14:val="none"/>
        </w:rPr>
        <w:t>modulate</w:t>
      </w:r>
      <w:r w:rsidRPr="001337A4">
        <w:rPr>
          <w:rFonts w:ascii="Times New Roman" w:eastAsia="Times New Roman" w:hAnsi="Times New Roman" w:cs="Times New Roman"/>
          <w:color w:val="000000"/>
          <w:kern w:val="0"/>
          <w14:ligatures w14:val="none"/>
        </w:rPr>
        <w:t> the immune system—not eliminate pathogens. The author explicitly frames this in terms of CDC’s new “protection” model, not sterilization</w:t>
      </w:r>
      <w:r w:rsidR="003A1BF5">
        <w:rPr>
          <w:rFonts w:ascii="Times New Roman" w:eastAsia="Times New Roman" w:hAnsi="Times New Roman" w:cs="Times New Roman"/>
          <w:color w:val="000000"/>
          <w:kern w:val="0"/>
          <w14:ligatures w14:val="none"/>
        </w:rPr>
        <w:fldChar w:fldCharType="begin"/>
      </w:r>
      <w:r w:rsidR="003A1BF5">
        <w:rPr>
          <w:rFonts w:ascii="Times New Roman" w:eastAsia="Times New Roman" w:hAnsi="Times New Roman" w:cs="Times New Roman"/>
          <w:color w:val="000000"/>
          <w:kern w:val="0"/>
          <w14:ligatures w14:val="none"/>
        </w:rPr>
        <w:instrText xml:space="preserve"> ADDIN ZOTERO_ITEM CSL_CITATION {"citationID":"U2jlhu5J","properties":{"formattedCitation":"\\super 18\\nosupersub{}","plainCitation":"18","noteIndex":0},"citationItems":[{"id":824,"uris":["http://zotero.org/users/8196738/items/CQ6H7ECX"],"itemData":{"id":824,"type":"article-journal","abstract":"The optimal immune response eliminates invading pathogens, restoring immune equilibrium without inflicting undue harm to the host. However, when a cascade of immunological reactions is triggered, the immune response can sometimes go into overdrive, potentially leading to harmful long-term effects or even death. The immune system is triggered mostly by infections, allergens, or medical interventions such as vaccination. This review examines how these immune triggers differ and why certain infections may dysregulate immune homeostasis, leading to inflammatory or allergic pathology and exacerbation of pre-existing conditions. However, many vaccines generate an optimal immune response and protect against the consequences of pathogen-induced immunological aggressiveness, and from a small number of unrelated pathogens and autoimmune diseases. Here, we propose an “immuno-wave” model describing a vaccine-induced “Goldilocks immunity”, which leaves fine imprints of both pro-inflammatory and anti-inflammatory milieus, derived from both the innate and the adaptive arms of the immune system, in the body. The resulting balanced, ‘quiet alert’ state of the immune system may provide a jump-start in the defense against pathogens and any associated pathological inflammatory or allergic responses, allowing vaccines to go above and beyond their call of duty. In closing, we recommend formally investigating and reaping many of the secondary benefits of vaccines with appropriate clinical studies.","container-title":"Vaccines","DOI":"10.3390/vaccines12040396","ISSN":"2076-393X","issue":"4","language":"en","license":"https://creativecommons.org/licenses/by/4.0/","note":"publisher: MDPI AG","page":"396","source":"Crossref","title":"Vaccines Induce Homeostatic Immunity, Generating Several Secondary Benefits","volume":"12","author":[{"family":"Arunachalam","given":"Arun B."}],"issued":{"date-parts":[["2024",4,9]]}}}],"schema":"https://github.com/citation-style-language/schema/raw/master/csl-citation.json"} </w:instrText>
      </w:r>
      <w:r w:rsidR="003A1BF5">
        <w:rPr>
          <w:rFonts w:ascii="Times New Roman" w:eastAsia="Times New Roman" w:hAnsi="Times New Roman" w:cs="Times New Roman"/>
          <w:color w:val="000000"/>
          <w:kern w:val="0"/>
          <w14:ligatures w14:val="none"/>
        </w:rPr>
        <w:fldChar w:fldCharType="separate"/>
      </w:r>
      <w:r w:rsidR="003A1BF5" w:rsidRPr="003A1BF5">
        <w:rPr>
          <w:rFonts w:ascii="Times New Roman" w:hAnsi="Times New Roman" w:cs="Times New Roman"/>
          <w:color w:val="000000"/>
          <w:kern w:val="0"/>
          <w:vertAlign w:val="superscript"/>
        </w:rPr>
        <w:t>18</w:t>
      </w:r>
      <w:r w:rsidR="003A1BF5">
        <w:rPr>
          <w:rFonts w:ascii="Times New Roman" w:eastAsia="Times New Roman" w:hAnsi="Times New Roman" w:cs="Times New Roman"/>
          <w:color w:val="000000"/>
          <w:kern w:val="0"/>
          <w14:ligatures w14:val="none"/>
        </w:rPr>
        <w:fldChar w:fldCharType="end"/>
      </w:r>
      <w:r w:rsidRPr="001337A4">
        <w:rPr>
          <w:rFonts w:ascii="Times New Roman" w:eastAsia="Times New Roman" w:hAnsi="Times New Roman" w:cs="Times New Roman"/>
          <w:color w:val="000000"/>
          <w:kern w:val="0"/>
          <w14:ligatures w14:val="none"/>
        </w:rPr>
        <w:t>.</w:t>
      </w:r>
    </w:p>
    <w:p w14:paraId="2E540EF8" w14:textId="77777777"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“Vaccines generate Goldilocks immunity, balancing pro- and anti-inflammatory signals…” — </w:t>
      </w:r>
      <w:r w:rsidRPr="001337A4">
        <w:rPr>
          <w:rFonts w:ascii="Times New Roman" w:eastAsia="Times New Roman" w:hAnsi="Times New Roman" w:cs="Times New Roman"/>
          <w:i/>
          <w:iCs/>
          <w:color w:val="000000"/>
          <w:kern w:val="0"/>
          <w14:ligatures w14:val="none"/>
        </w:rPr>
        <w:t>Arunachalam (2024)</w:t>
      </w:r>
    </w:p>
    <w:p w14:paraId="69CEFF55" w14:textId="3AA6FAF9"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This is a fascinating and potentially powerful approach. But it would not have satisfied the historical understanding of a vaccine.</w:t>
      </w:r>
      <w:r w:rsidR="003A1BF5">
        <w:rPr>
          <w:rFonts w:ascii="Times New Roman" w:eastAsia="Times New Roman" w:hAnsi="Times New Roman" w:cs="Times New Roman"/>
          <w:color w:val="000000"/>
          <w:kern w:val="0"/>
          <w14:ligatures w14:val="none"/>
        </w:rPr>
        <w:t xml:space="preserve"> Don’t harangue him for what sounds like a cool idea. </w:t>
      </w:r>
    </w:p>
    <w:p w14:paraId="45264568" w14:textId="77777777" w:rsidR="001337A4" w:rsidRPr="001337A4" w:rsidRDefault="001337A4" w:rsidP="001337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337A4">
        <w:rPr>
          <w:rFonts w:ascii="Times New Roman" w:eastAsia="Times New Roman" w:hAnsi="Times New Roman" w:cs="Times New Roman"/>
          <w:b/>
          <w:bCs/>
          <w:color w:val="000000"/>
          <w:kern w:val="0"/>
          <w14:ligatures w14:val="none"/>
        </w:rPr>
        <w:t>From Technical Precision to Legal Drift</w:t>
      </w:r>
    </w:p>
    <w:p w14:paraId="68418557" w14:textId="77777777"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This definitional slippage has consequences beyond terminology:</w:t>
      </w:r>
    </w:p>
    <w:p w14:paraId="34A53D49" w14:textId="74FDCAFC" w:rsidR="001337A4" w:rsidRPr="001337A4" w:rsidRDefault="001337A4" w:rsidP="001337A4">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b/>
          <w:bCs/>
          <w:color w:val="000000"/>
          <w:kern w:val="0"/>
          <w14:ligatures w14:val="none"/>
        </w:rPr>
        <w:t>Statutory requirements</w:t>
      </w:r>
      <w:r w:rsidRPr="001337A4">
        <w:rPr>
          <w:rFonts w:ascii="Times New Roman" w:eastAsia="Times New Roman" w:hAnsi="Times New Roman" w:cs="Times New Roman"/>
          <w:color w:val="000000"/>
          <w:kern w:val="0"/>
          <w14:ligatures w14:val="none"/>
        </w:rPr>
        <w:t> for vaccines under Section 351 of the Public Health Service Act (“safe, pure, and potent”) remain unchanged</w:t>
      </w:r>
      <w:r w:rsidR="00EA1184">
        <w:rPr>
          <w:rFonts w:ascii="Times New Roman" w:eastAsia="Times New Roman" w:hAnsi="Times New Roman" w:cs="Times New Roman"/>
          <w:color w:val="000000"/>
          <w:kern w:val="0"/>
          <w14:ligatures w14:val="none"/>
        </w:rPr>
        <w:fldChar w:fldCharType="begin"/>
      </w:r>
      <w:r w:rsidR="00EA1184">
        <w:rPr>
          <w:rFonts w:ascii="Times New Roman" w:eastAsia="Times New Roman" w:hAnsi="Times New Roman" w:cs="Times New Roman"/>
          <w:color w:val="000000"/>
          <w:kern w:val="0"/>
          <w14:ligatures w14:val="none"/>
        </w:rPr>
        <w:instrText xml:space="preserve"> ADDIN ZOTERO_ITEM CSL_CITATION {"citationID":"asjzNQJW","properties":{"formattedCitation":"\\super 19\\nosupersub{}","plainCitation":"19","noteIndex":0},"citationItems":[{"id":848,"uris":["http://zotero.org/users/8196738/items/44XK3VQB"],"itemData":{"id":848,"type":"report","genre":"FDA Briefing Document","publisher":"FDA","title":"Vaccines and Related Biological Products Advisory Committee Meeting","author":[{"literal":"FDA"}],"issued":{"date-parts":[["2020",10,22]]}}}],"schema":"https://github.com/citation-style-language/schema/raw/master/csl-citation.json"} </w:instrText>
      </w:r>
      <w:r w:rsidR="00EA1184">
        <w:rPr>
          <w:rFonts w:ascii="Times New Roman" w:eastAsia="Times New Roman" w:hAnsi="Times New Roman" w:cs="Times New Roman"/>
          <w:color w:val="000000"/>
          <w:kern w:val="0"/>
          <w14:ligatures w14:val="none"/>
        </w:rPr>
        <w:fldChar w:fldCharType="separate"/>
      </w:r>
      <w:r w:rsidR="00EA1184" w:rsidRPr="00EA1184">
        <w:rPr>
          <w:rFonts w:ascii="Times New Roman" w:hAnsi="Times New Roman" w:cs="Times New Roman"/>
          <w:color w:val="000000"/>
          <w:kern w:val="0"/>
          <w:vertAlign w:val="superscript"/>
        </w:rPr>
        <w:t>19</w:t>
      </w:r>
      <w:r w:rsidR="00EA1184">
        <w:rPr>
          <w:rFonts w:ascii="Times New Roman" w:eastAsia="Times New Roman" w:hAnsi="Times New Roman" w:cs="Times New Roman"/>
          <w:color w:val="000000"/>
          <w:kern w:val="0"/>
          <w14:ligatures w14:val="none"/>
        </w:rPr>
        <w:fldChar w:fldCharType="end"/>
      </w:r>
      <w:r w:rsidRPr="001337A4">
        <w:rPr>
          <w:rFonts w:ascii="Times New Roman" w:eastAsia="Times New Roman" w:hAnsi="Times New Roman" w:cs="Times New Roman"/>
          <w:color w:val="000000"/>
          <w:kern w:val="0"/>
          <w14:ligatures w14:val="none"/>
        </w:rPr>
        <w:t>—but the interpretation of “potent” has drifted from immune prevention to clinical modulation</w:t>
      </w:r>
    </w:p>
    <w:p w14:paraId="422CFBD3" w14:textId="77777777" w:rsidR="001337A4" w:rsidRPr="001337A4" w:rsidRDefault="001337A4" w:rsidP="001337A4">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b/>
          <w:bCs/>
          <w:color w:val="000000"/>
          <w:kern w:val="0"/>
          <w14:ligatures w14:val="none"/>
        </w:rPr>
        <w:t xml:space="preserve">Mandates and liability </w:t>
      </w:r>
      <w:proofErr w:type="gramStart"/>
      <w:r w:rsidRPr="001337A4">
        <w:rPr>
          <w:rFonts w:ascii="Times New Roman" w:eastAsia="Times New Roman" w:hAnsi="Times New Roman" w:cs="Times New Roman"/>
          <w:b/>
          <w:bCs/>
          <w:color w:val="000000"/>
          <w:kern w:val="0"/>
          <w14:ligatures w14:val="none"/>
        </w:rPr>
        <w:t>shields</w:t>
      </w:r>
      <w:proofErr w:type="gramEnd"/>
      <w:r w:rsidRPr="001337A4">
        <w:rPr>
          <w:rFonts w:ascii="Times New Roman" w:eastAsia="Times New Roman" w:hAnsi="Times New Roman" w:cs="Times New Roman"/>
          <w:color w:val="000000"/>
          <w:kern w:val="0"/>
          <w14:ligatures w14:val="none"/>
        </w:rPr>
        <w:t> historically depended on public understanding that vaccines prevent transmission</w:t>
      </w:r>
    </w:p>
    <w:p w14:paraId="52C5B37B" w14:textId="77777777" w:rsidR="001337A4" w:rsidRPr="001337A4" w:rsidRDefault="001337A4" w:rsidP="001337A4">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b/>
          <w:bCs/>
          <w:color w:val="000000"/>
          <w:kern w:val="0"/>
          <w14:ligatures w14:val="none"/>
        </w:rPr>
        <w:t>Public trust</w:t>
      </w:r>
      <w:r w:rsidRPr="001337A4">
        <w:rPr>
          <w:rFonts w:ascii="Times New Roman" w:eastAsia="Times New Roman" w:hAnsi="Times New Roman" w:cs="Times New Roman"/>
          <w:color w:val="000000"/>
          <w:kern w:val="0"/>
          <w14:ligatures w14:val="none"/>
        </w:rPr>
        <w:t>, built on products that stopped outbreaks cold, is now extended to products that do not</w:t>
      </w:r>
    </w:p>
    <w:p w14:paraId="058349C2" w14:textId="77777777" w:rsidR="001337A4" w:rsidRPr="001337A4" w:rsidRDefault="001337A4" w:rsidP="001337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337A4">
        <w:rPr>
          <w:rFonts w:ascii="Times New Roman" w:eastAsia="Times New Roman" w:hAnsi="Times New Roman" w:cs="Times New Roman"/>
          <w:b/>
          <w:bCs/>
          <w:color w:val="000000"/>
          <w:kern w:val="0"/>
          <w14:ligatures w14:val="none"/>
        </w:rPr>
        <w:t>Conclusion</w:t>
      </w:r>
    </w:p>
    <w:p w14:paraId="18B14350" w14:textId="77777777"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lastRenderedPageBreak/>
        <w:t>No vaccine was ever perfectly sterilizing. But most were good enough that the </w:t>
      </w:r>
      <w:r w:rsidRPr="001337A4">
        <w:rPr>
          <w:rFonts w:ascii="Times New Roman" w:eastAsia="Times New Roman" w:hAnsi="Times New Roman" w:cs="Times New Roman"/>
          <w:b/>
          <w:bCs/>
          <w:color w:val="000000"/>
          <w:kern w:val="0"/>
          <w14:ligatures w14:val="none"/>
        </w:rPr>
        <w:t>colloquial understanding</w:t>
      </w:r>
      <w:r w:rsidRPr="001337A4">
        <w:rPr>
          <w:rFonts w:ascii="Times New Roman" w:eastAsia="Times New Roman" w:hAnsi="Times New Roman" w:cs="Times New Roman"/>
          <w:color w:val="000000"/>
          <w:kern w:val="0"/>
          <w14:ligatures w14:val="none"/>
        </w:rPr>
        <w:t> of a vaccine—something that keeps you from getting or spreading a disease—remained broadly true.</w:t>
      </w:r>
    </w:p>
    <w:p w14:paraId="63701180" w14:textId="77777777"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That is no longer the case.</w:t>
      </w:r>
    </w:p>
    <w:p w14:paraId="5D5C599A" w14:textId="77777777"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The CDC’s 2021 definition change opened the gate for a different kind of product—one that would never have met the evidentiary bar of “immunity,” but can now pass under the softened standard of “response.”</w:t>
      </w:r>
    </w:p>
    <w:p w14:paraId="3AE65DAF" w14:textId="77777777"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It wasn’t the pathogen that changed. It was the word.</w:t>
      </w:r>
    </w:p>
    <w:p w14:paraId="32A4DC44" w14:textId="77777777" w:rsidR="001337A4" w:rsidRPr="001337A4" w:rsidRDefault="003907BD" w:rsidP="001337A4">
      <w:pPr>
        <w:spacing w:after="0" w:line="240" w:lineRule="auto"/>
        <w:rPr>
          <w:rFonts w:ascii="Times New Roman" w:eastAsia="Times New Roman" w:hAnsi="Times New Roman" w:cs="Times New Roman"/>
          <w:kern w:val="0"/>
          <w14:ligatures w14:val="none"/>
        </w:rPr>
      </w:pPr>
      <w:r w:rsidRPr="003907BD">
        <w:rPr>
          <w:rFonts w:ascii="Times New Roman" w:eastAsia="Times New Roman" w:hAnsi="Times New Roman" w:cs="Times New Roman"/>
          <w:noProof/>
          <w:kern w:val="0"/>
        </w:rPr>
        <w:pict w14:anchorId="74073B90">
          <v:rect id="_x0000_i1025" alt="" style="width:468pt;height:.05pt;mso-width-percent:0;mso-height-percent:0;mso-width-percent:0;mso-height-percent:0" o:hralign="center" o:hrstd="t" o:hr="t" fillcolor="#a0a0a0" stroked="f"/>
        </w:pict>
      </w:r>
    </w:p>
    <w:p w14:paraId="79A2E06F" w14:textId="5A01AF33" w:rsidR="001337A4" w:rsidRPr="001337A4" w:rsidRDefault="001337A4" w:rsidP="003F424C">
      <w:pPr>
        <w:rPr>
          <w:rFonts w:ascii="Times New Roman" w:eastAsia="Times New Roman" w:hAnsi="Times New Roman" w:cs="Times New Roman"/>
          <w:b/>
          <w:bCs/>
          <w:color w:val="000000"/>
          <w:kern w:val="0"/>
          <w:sz w:val="27"/>
          <w:szCs w:val="27"/>
          <w14:ligatures w14:val="none"/>
        </w:rPr>
      </w:pPr>
      <w:r w:rsidRPr="001337A4">
        <w:rPr>
          <w:rFonts w:ascii="Times New Roman" w:eastAsia="Times New Roman" w:hAnsi="Times New Roman" w:cs="Times New Roman"/>
          <w:b/>
          <w:bCs/>
          <w:color w:val="000000"/>
          <w:kern w:val="0"/>
          <w:sz w:val="27"/>
          <w:szCs w:val="27"/>
          <w14:ligatures w14:val="none"/>
        </w:rPr>
        <w:t>Footnotes / References (Nature Format)</w:t>
      </w:r>
    </w:p>
    <w:p w14:paraId="5AD88A63" w14:textId="77777777" w:rsidR="003F424C" w:rsidRPr="003F424C" w:rsidRDefault="003F424C" w:rsidP="003F424C">
      <w:pPr>
        <w:pStyle w:val="Bibliography"/>
        <w:rPr>
          <w:rFonts w:ascii="Aptos"/>
        </w:rPr>
      </w:pPr>
      <w:r>
        <w:fldChar w:fldCharType="begin"/>
      </w:r>
      <w:r>
        <w:instrText xml:space="preserve"> ADDIN ZOTERO_BIBL {"uncited":[],"omitted":[],"custom":[]} CSL_BIBLIOGRAPHY </w:instrText>
      </w:r>
      <w:r>
        <w:fldChar w:fldCharType="separate"/>
      </w:r>
      <w:r w:rsidRPr="003F424C">
        <w:rPr>
          <w:rFonts w:ascii="Aptos"/>
        </w:rPr>
        <w:t>1.</w:t>
      </w:r>
      <w:r w:rsidRPr="003F424C">
        <w:rPr>
          <w:rFonts w:ascii="Aptos"/>
        </w:rPr>
        <w:tab/>
        <w:t xml:space="preserve">Wahl, I. &amp; </w:t>
      </w:r>
      <w:proofErr w:type="spellStart"/>
      <w:r w:rsidRPr="003F424C">
        <w:rPr>
          <w:rFonts w:ascii="Aptos"/>
        </w:rPr>
        <w:t>Wardemann</w:t>
      </w:r>
      <w:proofErr w:type="spellEnd"/>
      <w:r w:rsidRPr="003F424C">
        <w:rPr>
          <w:rFonts w:ascii="Aptos"/>
        </w:rPr>
        <w:t xml:space="preserve">, H. Sterilizing immunity: Understanding COVID-19. </w:t>
      </w:r>
      <w:r w:rsidRPr="003F424C">
        <w:rPr>
          <w:rFonts w:ascii="Aptos"/>
          <w:i/>
          <w:iCs/>
        </w:rPr>
        <w:t>Immunity</w:t>
      </w:r>
      <w:r w:rsidRPr="003F424C">
        <w:rPr>
          <w:rFonts w:ascii="Aptos"/>
        </w:rPr>
        <w:t xml:space="preserve"> </w:t>
      </w:r>
      <w:r w:rsidRPr="003F424C">
        <w:rPr>
          <w:rFonts w:ascii="Aptos"/>
          <w:b/>
          <w:bCs/>
        </w:rPr>
        <w:t>55</w:t>
      </w:r>
      <w:r w:rsidRPr="003F424C">
        <w:rPr>
          <w:rFonts w:ascii="Aptos"/>
        </w:rPr>
        <w:t>, 2231–2235 (2022).</w:t>
      </w:r>
    </w:p>
    <w:p w14:paraId="4041CD4F" w14:textId="77777777" w:rsidR="003F424C" w:rsidRPr="003F424C" w:rsidRDefault="003F424C" w:rsidP="003F424C">
      <w:pPr>
        <w:pStyle w:val="Bibliography"/>
        <w:rPr>
          <w:rFonts w:ascii="Aptos"/>
        </w:rPr>
      </w:pPr>
      <w:r w:rsidRPr="003F424C">
        <w:rPr>
          <w:rFonts w:ascii="Aptos"/>
        </w:rPr>
        <w:t>2.</w:t>
      </w:r>
      <w:r w:rsidRPr="003F424C">
        <w:rPr>
          <w:rFonts w:ascii="Aptos"/>
        </w:rPr>
        <w:tab/>
        <w:t xml:space="preserve">Experts say changes to CDC’s vaccination definition are normal | AP News. </w:t>
      </w:r>
      <w:r w:rsidRPr="003F424C">
        <w:rPr>
          <w:rFonts w:ascii="Aptos"/>
          <w:i/>
          <w:iCs/>
        </w:rPr>
        <w:t>AP</w:t>
      </w:r>
      <w:r w:rsidRPr="003F424C">
        <w:rPr>
          <w:rFonts w:ascii="Aptos"/>
        </w:rPr>
        <w:t xml:space="preserve"> https://web.archive.org/web/20220209232529/https://apnews.com/article/fact-checking-976069264061 (2022).</w:t>
      </w:r>
    </w:p>
    <w:p w14:paraId="376E2545" w14:textId="77777777" w:rsidR="003F424C" w:rsidRPr="003F424C" w:rsidRDefault="003F424C" w:rsidP="003F424C">
      <w:pPr>
        <w:pStyle w:val="Bibliography"/>
        <w:rPr>
          <w:rFonts w:ascii="Aptos"/>
        </w:rPr>
      </w:pPr>
      <w:r w:rsidRPr="003F424C">
        <w:rPr>
          <w:rFonts w:ascii="Aptos"/>
        </w:rPr>
        <w:t>3.</w:t>
      </w:r>
      <w:r w:rsidRPr="003F424C">
        <w:rPr>
          <w:rFonts w:ascii="Aptos"/>
        </w:rPr>
        <w:tab/>
        <w:t xml:space="preserve">Rubin, S. A. </w:t>
      </w:r>
      <w:r w:rsidRPr="003F424C">
        <w:rPr>
          <w:rFonts w:ascii="Aptos"/>
          <w:i/>
          <w:iCs/>
        </w:rPr>
        <w:t>et al.</w:t>
      </w:r>
      <w:r w:rsidRPr="003F424C">
        <w:rPr>
          <w:rFonts w:ascii="Aptos"/>
        </w:rPr>
        <w:t xml:space="preserve"> Recent Mumps Outbreaks in Vaccinated Populations: No Evidence of Immune Escape. </w:t>
      </w:r>
      <w:r w:rsidRPr="003F424C">
        <w:rPr>
          <w:rFonts w:ascii="Aptos"/>
          <w:i/>
          <w:iCs/>
        </w:rPr>
        <w:t xml:space="preserve">J </w:t>
      </w:r>
      <w:proofErr w:type="spellStart"/>
      <w:r w:rsidRPr="003F424C">
        <w:rPr>
          <w:rFonts w:ascii="Aptos"/>
          <w:i/>
          <w:iCs/>
        </w:rPr>
        <w:t>Virol</w:t>
      </w:r>
      <w:proofErr w:type="spellEnd"/>
      <w:r w:rsidRPr="003F424C">
        <w:rPr>
          <w:rFonts w:ascii="Aptos"/>
        </w:rPr>
        <w:t xml:space="preserve"> </w:t>
      </w:r>
      <w:r w:rsidRPr="003F424C">
        <w:rPr>
          <w:rFonts w:ascii="Aptos"/>
          <w:b/>
          <w:bCs/>
        </w:rPr>
        <w:t>86</w:t>
      </w:r>
      <w:r w:rsidRPr="003F424C">
        <w:rPr>
          <w:rFonts w:ascii="Aptos"/>
        </w:rPr>
        <w:t>, 615–620 (2012).</w:t>
      </w:r>
    </w:p>
    <w:p w14:paraId="17988C2E" w14:textId="77777777" w:rsidR="003F424C" w:rsidRPr="003F424C" w:rsidRDefault="003F424C" w:rsidP="003F424C">
      <w:pPr>
        <w:pStyle w:val="Bibliography"/>
        <w:rPr>
          <w:rFonts w:ascii="Aptos"/>
        </w:rPr>
      </w:pPr>
      <w:r w:rsidRPr="003F424C">
        <w:rPr>
          <w:rFonts w:ascii="Aptos"/>
        </w:rPr>
        <w:t>4.</w:t>
      </w:r>
      <w:r w:rsidRPr="003F424C">
        <w:rPr>
          <w:rFonts w:ascii="Aptos"/>
        </w:rPr>
        <w:tab/>
      </w:r>
      <w:proofErr w:type="spellStart"/>
      <w:r w:rsidRPr="003F424C">
        <w:rPr>
          <w:rFonts w:ascii="Aptos"/>
        </w:rPr>
        <w:t>Lewnard</w:t>
      </w:r>
      <w:proofErr w:type="spellEnd"/>
      <w:r w:rsidRPr="003F424C">
        <w:rPr>
          <w:rFonts w:ascii="Aptos"/>
        </w:rPr>
        <w:t xml:space="preserve">, J. A. &amp; Grad, Y. H. Vaccine waning and mumps re-emergence in the United States. </w:t>
      </w:r>
      <w:r w:rsidRPr="003F424C">
        <w:rPr>
          <w:rFonts w:ascii="Aptos"/>
          <w:i/>
          <w:iCs/>
        </w:rPr>
        <w:t>SCIENCE TRANSLATIONAL MEDICINE</w:t>
      </w:r>
      <w:r w:rsidRPr="003F424C">
        <w:rPr>
          <w:rFonts w:ascii="Aptos"/>
        </w:rPr>
        <w:t xml:space="preserve"> (2018).</w:t>
      </w:r>
    </w:p>
    <w:p w14:paraId="52467875" w14:textId="77777777" w:rsidR="003F424C" w:rsidRPr="003F424C" w:rsidRDefault="003F424C" w:rsidP="003F424C">
      <w:pPr>
        <w:pStyle w:val="Bibliography"/>
        <w:rPr>
          <w:rFonts w:ascii="Aptos"/>
        </w:rPr>
      </w:pPr>
      <w:r w:rsidRPr="003F424C">
        <w:rPr>
          <w:rFonts w:ascii="Aptos"/>
        </w:rPr>
        <w:t>5.</w:t>
      </w:r>
      <w:r w:rsidRPr="003F424C">
        <w:rPr>
          <w:rFonts w:ascii="Aptos"/>
        </w:rPr>
        <w:tab/>
        <w:t xml:space="preserve">Connell, A. R., Connell, J., Leahy, T. R. &amp; Hassan, J. Mumps Outbreaks in Vaccinated Populations—Is It Time to Re-assess the Clinical Efficacy of Vaccines? </w:t>
      </w:r>
      <w:r w:rsidRPr="003F424C">
        <w:rPr>
          <w:rFonts w:ascii="Aptos"/>
          <w:i/>
          <w:iCs/>
        </w:rPr>
        <w:t>Front. Immunol.</w:t>
      </w:r>
      <w:r w:rsidRPr="003F424C">
        <w:rPr>
          <w:rFonts w:ascii="Aptos"/>
        </w:rPr>
        <w:t xml:space="preserve"> </w:t>
      </w:r>
      <w:r w:rsidRPr="003F424C">
        <w:rPr>
          <w:rFonts w:ascii="Aptos"/>
          <w:b/>
          <w:bCs/>
        </w:rPr>
        <w:t>11</w:t>
      </w:r>
      <w:r w:rsidRPr="003F424C">
        <w:rPr>
          <w:rFonts w:ascii="Aptos"/>
        </w:rPr>
        <w:t>, (2020).</w:t>
      </w:r>
    </w:p>
    <w:p w14:paraId="7487FFBC" w14:textId="77777777" w:rsidR="003F424C" w:rsidRPr="003F424C" w:rsidRDefault="003F424C" w:rsidP="003F424C">
      <w:pPr>
        <w:pStyle w:val="Bibliography"/>
        <w:rPr>
          <w:rFonts w:ascii="Aptos"/>
        </w:rPr>
      </w:pPr>
      <w:r w:rsidRPr="003F424C">
        <w:rPr>
          <w:rFonts w:ascii="Aptos"/>
        </w:rPr>
        <w:t>6.</w:t>
      </w:r>
      <w:r w:rsidRPr="003F424C">
        <w:rPr>
          <w:rFonts w:ascii="Aptos"/>
        </w:rPr>
        <w:tab/>
      </w:r>
      <w:proofErr w:type="spellStart"/>
      <w:r w:rsidRPr="003F424C">
        <w:rPr>
          <w:rFonts w:ascii="Aptos"/>
        </w:rPr>
        <w:t>Gouma</w:t>
      </w:r>
      <w:proofErr w:type="spellEnd"/>
      <w:r w:rsidRPr="003F424C">
        <w:rPr>
          <w:rFonts w:ascii="Aptos"/>
        </w:rPr>
        <w:t xml:space="preserve">, S. </w:t>
      </w:r>
      <w:r w:rsidRPr="003F424C">
        <w:rPr>
          <w:rFonts w:ascii="Aptos"/>
          <w:i/>
          <w:iCs/>
        </w:rPr>
        <w:t>et al.</w:t>
      </w:r>
      <w:r w:rsidRPr="003F424C">
        <w:rPr>
          <w:rFonts w:ascii="Aptos"/>
        </w:rPr>
        <w:t xml:space="preserve"> Mumps-specific cross-neutralization by MMR vaccine-induced antibodies predicts protection against mumps virus infection. </w:t>
      </w:r>
      <w:r w:rsidRPr="003F424C">
        <w:rPr>
          <w:rFonts w:ascii="Aptos"/>
          <w:i/>
          <w:iCs/>
        </w:rPr>
        <w:t>Vaccine</w:t>
      </w:r>
      <w:r w:rsidRPr="003F424C">
        <w:rPr>
          <w:rFonts w:ascii="Aptos"/>
        </w:rPr>
        <w:t xml:space="preserve"> </w:t>
      </w:r>
      <w:r w:rsidRPr="003F424C">
        <w:rPr>
          <w:rFonts w:ascii="Aptos"/>
          <w:b/>
          <w:bCs/>
        </w:rPr>
        <w:t>34</w:t>
      </w:r>
      <w:r w:rsidRPr="003F424C">
        <w:rPr>
          <w:rFonts w:ascii="Aptos"/>
        </w:rPr>
        <w:t>, 4166–4171 (2016).</w:t>
      </w:r>
    </w:p>
    <w:p w14:paraId="206ACA55" w14:textId="77777777" w:rsidR="003F424C" w:rsidRPr="003F424C" w:rsidRDefault="003F424C" w:rsidP="003F424C">
      <w:pPr>
        <w:pStyle w:val="Bibliography"/>
        <w:rPr>
          <w:rFonts w:ascii="Aptos"/>
        </w:rPr>
      </w:pPr>
      <w:r w:rsidRPr="003F424C">
        <w:rPr>
          <w:rFonts w:ascii="Aptos"/>
        </w:rPr>
        <w:lastRenderedPageBreak/>
        <w:t>7.</w:t>
      </w:r>
      <w:r w:rsidRPr="003F424C">
        <w:rPr>
          <w:rFonts w:ascii="Aptos"/>
        </w:rPr>
        <w:tab/>
        <w:t xml:space="preserve">Bianchi, F. P. </w:t>
      </w:r>
      <w:r w:rsidRPr="003F424C">
        <w:rPr>
          <w:rFonts w:ascii="Aptos"/>
          <w:i/>
          <w:iCs/>
        </w:rPr>
        <w:t>et al.</w:t>
      </w:r>
      <w:r w:rsidRPr="003F424C">
        <w:rPr>
          <w:rFonts w:ascii="Aptos"/>
        </w:rPr>
        <w:t xml:space="preserve"> Long-term immunogenicity after measles vaccine vs. wild infection: an Italian retrospective cohort study. </w:t>
      </w:r>
      <w:r w:rsidRPr="003F424C">
        <w:rPr>
          <w:rFonts w:ascii="Aptos"/>
          <w:i/>
          <w:iCs/>
        </w:rPr>
        <w:t>Human Vaccines &amp; Immunotherapeutics</w:t>
      </w:r>
      <w:r w:rsidRPr="003F424C">
        <w:rPr>
          <w:rFonts w:ascii="Aptos"/>
        </w:rPr>
        <w:t xml:space="preserve"> </w:t>
      </w:r>
      <w:r w:rsidRPr="003F424C">
        <w:rPr>
          <w:rFonts w:ascii="Aptos"/>
          <w:b/>
          <w:bCs/>
        </w:rPr>
        <w:t>17</w:t>
      </w:r>
      <w:r w:rsidRPr="003F424C">
        <w:rPr>
          <w:rFonts w:ascii="Aptos"/>
        </w:rPr>
        <w:t>, 2078–2084 (2021).</w:t>
      </w:r>
    </w:p>
    <w:p w14:paraId="3BE0DC3F" w14:textId="77777777" w:rsidR="003F424C" w:rsidRPr="003F424C" w:rsidRDefault="003F424C" w:rsidP="003F424C">
      <w:pPr>
        <w:pStyle w:val="Bibliography"/>
        <w:rPr>
          <w:rFonts w:ascii="Aptos"/>
        </w:rPr>
      </w:pPr>
      <w:r w:rsidRPr="003F424C">
        <w:rPr>
          <w:rFonts w:ascii="Aptos"/>
        </w:rPr>
        <w:t>8.</w:t>
      </w:r>
      <w:r w:rsidRPr="003F424C">
        <w:rPr>
          <w:rFonts w:ascii="Aptos"/>
        </w:rPr>
        <w:tab/>
        <w:t xml:space="preserve">Immunization Basics | CDC - 01/09/19. </w:t>
      </w:r>
      <w:r w:rsidRPr="003F424C">
        <w:rPr>
          <w:rFonts w:ascii="Aptos"/>
          <w:i/>
          <w:iCs/>
        </w:rPr>
        <w:t>CDC - Immunization: The Basics - 01/09/19</w:t>
      </w:r>
      <w:r w:rsidRPr="003F424C">
        <w:rPr>
          <w:rFonts w:ascii="Aptos"/>
        </w:rPr>
        <w:t xml:space="preserve"> The Wayback Machine - https://web.archive.org/web/20190109174625/https://www.cdc.gov/vaccines/vac-gen/imz-basics.htm (2019).</w:t>
      </w:r>
    </w:p>
    <w:p w14:paraId="3C6E2DA9" w14:textId="77777777" w:rsidR="003F424C" w:rsidRPr="003F424C" w:rsidRDefault="003F424C" w:rsidP="003F424C">
      <w:pPr>
        <w:pStyle w:val="Bibliography"/>
        <w:rPr>
          <w:rFonts w:ascii="Aptos"/>
        </w:rPr>
      </w:pPr>
      <w:r w:rsidRPr="003F424C">
        <w:rPr>
          <w:rFonts w:ascii="Aptos"/>
        </w:rPr>
        <w:t>9.</w:t>
      </w:r>
      <w:r w:rsidRPr="003F424C">
        <w:rPr>
          <w:rFonts w:ascii="Aptos"/>
        </w:rPr>
        <w:tab/>
        <w:t>CDC - Vaccines: Vac-Gen/</w:t>
      </w:r>
      <w:proofErr w:type="spellStart"/>
      <w:r w:rsidRPr="003F424C">
        <w:rPr>
          <w:rFonts w:ascii="Aptos"/>
        </w:rPr>
        <w:t>Imz</w:t>
      </w:r>
      <w:proofErr w:type="spellEnd"/>
      <w:r w:rsidRPr="003F424C">
        <w:rPr>
          <w:rFonts w:ascii="Aptos"/>
        </w:rPr>
        <w:t xml:space="preserve"> Basics - 03/17/20. </w:t>
      </w:r>
      <w:r w:rsidRPr="003F424C">
        <w:rPr>
          <w:rFonts w:ascii="Aptos"/>
          <w:i/>
          <w:iCs/>
        </w:rPr>
        <w:t>CDC - Vaccines &amp; Immunizations: The basics</w:t>
      </w:r>
      <w:r w:rsidRPr="003F424C">
        <w:rPr>
          <w:rFonts w:ascii="Aptos"/>
        </w:rPr>
        <w:t xml:space="preserve"> https://web.archive.org/web/20200317214611/https://www.cdc.gov/vaccines/vac-gen/imz-basics.htm (2020).</w:t>
      </w:r>
    </w:p>
    <w:p w14:paraId="69DA7EE3" w14:textId="77777777" w:rsidR="003F424C" w:rsidRPr="003F424C" w:rsidRDefault="003F424C" w:rsidP="003F424C">
      <w:pPr>
        <w:pStyle w:val="Bibliography"/>
        <w:rPr>
          <w:rFonts w:ascii="Aptos"/>
        </w:rPr>
      </w:pPr>
      <w:r w:rsidRPr="003F424C">
        <w:rPr>
          <w:rFonts w:ascii="Aptos"/>
        </w:rPr>
        <w:t>10.</w:t>
      </w:r>
      <w:r w:rsidRPr="003F424C">
        <w:rPr>
          <w:rFonts w:ascii="Aptos"/>
        </w:rPr>
        <w:tab/>
        <w:t xml:space="preserve">Immunization Basics | Vaccines and Immunizations | CDC - 01/31/21. </w:t>
      </w:r>
      <w:r w:rsidRPr="003F424C">
        <w:rPr>
          <w:rFonts w:ascii="Aptos"/>
          <w:i/>
          <w:iCs/>
        </w:rPr>
        <w:t>Immunization Basics | Vaccines and Immunizations | CDC</w:t>
      </w:r>
      <w:r w:rsidRPr="003F424C">
        <w:rPr>
          <w:rFonts w:ascii="Aptos"/>
        </w:rPr>
        <w:t xml:space="preserve"> https://web.archive.org/web/20210131134831/https://www.cdc.gov/vaccines/vac-gen/imz-basics.htm (2021).</w:t>
      </w:r>
    </w:p>
    <w:p w14:paraId="7E42CA24" w14:textId="77777777" w:rsidR="003F424C" w:rsidRPr="003F424C" w:rsidRDefault="003F424C" w:rsidP="003F424C">
      <w:pPr>
        <w:pStyle w:val="Bibliography"/>
        <w:rPr>
          <w:rFonts w:ascii="Aptos"/>
        </w:rPr>
      </w:pPr>
      <w:r w:rsidRPr="003F424C">
        <w:rPr>
          <w:rFonts w:ascii="Aptos"/>
        </w:rPr>
        <w:t>11.</w:t>
      </w:r>
      <w:r w:rsidRPr="003F424C">
        <w:rPr>
          <w:rFonts w:ascii="Aptos"/>
        </w:rPr>
        <w:tab/>
        <w:t xml:space="preserve">CDC - Immunization: The Basics - 10/31/21. </w:t>
      </w:r>
      <w:r w:rsidRPr="003F424C">
        <w:rPr>
          <w:rFonts w:ascii="Aptos"/>
          <w:i/>
          <w:iCs/>
        </w:rPr>
        <w:t>CDC - Immunization: The Basics</w:t>
      </w:r>
      <w:r w:rsidRPr="003F424C">
        <w:rPr>
          <w:rFonts w:ascii="Aptos"/>
        </w:rPr>
        <w:t xml:space="preserve"> CDC_Vaccine_def_01_31_21 (2021).</w:t>
      </w:r>
    </w:p>
    <w:p w14:paraId="6351B4B2" w14:textId="77777777" w:rsidR="003F424C" w:rsidRPr="003F424C" w:rsidRDefault="003F424C" w:rsidP="003F424C">
      <w:pPr>
        <w:pStyle w:val="Bibliography"/>
        <w:rPr>
          <w:rFonts w:ascii="Aptos"/>
        </w:rPr>
      </w:pPr>
      <w:r w:rsidRPr="003F424C">
        <w:rPr>
          <w:rFonts w:ascii="Aptos"/>
        </w:rPr>
        <w:t>12.</w:t>
      </w:r>
      <w:r w:rsidRPr="003F424C">
        <w:rPr>
          <w:rFonts w:ascii="Aptos"/>
        </w:rPr>
        <w:tab/>
        <w:t xml:space="preserve">Brennan, O. C., Moore, J. E., Moore, P. J. A. &amp; Millar, B. C. Vaccination terminology: A revised glossary of key terms including lay person’s definitions. </w:t>
      </w:r>
      <w:r w:rsidRPr="003F424C">
        <w:rPr>
          <w:rFonts w:ascii="Aptos"/>
          <w:i/>
          <w:iCs/>
        </w:rPr>
        <w:t xml:space="preserve">Clinical Pharmacy </w:t>
      </w:r>
      <w:proofErr w:type="spellStart"/>
      <w:r w:rsidRPr="003F424C">
        <w:rPr>
          <w:rFonts w:ascii="Aptos"/>
          <w:i/>
          <w:iCs/>
        </w:rPr>
        <w:t>Therapeu</w:t>
      </w:r>
      <w:proofErr w:type="spellEnd"/>
      <w:r w:rsidRPr="003F424C">
        <w:rPr>
          <w:rFonts w:ascii="Aptos"/>
        </w:rPr>
        <w:t xml:space="preserve"> </w:t>
      </w:r>
      <w:r w:rsidRPr="003F424C">
        <w:rPr>
          <w:rFonts w:ascii="Aptos"/>
          <w:b/>
          <w:bCs/>
        </w:rPr>
        <w:t>47</w:t>
      </w:r>
      <w:r w:rsidRPr="003F424C">
        <w:rPr>
          <w:rFonts w:ascii="Aptos"/>
        </w:rPr>
        <w:t>, 369–382 (2022).</w:t>
      </w:r>
    </w:p>
    <w:p w14:paraId="508E06FA" w14:textId="77777777" w:rsidR="003F424C" w:rsidRPr="003F424C" w:rsidRDefault="003F424C" w:rsidP="003F424C">
      <w:pPr>
        <w:pStyle w:val="Bibliography"/>
        <w:rPr>
          <w:rFonts w:ascii="Aptos"/>
        </w:rPr>
      </w:pPr>
      <w:r w:rsidRPr="003F424C">
        <w:rPr>
          <w:rFonts w:ascii="Aptos"/>
        </w:rPr>
        <w:t>13.</w:t>
      </w:r>
      <w:r w:rsidRPr="003F424C">
        <w:rPr>
          <w:rFonts w:ascii="Aptos"/>
        </w:rPr>
        <w:tab/>
        <w:t xml:space="preserve">Taub, D. D. </w:t>
      </w:r>
      <w:r w:rsidRPr="003F424C">
        <w:rPr>
          <w:rFonts w:ascii="Aptos"/>
          <w:i/>
          <w:iCs/>
        </w:rPr>
        <w:t>et al.</w:t>
      </w:r>
      <w:r w:rsidRPr="003F424C">
        <w:rPr>
          <w:rFonts w:ascii="Aptos"/>
        </w:rPr>
        <w:t xml:space="preserve"> Immunity from Smallpox Vaccine Persists for Decades: A Longitudinal Study. </w:t>
      </w:r>
      <w:r w:rsidRPr="003F424C">
        <w:rPr>
          <w:rFonts w:ascii="Aptos"/>
          <w:i/>
          <w:iCs/>
        </w:rPr>
        <w:t>The American Journal of Medicine</w:t>
      </w:r>
      <w:r w:rsidRPr="003F424C">
        <w:rPr>
          <w:rFonts w:ascii="Aptos"/>
        </w:rPr>
        <w:t xml:space="preserve"> </w:t>
      </w:r>
      <w:r w:rsidRPr="003F424C">
        <w:rPr>
          <w:rFonts w:ascii="Aptos"/>
          <w:b/>
          <w:bCs/>
        </w:rPr>
        <w:t>121</w:t>
      </w:r>
      <w:r w:rsidRPr="003F424C">
        <w:rPr>
          <w:rFonts w:ascii="Aptos"/>
        </w:rPr>
        <w:t>, 1058–1064 (2008).</w:t>
      </w:r>
    </w:p>
    <w:p w14:paraId="73AE7763" w14:textId="77777777" w:rsidR="003F424C" w:rsidRPr="003F424C" w:rsidRDefault="003F424C" w:rsidP="003F424C">
      <w:pPr>
        <w:pStyle w:val="Bibliography"/>
        <w:rPr>
          <w:rFonts w:ascii="Aptos"/>
        </w:rPr>
      </w:pPr>
      <w:r w:rsidRPr="003F424C">
        <w:rPr>
          <w:rFonts w:ascii="Aptos"/>
        </w:rPr>
        <w:lastRenderedPageBreak/>
        <w:t>14.</w:t>
      </w:r>
      <w:r w:rsidRPr="003F424C">
        <w:rPr>
          <w:rFonts w:ascii="Aptos"/>
        </w:rPr>
        <w:tab/>
        <w:t xml:space="preserve">Wright, P. F. </w:t>
      </w:r>
      <w:r w:rsidRPr="003F424C">
        <w:rPr>
          <w:rFonts w:ascii="Aptos"/>
          <w:i/>
          <w:iCs/>
        </w:rPr>
        <w:t>et al.</w:t>
      </w:r>
      <w:r w:rsidRPr="003F424C">
        <w:rPr>
          <w:rFonts w:ascii="Aptos"/>
        </w:rPr>
        <w:t xml:space="preserve"> Vaccine-induced mucosal immunity to poliovirus: analysis of cohorts from an open-label, </w:t>
      </w:r>
      <w:proofErr w:type="spellStart"/>
      <w:r w:rsidRPr="003F424C">
        <w:rPr>
          <w:rFonts w:ascii="Aptos"/>
        </w:rPr>
        <w:t>randomised</w:t>
      </w:r>
      <w:proofErr w:type="spellEnd"/>
      <w:r w:rsidRPr="003F424C">
        <w:rPr>
          <w:rFonts w:ascii="Aptos"/>
        </w:rPr>
        <w:t xml:space="preserve"> controlled trial in Latin American infants. </w:t>
      </w:r>
      <w:r w:rsidRPr="003F424C">
        <w:rPr>
          <w:rFonts w:ascii="Aptos"/>
          <w:i/>
          <w:iCs/>
        </w:rPr>
        <w:t>The Lancet Infectious Diseases</w:t>
      </w:r>
      <w:r w:rsidRPr="003F424C">
        <w:rPr>
          <w:rFonts w:ascii="Aptos"/>
        </w:rPr>
        <w:t xml:space="preserve"> </w:t>
      </w:r>
      <w:r w:rsidRPr="003F424C">
        <w:rPr>
          <w:rFonts w:ascii="Aptos"/>
          <w:b/>
          <w:bCs/>
        </w:rPr>
        <w:t>16</w:t>
      </w:r>
      <w:r w:rsidRPr="003F424C">
        <w:rPr>
          <w:rFonts w:ascii="Aptos"/>
        </w:rPr>
        <w:t>, 1377–1384 (2016).</w:t>
      </w:r>
    </w:p>
    <w:p w14:paraId="0727179D" w14:textId="77777777" w:rsidR="003F424C" w:rsidRPr="003F424C" w:rsidRDefault="003F424C" w:rsidP="003F424C">
      <w:pPr>
        <w:pStyle w:val="Bibliography"/>
        <w:rPr>
          <w:rFonts w:ascii="Aptos"/>
        </w:rPr>
      </w:pPr>
      <w:r w:rsidRPr="003F424C">
        <w:rPr>
          <w:rFonts w:ascii="Aptos"/>
        </w:rPr>
        <w:t>15.</w:t>
      </w:r>
      <w:r w:rsidRPr="003F424C">
        <w:rPr>
          <w:rFonts w:ascii="Aptos"/>
        </w:rPr>
        <w:tab/>
        <w:t xml:space="preserve">Brickley, E. B. &amp; Wright, P. F. </w:t>
      </w:r>
      <w:proofErr w:type="spellStart"/>
      <w:r w:rsidRPr="003F424C">
        <w:rPr>
          <w:rFonts w:ascii="Aptos"/>
        </w:rPr>
        <w:t>Maximising</w:t>
      </w:r>
      <w:proofErr w:type="spellEnd"/>
      <w:r w:rsidRPr="003F424C">
        <w:rPr>
          <w:rFonts w:ascii="Aptos"/>
        </w:rPr>
        <w:t xml:space="preserve"> the impact of inactivated polio vaccines. </w:t>
      </w:r>
      <w:r w:rsidRPr="003F424C">
        <w:rPr>
          <w:rFonts w:ascii="Aptos"/>
          <w:i/>
          <w:iCs/>
        </w:rPr>
        <w:t>The Lancet Infectious Diseases</w:t>
      </w:r>
      <w:r w:rsidRPr="003F424C">
        <w:rPr>
          <w:rFonts w:ascii="Aptos"/>
        </w:rPr>
        <w:t xml:space="preserve"> </w:t>
      </w:r>
      <w:r w:rsidRPr="003F424C">
        <w:rPr>
          <w:rFonts w:ascii="Aptos"/>
          <w:b/>
          <w:bCs/>
        </w:rPr>
        <w:t>17</w:t>
      </w:r>
      <w:r w:rsidRPr="003F424C">
        <w:rPr>
          <w:rFonts w:ascii="Aptos"/>
        </w:rPr>
        <w:t>, 680–681 (2017).</w:t>
      </w:r>
    </w:p>
    <w:p w14:paraId="01C1A540" w14:textId="77777777" w:rsidR="003F424C" w:rsidRPr="003F424C" w:rsidRDefault="003F424C" w:rsidP="003F424C">
      <w:pPr>
        <w:pStyle w:val="Bibliography"/>
        <w:rPr>
          <w:rFonts w:ascii="Aptos"/>
        </w:rPr>
      </w:pPr>
      <w:r w:rsidRPr="003F424C">
        <w:rPr>
          <w:rFonts w:ascii="Aptos"/>
        </w:rPr>
        <w:t>16.</w:t>
      </w:r>
      <w:r w:rsidRPr="003F424C">
        <w:rPr>
          <w:rFonts w:ascii="Aptos"/>
        </w:rPr>
        <w:tab/>
      </w:r>
      <w:proofErr w:type="spellStart"/>
      <w:r w:rsidRPr="003F424C">
        <w:rPr>
          <w:rFonts w:ascii="Aptos"/>
        </w:rPr>
        <w:t>Franconeri</w:t>
      </w:r>
      <w:proofErr w:type="spellEnd"/>
      <w:r w:rsidRPr="003F424C">
        <w:rPr>
          <w:rFonts w:ascii="Aptos"/>
        </w:rPr>
        <w:t xml:space="preserve">, L., Antona, D., </w:t>
      </w:r>
      <w:proofErr w:type="spellStart"/>
      <w:r w:rsidRPr="003F424C">
        <w:rPr>
          <w:rFonts w:ascii="Aptos"/>
        </w:rPr>
        <w:t>Cauchemez</w:t>
      </w:r>
      <w:proofErr w:type="spellEnd"/>
      <w:r w:rsidRPr="003F424C">
        <w:rPr>
          <w:rFonts w:ascii="Aptos"/>
        </w:rPr>
        <w:t xml:space="preserve">, S., Lévy-Bruhl, D. &amp; </w:t>
      </w:r>
      <w:proofErr w:type="spellStart"/>
      <w:r w:rsidRPr="003F424C">
        <w:rPr>
          <w:rFonts w:ascii="Aptos"/>
        </w:rPr>
        <w:t>Paireau</w:t>
      </w:r>
      <w:proofErr w:type="spellEnd"/>
      <w:r w:rsidRPr="003F424C">
        <w:rPr>
          <w:rFonts w:ascii="Aptos"/>
        </w:rPr>
        <w:t xml:space="preserve">, J. Two-dose measles vaccine effectiveness remains high over time: A French observational study, 2017–2019. </w:t>
      </w:r>
      <w:r w:rsidRPr="003F424C">
        <w:rPr>
          <w:rFonts w:ascii="Aptos"/>
          <w:i/>
          <w:iCs/>
        </w:rPr>
        <w:t>Vaccine</w:t>
      </w:r>
      <w:r w:rsidRPr="003F424C">
        <w:rPr>
          <w:rFonts w:ascii="Aptos"/>
        </w:rPr>
        <w:t xml:space="preserve"> </w:t>
      </w:r>
      <w:r w:rsidRPr="003F424C">
        <w:rPr>
          <w:rFonts w:ascii="Aptos"/>
          <w:b/>
          <w:bCs/>
        </w:rPr>
        <w:t>41</w:t>
      </w:r>
      <w:r w:rsidRPr="003F424C">
        <w:rPr>
          <w:rFonts w:ascii="Aptos"/>
        </w:rPr>
        <w:t>, 5797–5804 (2023).</w:t>
      </w:r>
    </w:p>
    <w:p w14:paraId="7CED391A" w14:textId="77777777" w:rsidR="003F424C" w:rsidRPr="003F424C" w:rsidRDefault="003F424C" w:rsidP="003F424C">
      <w:pPr>
        <w:pStyle w:val="Bibliography"/>
        <w:rPr>
          <w:rFonts w:ascii="Aptos"/>
        </w:rPr>
      </w:pPr>
      <w:r w:rsidRPr="003F424C">
        <w:rPr>
          <w:rFonts w:ascii="Aptos"/>
        </w:rPr>
        <w:t>17.</w:t>
      </w:r>
      <w:r w:rsidRPr="003F424C">
        <w:rPr>
          <w:rFonts w:ascii="Aptos"/>
        </w:rPr>
        <w:tab/>
      </w:r>
      <w:proofErr w:type="spellStart"/>
      <w:r w:rsidRPr="003F424C">
        <w:rPr>
          <w:rFonts w:ascii="Aptos"/>
        </w:rPr>
        <w:t>Menegale</w:t>
      </w:r>
      <w:proofErr w:type="spellEnd"/>
      <w:r w:rsidRPr="003F424C">
        <w:rPr>
          <w:rFonts w:ascii="Aptos"/>
        </w:rPr>
        <w:t xml:space="preserve">, F. </w:t>
      </w:r>
      <w:r w:rsidRPr="003F424C">
        <w:rPr>
          <w:rFonts w:ascii="Aptos"/>
          <w:i/>
          <w:iCs/>
        </w:rPr>
        <w:t>et al.</w:t>
      </w:r>
      <w:r w:rsidRPr="003F424C">
        <w:rPr>
          <w:rFonts w:ascii="Aptos"/>
        </w:rPr>
        <w:t xml:space="preserve"> Evaluation of Waning of SARS-CoV-2 Vaccine–Induced Immunity: A Systematic Review and Meta-analysis. </w:t>
      </w:r>
      <w:r w:rsidRPr="003F424C">
        <w:rPr>
          <w:rFonts w:ascii="Aptos"/>
          <w:i/>
          <w:iCs/>
        </w:rPr>
        <w:t xml:space="preserve">JAMA </w:t>
      </w:r>
      <w:proofErr w:type="spellStart"/>
      <w:r w:rsidRPr="003F424C">
        <w:rPr>
          <w:rFonts w:ascii="Aptos"/>
          <w:i/>
          <w:iCs/>
        </w:rPr>
        <w:t>Netw</w:t>
      </w:r>
      <w:proofErr w:type="spellEnd"/>
      <w:r w:rsidRPr="003F424C">
        <w:rPr>
          <w:rFonts w:ascii="Aptos"/>
          <w:i/>
          <w:iCs/>
        </w:rPr>
        <w:t xml:space="preserve"> Open</w:t>
      </w:r>
      <w:r w:rsidRPr="003F424C">
        <w:rPr>
          <w:rFonts w:ascii="Aptos"/>
        </w:rPr>
        <w:t xml:space="preserve"> </w:t>
      </w:r>
      <w:r w:rsidRPr="003F424C">
        <w:rPr>
          <w:rFonts w:ascii="Aptos"/>
          <w:b/>
          <w:bCs/>
        </w:rPr>
        <w:t>6</w:t>
      </w:r>
      <w:r w:rsidRPr="003F424C">
        <w:rPr>
          <w:rFonts w:ascii="Aptos"/>
        </w:rPr>
        <w:t>, e2310650 (2023).</w:t>
      </w:r>
    </w:p>
    <w:p w14:paraId="33B484C6" w14:textId="77777777" w:rsidR="003F424C" w:rsidRPr="003F424C" w:rsidRDefault="003F424C" w:rsidP="003F424C">
      <w:pPr>
        <w:pStyle w:val="Bibliography"/>
        <w:rPr>
          <w:rFonts w:ascii="Aptos"/>
        </w:rPr>
      </w:pPr>
      <w:r w:rsidRPr="003F424C">
        <w:rPr>
          <w:rFonts w:ascii="Aptos"/>
        </w:rPr>
        <w:t>18.</w:t>
      </w:r>
      <w:r w:rsidRPr="003F424C">
        <w:rPr>
          <w:rFonts w:ascii="Aptos"/>
        </w:rPr>
        <w:tab/>
        <w:t xml:space="preserve">Arunachalam, A. B. Vaccines Induce Homeostatic Immunity, Generating Several Secondary Benefits. </w:t>
      </w:r>
      <w:r w:rsidRPr="003F424C">
        <w:rPr>
          <w:rFonts w:ascii="Aptos"/>
          <w:i/>
          <w:iCs/>
        </w:rPr>
        <w:t>Vaccines</w:t>
      </w:r>
      <w:r w:rsidRPr="003F424C">
        <w:rPr>
          <w:rFonts w:ascii="Aptos"/>
        </w:rPr>
        <w:t xml:space="preserve"> </w:t>
      </w:r>
      <w:r w:rsidRPr="003F424C">
        <w:rPr>
          <w:rFonts w:ascii="Aptos"/>
          <w:b/>
          <w:bCs/>
        </w:rPr>
        <w:t>12</w:t>
      </w:r>
      <w:r w:rsidRPr="003F424C">
        <w:rPr>
          <w:rFonts w:ascii="Aptos"/>
        </w:rPr>
        <w:t>, 396 (2024).</w:t>
      </w:r>
    </w:p>
    <w:p w14:paraId="2F5660BE" w14:textId="77777777" w:rsidR="003F424C" w:rsidRPr="003F424C" w:rsidRDefault="003F424C" w:rsidP="003F424C">
      <w:pPr>
        <w:pStyle w:val="Bibliography"/>
        <w:rPr>
          <w:rFonts w:ascii="Aptos"/>
        </w:rPr>
      </w:pPr>
      <w:r w:rsidRPr="003F424C">
        <w:rPr>
          <w:rFonts w:ascii="Aptos"/>
        </w:rPr>
        <w:t>19.</w:t>
      </w:r>
      <w:r w:rsidRPr="003F424C">
        <w:rPr>
          <w:rFonts w:ascii="Aptos"/>
        </w:rPr>
        <w:tab/>
        <w:t xml:space="preserve">FDA. </w:t>
      </w:r>
      <w:r w:rsidRPr="003F424C">
        <w:rPr>
          <w:rFonts w:ascii="Aptos"/>
          <w:i/>
          <w:iCs/>
        </w:rPr>
        <w:t>Vaccines and Related Biological Products Advisory Committee Meeting</w:t>
      </w:r>
      <w:r w:rsidRPr="003F424C">
        <w:rPr>
          <w:rFonts w:ascii="Aptos"/>
        </w:rPr>
        <w:t>. (2020).</w:t>
      </w:r>
    </w:p>
    <w:p w14:paraId="2D5F4E43" w14:textId="2BBD7212" w:rsidR="00C7302A" w:rsidRDefault="003F424C">
      <w:r>
        <w:fldChar w:fldCharType="end"/>
      </w:r>
    </w:p>
    <w:sectPr w:rsidR="00C73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87847"/>
    <w:multiLevelType w:val="multilevel"/>
    <w:tmpl w:val="33D26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5E55F7"/>
    <w:multiLevelType w:val="multilevel"/>
    <w:tmpl w:val="7BC4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4E2ACC"/>
    <w:multiLevelType w:val="multilevel"/>
    <w:tmpl w:val="36B4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236197">
    <w:abstractNumId w:val="2"/>
  </w:num>
  <w:num w:numId="2" w16cid:durableId="716709496">
    <w:abstractNumId w:val="1"/>
  </w:num>
  <w:num w:numId="3" w16cid:durableId="828981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A4"/>
    <w:rsid w:val="000E7EF4"/>
    <w:rsid w:val="001337A4"/>
    <w:rsid w:val="00202479"/>
    <w:rsid w:val="003714E9"/>
    <w:rsid w:val="003907BD"/>
    <w:rsid w:val="003A1BF5"/>
    <w:rsid w:val="003F424C"/>
    <w:rsid w:val="004E338F"/>
    <w:rsid w:val="00597C91"/>
    <w:rsid w:val="006B2C2F"/>
    <w:rsid w:val="00944613"/>
    <w:rsid w:val="00B262FB"/>
    <w:rsid w:val="00C7302A"/>
    <w:rsid w:val="00C77E9C"/>
    <w:rsid w:val="00CF15A7"/>
    <w:rsid w:val="00DA763E"/>
    <w:rsid w:val="00EA1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03EF"/>
  <w15:chartTrackingRefBased/>
  <w15:docId w15:val="{57ED062A-EAA9-A742-8F4A-CB7BCF71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7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7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37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37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7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7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7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7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7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7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7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37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37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7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7A4"/>
    <w:rPr>
      <w:rFonts w:eastAsiaTheme="majorEastAsia" w:cstheme="majorBidi"/>
      <w:color w:val="272727" w:themeColor="text1" w:themeTint="D8"/>
    </w:rPr>
  </w:style>
  <w:style w:type="paragraph" w:styleId="Title">
    <w:name w:val="Title"/>
    <w:basedOn w:val="Normal"/>
    <w:next w:val="Normal"/>
    <w:link w:val="TitleChar"/>
    <w:uiPriority w:val="10"/>
    <w:qFormat/>
    <w:rsid w:val="00133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7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7A4"/>
    <w:pPr>
      <w:spacing w:before="160"/>
      <w:jc w:val="center"/>
    </w:pPr>
    <w:rPr>
      <w:i/>
      <w:iCs/>
      <w:color w:val="404040" w:themeColor="text1" w:themeTint="BF"/>
    </w:rPr>
  </w:style>
  <w:style w:type="character" w:customStyle="1" w:styleId="QuoteChar">
    <w:name w:val="Quote Char"/>
    <w:basedOn w:val="DefaultParagraphFont"/>
    <w:link w:val="Quote"/>
    <w:uiPriority w:val="29"/>
    <w:rsid w:val="001337A4"/>
    <w:rPr>
      <w:i/>
      <w:iCs/>
      <w:color w:val="404040" w:themeColor="text1" w:themeTint="BF"/>
    </w:rPr>
  </w:style>
  <w:style w:type="paragraph" w:styleId="ListParagraph">
    <w:name w:val="List Paragraph"/>
    <w:basedOn w:val="Normal"/>
    <w:uiPriority w:val="34"/>
    <w:qFormat/>
    <w:rsid w:val="001337A4"/>
    <w:pPr>
      <w:ind w:left="720"/>
      <w:contextualSpacing/>
    </w:pPr>
  </w:style>
  <w:style w:type="character" w:styleId="IntenseEmphasis">
    <w:name w:val="Intense Emphasis"/>
    <w:basedOn w:val="DefaultParagraphFont"/>
    <w:uiPriority w:val="21"/>
    <w:qFormat/>
    <w:rsid w:val="001337A4"/>
    <w:rPr>
      <w:i/>
      <w:iCs/>
      <w:color w:val="0F4761" w:themeColor="accent1" w:themeShade="BF"/>
    </w:rPr>
  </w:style>
  <w:style w:type="paragraph" w:styleId="IntenseQuote">
    <w:name w:val="Intense Quote"/>
    <w:basedOn w:val="Normal"/>
    <w:next w:val="Normal"/>
    <w:link w:val="IntenseQuoteChar"/>
    <w:uiPriority w:val="30"/>
    <w:qFormat/>
    <w:rsid w:val="00133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7A4"/>
    <w:rPr>
      <w:i/>
      <w:iCs/>
      <w:color w:val="0F4761" w:themeColor="accent1" w:themeShade="BF"/>
    </w:rPr>
  </w:style>
  <w:style w:type="character" w:styleId="IntenseReference">
    <w:name w:val="Intense Reference"/>
    <w:basedOn w:val="DefaultParagraphFont"/>
    <w:uiPriority w:val="32"/>
    <w:qFormat/>
    <w:rsid w:val="001337A4"/>
    <w:rPr>
      <w:b/>
      <w:bCs/>
      <w:smallCaps/>
      <w:color w:val="0F4761" w:themeColor="accent1" w:themeShade="BF"/>
      <w:spacing w:val="5"/>
    </w:rPr>
  </w:style>
  <w:style w:type="paragraph" w:styleId="NormalWeb">
    <w:name w:val="Normal (Web)"/>
    <w:basedOn w:val="Normal"/>
    <w:uiPriority w:val="99"/>
    <w:semiHidden/>
    <w:unhideWhenUsed/>
    <w:rsid w:val="001337A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1337A4"/>
  </w:style>
  <w:style w:type="character" w:styleId="Strong">
    <w:name w:val="Strong"/>
    <w:basedOn w:val="DefaultParagraphFont"/>
    <w:uiPriority w:val="22"/>
    <w:qFormat/>
    <w:rsid w:val="001337A4"/>
    <w:rPr>
      <w:b/>
      <w:bCs/>
    </w:rPr>
  </w:style>
  <w:style w:type="character" w:styleId="Emphasis">
    <w:name w:val="Emphasis"/>
    <w:basedOn w:val="DefaultParagraphFont"/>
    <w:uiPriority w:val="20"/>
    <w:qFormat/>
    <w:rsid w:val="001337A4"/>
    <w:rPr>
      <w:i/>
      <w:iCs/>
    </w:rPr>
  </w:style>
  <w:style w:type="character" w:styleId="Hyperlink">
    <w:name w:val="Hyperlink"/>
    <w:basedOn w:val="DefaultParagraphFont"/>
    <w:uiPriority w:val="99"/>
    <w:semiHidden/>
    <w:unhideWhenUsed/>
    <w:rsid w:val="001337A4"/>
    <w:rPr>
      <w:color w:val="0000FF"/>
      <w:u w:val="single"/>
    </w:rPr>
  </w:style>
  <w:style w:type="paragraph" w:styleId="Bibliography">
    <w:name w:val="Bibliography"/>
    <w:basedOn w:val="Normal"/>
    <w:next w:val="Normal"/>
    <w:uiPriority w:val="37"/>
    <w:unhideWhenUsed/>
    <w:rsid w:val="003F424C"/>
    <w:pPr>
      <w:tabs>
        <w:tab w:val="left" w:pos="380"/>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7376</Words>
  <Characters>42048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Piskadlo</dc:creator>
  <cp:keywords/>
  <dc:description/>
  <cp:lastModifiedBy>Andrew Piskadlo</cp:lastModifiedBy>
  <cp:revision>5</cp:revision>
  <dcterms:created xsi:type="dcterms:W3CDTF">2025-07-31T15:14:00Z</dcterms:created>
  <dcterms:modified xsi:type="dcterms:W3CDTF">2025-07-31T15:17:00Z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id="pIdoHLuj"/&gt;&lt;style id="http://www.zotero.org/styles/nature" hasBibliography="1" bibliographyStyleHasBeenSet="1"/&gt;&lt;prefs&gt;&lt;pref name="fieldType" value="Field"/&gt;&lt;/prefs&gt;&lt;/data&gt;</vt:lpwstr>
  </property>
</Properties>
</file>