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26" w:rsidRDefault="00666926"/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52"/>
        <w:gridCol w:w="4433"/>
        <w:gridCol w:w="850"/>
        <w:gridCol w:w="440"/>
        <w:gridCol w:w="440"/>
        <w:gridCol w:w="440"/>
      </w:tblGrid>
      <w:tr w:rsidR="00666926" w:rsidRPr="00B62C2A">
        <w:trPr>
          <w:trHeight w:val="744"/>
        </w:trPr>
        <w:tc>
          <w:tcPr>
            <w:tcW w:w="8755" w:type="dxa"/>
            <w:gridSpan w:val="6"/>
            <w:vAlign w:val="center"/>
          </w:tcPr>
          <w:p w:rsidR="00666926" w:rsidRPr="00B62C2A" w:rsidRDefault="00666926" w:rsidP="00666926">
            <w:pPr>
              <w:spacing w:line="240" w:lineRule="auto"/>
              <w:jc w:val="center"/>
              <w:rPr>
                <w:b/>
                <w:sz w:val="24"/>
              </w:rPr>
            </w:pPr>
            <w:r w:rsidRPr="00B62C2A">
              <w:rPr>
                <w:b/>
                <w:sz w:val="24"/>
              </w:rPr>
              <w:t xml:space="preserve">PLAN DE GESTIÓN DE </w:t>
            </w:r>
            <w:r>
              <w:rPr>
                <w:b/>
                <w:sz w:val="24"/>
              </w:rPr>
              <w:t>REQUISITOS</w:t>
            </w:r>
          </w:p>
          <w:p w:rsidR="00666926" w:rsidRPr="00B62C2A" w:rsidRDefault="00666926" w:rsidP="00666926">
            <w:pPr>
              <w:spacing w:line="240" w:lineRule="auto"/>
              <w:jc w:val="center"/>
              <w:rPr>
                <w:b/>
                <w:sz w:val="24"/>
              </w:rPr>
            </w:pPr>
            <w:r w:rsidRPr="00B62C2A">
              <w:rPr>
                <w:b/>
                <w:sz w:val="20"/>
              </w:rPr>
              <w:t xml:space="preserve">versión </w:t>
            </w:r>
            <w:r w:rsidR="000903E7">
              <w:rPr>
                <w:b/>
                <w:sz w:val="20"/>
              </w:rPr>
              <w:t>1.0</w:t>
            </w:r>
          </w:p>
        </w:tc>
      </w:tr>
      <w:tr w:rsidR="00666926" w:rsidRPr="00B62C2A">
        <w:tc>
          <w:tcPr>
            <w:tcW w:w="2161" w:type="dxa"/>
          </w:tcPr>
          <w:p w:rsidR="00666926" w:rsidRPr="00B62C2A" w:rsidRDefault="00666926" w:rsidP="00666926">
            <w:pPr>
              <w:spacing w:line="240" w:lineRule="auto"/>
            </w:pPr>
            <w:r w:rsidRPr="00B62C2A">
              <w:t>PROYECTO</w:t>
            </w:r>
          </w:p>
        </w:tc>
        <w:tc>
          <w:tcPr>
            <w:tcW w:w="6594" w:type="dxa"/>
            <w:gridSpan w:val="5"/>
          </w:tcPr>
          <w:p w:rsidR="00666926" w:rsidRPr="00B62C2A" w:rsidRDefault="00A8091F" w:rsidP="00666926">
            <w:pPr>
              <w:spacing w:line="240" w:lineRule="auto"/>
            </w:pPr>
            <w:r>
              <w:t>SUMINISTRO E INSTALACION DE DOMOS GEODESICOS Y REEMPLAZO DE IMPERMIABILIZACION DEL DIQUE DE TANQUES 51 Y 52 – REFINERIA CONCHAN PETROPERU</w:t>
            </w:r>
          </w:p>
        </w:tc>
      </w:tr>
      <w:tr w:rsidR="00A8091F" w:rsidRPr="00B62C2A">
        <w:tc>
          <w:tcPr>
            <w:tcW w:w="2161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PREPARADO POR:</w:t>
            </w:r>
          </w:p>
        </w:tc>
        <w:tc>
          <w:tcPr>
            <w:tcW w:w="4468" w:type="dxa"/>
          </w:tcPr>
          <w:p w:rsidR="00A8091F" w:rsidRPr="00B62C2A" w:rsidRDefault="00A8091F" w:rsidP="00A8091F">
            <w:pPr>
              <w:spacing w:line="240" w:lineRule="auto"/>
            </w:pPr>
            <w:r>
              <w:t>Wilberto Soto Castro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10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6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  <w:tr w:rsidR="00A8091F" w:rsidRPr="00B62C2A">
        <w:tc>
          <w:tcPr>
            <w:tcW w:w="2161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REVISADO POR:</w:t>
            </w:r>
          </w:p>
        </w:tc>
        <w:tc>
          <w:tcPr>
            <w:tcW w:w="4468" w:type="dxa"/>
          </w:tcPr>
          <w:p w:rsidR="00A8091F" w:rsidRPr="00B62C2A" w:rsidRDefault="00EF40E4" w:rsidP="00A8091F">
            <w:pPr>
              <w:spacing w:line="240" w:lineRule="auto"/>
            </w:pPr>
            <w:r>
              <w:t>Director de Portafolios CIME</w:t>
            </w:r>
            <w:r w:rsidR="000903E7" w:rsidRPr="000903E7">
              <w:t xml:space="preserve"> Ingenieros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6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  <w:tr w:rsidR="00A8091F" w:rsidRPr="00B62C2A">
        <w:tc>
          <w:tcPr>
            <w:tcW w:w="2161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APROBADO POR:</w:t>
            </w:r>
          </w:p>
        </w:tc>
        <w:tc>
          <w:tcPr>
            <w:tcW w:w="4468" w:type="dxa"/>
          </w:tcPr>
          <w:p w:rsidR="00A8091F" w:rsidRPr="00B62C2A" w:rsidRDefault="000903E7" w:rsidP="00A8091F">
            <w:pPr>
              <w:spacing w:line="240" w:lineRule="auto"/>
            </w:pPr>
            <w:r w:rsidRPr="000903E7">
              <w:t>Gerente General de CIME Ingenieros</w:t>
            </w:r>
          </w:p>
        </w:tc>
        <w:tc>
          <w:tcPr>
            <w:tcW w:w="850" w:type="dxa"/>
          </w:tcPr>
          <w:p w:rsidR="00A8091F" w:rsidRPr="00B62C2A" w:rsidRDefault="00A8091F" w:rsidP="00A8091F">
            <w:pPr>
              <w:spacing w:line="240" w:lineRule="auto"/>
            </w:pPr>
            <w:r w:rsidRPr="00B62C2A">
              <w:t>FECHA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5" w:type="dxa"/>
          </w:tcPr>
          <w:p w:rsidR="00A8091F" w:rsidRPr="00E624A5" w:rsidRDefault="00A8091F" w:rsidP="00A8091F">
            <w:pPr>
              <w:spacing w:line="240" w:lineRule="auto"/>
            </w:pPr>
            <w:r>
              <w:t>11</w:t>
            </w:r>
          </w:p>
        </w:tc>
        <w:tc>
          <w:tcPr>
            <w:tcW w:w="426" w:type="dxa"/>
          </w:tcPr>
          <w:p w:rsidR="00A8091F" w:rsidRPr="00E624A5" w:rsidRDefault="00A8091F" w:rsidP="00A8091F">
            <w:pPr>
              <w:spacing w:line="240" w:lineRule="auto"/>
            </w:pPr>
            <w:r>
              <w:t>17</w:t>
            </w:r>
          </w:p>
        </w:tc>
      </w:tr>
    </w:tbl>
    <w:p w:rsidR="00666926" w:rsidRDefault="00666926"/>
    <w:p w:rsidR="00666926" w:rsidRDefault="00666926">
      <w:r>
        <w:t>RECOPILACIÓN DE REQUISITO</w:t>
      </w:r>
      <w:r w:rsidR="00D44C1A">
        <w:t>S</w:t>
      </w:r>
    </w:p>
    <w:p w:rsidR="00666926" w:rsidRPr="00C9455D" w:rsidRDefault="00666926">
      <w:pPr>
        <w:rPr>
          <w:sz w:val="16"/>
          <w:szCs w:val="16"/>
        </w:rPr>
      </w:pPr>
      <w:r w:rsidRPr="00C9455D">
        <w:rPr>
          <w:sz w:val="16"/>
          <w:szCs w:val="16"/>
        </w:rPr>
        <w:t xml:space="preserve">Cómo se va a realizar la recopilación de </w:t>
      </w:r>
      <w:r>
        <w:rPr>
          <w:sz w:val="16"/>
          <w:szCs w:val="16"/>
        </w:rPr>
        <w:t>requisitos, cómo se planifica la recopilación</w:t>
      </w:r>
    </w:p>
    <w:tbl>
      <w:tblPr>
        <w:tblW w:w="8741" w:type="dxa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41"/>
      </w:tblGrid>
      <w:tr w:rsidR="003E1D61" w:rsidTr="00D44C1A">
        <w:trPr>
          <w:trHeight w:val="1947"/>
        </w:trPr>
        <w:tc>
          <w:tcPr>
            <w:tcW w:w="8741" w:type="dxa"/>
          </w:tcPr>
          <w:p w:rsidR="003E1D61" w:rsidRPr="00F3326B" w:rsidRDefault="003E1D61" w:rsidP="00537FB5">
            <w:pPr>
              <w:numPr>
                <w:ilvl w:val="0"/>
                <w:numId w:val="7"/>
              </w:numPr>
              <w:spacing w:before="240"/>
              <w:rPr>
                <w:b/>
                <w:u w:val="single"/>
              </w:rPr>
            </w:pPr>
            <w:r w:rsidRPr="00F3326B">
              <w:rPr>
                <w:b/>
                <w:u w:val="single"/>
              </w:rPr>
              <w:t xml:space="preserve">Entradas para la </w:t>
            </w:r>
            <w:r w:rsidR="00D44C1A">
              <w:rPr>
                <w:b/>
                <w:u w:val="single"/>
              </w:rPr>
              <w:t>Recopilación de Requisitos</w:t>
            </w:r>
          </w:p>
          <w:p w:rsidR="003E1D61" w:rsidRDefault="003E1D61" w:rsidP="003E1D61">
            <w:pPr>
              <w:ind w:left="94"/>
            </w:pPr>
          </w:p>
          <w:p w:rsidR="003E1D61" w:rsidRDefault="004C161D" w:rsidP="00D44C1A">
            <w:pPr>
              <w:ind w:left="94"/>
              <w:jc w:val="both"/>
            </w:pPr>
            <w:r>
              <w:t xml:space="preserve">La recopilación de requisitos del proyecto se realizará </w:t>
            </w:r>
            <w:r w:rsidR="003E1D61">
              <w:t xml:space="preserve">teniendo en cuenta los siguientes documentos de entrada: 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 xml:space="preserve">Acta de </w:t>
            </w:r>
            <w:r w:rsidR="00D44C1A">
              <w:t>C</w:t>
            </w:r>
            <w:r>
              <w:t xml:space="preserve">onstitución del </w:t>
            </w:r>
            <w:r w:rsidR="00D44C1A">
              <w:t>P</w:t>
            </w:r>
            <w:r>
              <w:t>royecto</w:t>
            </w:r>
            <w:r w:rsidR="00D44C1A">
              <w:t>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Acuerdos</w:t>
            </w:r>
            <w:r w:rsidR="00D44C1A">
              <w:t>.</w:t>
            </w:r>
          </w:p>
          <w:p w:rsidR="00537FB5" w:rsidRDefault="00537FB5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Contrato de trabajo del proyecto y documentos adjuntos.</w:t>
            </w:r>
          </w:p>
          <w:p w:rsidR="00D44C1A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 xml:space="preserve">Bases </w:t>
            </w:r>
            <w:r w:rsidR="00D44C1A">
              <w:t>Integradas de Licitación.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E</w:t>
            </w:r>
            <w:r w:rsidR="00D44C1A">
              <w:t>xpediente Técnico (memorias descriptivas, hojas de datos, especificaciones técnicas) anexo al contrato.</w:t>
            </w:r>
          </w:p>
          <w:p w:rsidR="003E1D61" w:rsidRDefault="003E1D61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Plan de Gestión de la Calidad</w:t>
            </w:r>
            <w:r w:rsidR="00D44C1A">
              <w:t>.</w:t>
            </w:r>
          </w:p>
          <w:p w:rsidR="003E1D61" w:rsidRDefault="00D44C1A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C</w:t>
            </w:r>
            <w:r w:rsidR="003E1D61">
              <w:t>iclo de vida del Proyecto (para identificar en que momento del ciclo de vida estamos cumpliendo los requisitos del proyecto)</w:t>
            </w:r>
            <w:r>
              <w:t>.</w:t>
            </w:r>
          </w:p>
          <w:p w:rsidR="003E1D61" w:rsidRDefault="00D44C1A" w:rsidP="00D44C1A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Registro de L</w:t>
            </w:r>
            <w:r w:rsidR="003E1D61">
              <w:t xml:space="preserve">ecciones </w:t>
            </w:r>
            <w:r>
              <w:t>A</w:t>
            </w:r>
            <w:r w:rsidR="003E1D61">
              <w:t xml:space="preserve">prendidas </w:t>
            </w:r>
            <w:r>
              <w:t>de Cime Ingenieros S.R.L</w:t>
            </w:r>
            <w:r w:rsidR="003E1D61">
              <w:t>.</w:t>
            </w:r>
          </w:p>
          <w:p w:rsidR="003E1D61" w:rsidRDefault="003E1D61" w:rsidP="00537FB5">
            <w:pPr>
              <w:numPr>
                <w:ilvl w:val="0"/>
                <w:numId w:val="7"/>
              </w:numPr>
              <w:spacing w:before="240"/>
              <w:rPr>
                <w:b/>
                <w:u w:val="single"/>
              </w:rPr>
            </w:pPr>
            <w:r w:rsidRPr="00F3326B">
              <w:rPr>
                <w:b/>
                <w:u w:val="single"/>
              </w:rPr>
              <w:t>T</w:t>
            </w:r>
            <w:r w:rsidR="00537FB5">
              <w:rPr>
                <w:b/>
                <w:u w:val="single"/>
              </w:rPr>
              <w:t>é</w:t>
            </w:r>
            <w:r w:rsidRPr="00F3326B">
              <w:rPr>
                <w:b/>
                <w:u w:val="single"/>
              </w:rPr>
              <w:t xml:space="preserve">cnicas para </w:t>
            </w:r>
            <w:r w:rsidR="00537FB5">
              <w:rPr>
                <w:b/>
                <w:u w:val="single"/>
              </w:rPr>
              <w:t>Recopilación de Requisitos</w:t>
            </w:r>
          </w:p>
          <w:p w:rsidR="003E1D61" w:rsidRPr="00537FB5" w:rsidRDefault="003E1D61" w:rsidP="003E1D61">
            <w:pPr>
              <w:ind w:left="94"/>
            </w:pPr>
          </w:p>
          <w:p w:rsidR="00537FB5" w:rsidRDefault="00537FB5" w:rsidP="00537FB5">
            <w:pPr>
              <w:ind w:left="94"/>
              <w:jc w:val="both"/>
            </w:pPr>
            <w:r w:rsidRPr="00537FB5">
              <w:t>Se utilizarán las siguientes técnicas:</w:t>
            </w:r>
          </w:p>
          <w:p w:rsidR="003E1D61" w:rsidRPr="00537FB5" w:rsidRDefault="003E1D61" w:rsidP="00537FB5">
            <w:pPr>
              <w:numPr>
                <w:ilvl w:val="0"/>
                <w:numId w:val="8"/>
              </w:numPr>
              <w:spacing w:before="240"/>
              <w:jc w:val="both"/>
            </w:pPr>
            <w:r w:rsidRPr="00F3326B">
              <w:rPr>
                <w:b/>
                <w:u w:val="single"/>
              </w:rPr>
              <w:t>Juicio de Expertos:</w:t>
            </w:r>
          </w:p>
          <w:p w:rsidR="00537FB5" w:rsidRDefault="00537FB5" w:rsidP="00537FB5">
            <w:pPr>
              <w:ind w:left="725"/>
              <w:jc w:val="both"/>
            </w:pPr>
          </w:p>
          <w:p w:rsidR="003E1D61" w:rsidRDefault="003E1D61" w:rsidP="00537FB5">
            <w:pPr>
              <w:ind w:left="725"/>
              <w:jc w:val="both"/>
            </w:pPr>
            <w:r>
              <w:t xml:space="preserve">El Director de </w:t>
            </w:r>
            <w:r w:rsidR="00537FB5">
              <w:t>P</w:t>
            </w:r>
            <w:r>
              <w:t>royectos Wilberto Soto Castroevaluará los requisitos del proyecto indicados en la</w:t>
            </w:r>
            <w:r w:rsidR="00537FB5">
              <w:t>s bases integradas, en el expediente técnico del proyecto</w:t>
            </w:r>
            <w:r>
              <w:t xml:space="preserve"> y los documentos adjuntos al contrato, y con su experiencia previa en proyectos similares anteriores generará la lista de requisitos y los documentos de requisitos. </w:t>
            </w:r>
          </w:p>
          <w:p w:rsidR="003E1D61" w:rsidRDefault="003E1D61" w:rsidP="00537FB5">
            <w:pPr>
              <w:ind w:left="725"/>
              <w:jc w:val="both"/>
            </w:pPr>
            <w:r>
              <w:t xml:space="preserve">Se tomará en cuenta también las recomendaciones y los documentos del contratista encargado de elaborar la ingeniería del proyecto, así como de los ingenieros a cargo del </w:t>
            </w:r>
            <w:r w:rsidR="00F64772">
              <w:t>p</w:t>
            </w:r>
            <w:r>
              <w:t>royecto por parte de PETROPERU.</w:t>
            </w:r>
          </w:p>
          <w:p w:rsidR="003E1D61" w:rsidRPr="00F3326B" w:rsidRDefault="00F64772" w:rsidP="00F64772">
            <w:pPr>
              <w:numPr>
                <w:ilvl w:val="0"/>
                <w:numId w:val="8"/>
              </w:numPr>
              <w:spacing w:before="24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Entrevista</w:t>
            </w:r>
            <w:r w:rsidR="003E1D61" w:rsidRPr="00F3326B">
              <w:rPr>
                <w:b/>
                <w:u w:val="single"/>
              </w:rPr>
              <w:t>s</w:t>
            </w:r>
            <w:r>
              <w:rPr>
                <w:b/>
                <w:u w:val="single"/>
              </w:rPr>
              <w:t>:</w:t>
            </w:r>
          </w:p>
          <w:p w:rsidR="00F64772" w:rsidRDefault="00F64772" w:rsidP="00F64772">
            <w:pPr>
              <w:ind w:left="725"/>
              <w:jc w:val="both"/>
            </w:pPr>
          </w:p>
          <w:p w:rsidR="003E1D61" w:rsidRDefault="003E1D61" w:rsidP="00F64772">
            <w:pPr>
              <w:ind w:left="725"/>
              <w:jc w:val="both"/>
            </w:pPr>
            <w:r>
              <w:t xml:space="preserve">En las reuniones, previstas en el Plan de Comunicaciones del proyecto, el equipo de </w:t>
            </w:r>
            <w:r>
              <w:lastRenderedPageBreak/>
              <w:t>proyecto evaluará los requisitos de PETROPERU, así como los de CIME</w:t>
            </w:r>
            <w:r w:rsidR="00F64772">
              <w:t xml:space="preserve"> Ingenieros </w:t>
            </w:r>
            <w:r>
              <w:t>para la ejecución del proyecto.</w:t>
            </w:r>
          </w:p>
          <w:p w:rsidR="003E1D61" w:rsidRPr="00825BF2" w:rsidRDefault="003E1D61" w:rsidP="00F64772">
            <w:pPr>
              <w:numPr>
                <w:ilvl w:val="0"/>
                <w:numId w:val="8"/>
              </w:numPr>
              <w:spacing w:before="240"/>
              <w:jc w:val="both"/>
              <w:rPr>
                <w:b/>
                <w:u w:val="single"/>
              </w:rPr>
            </w:pPr>
            <w:r w:rsidRPr="00825BF2">
              <w:rPr>
                <w:b/>
                <w:u w:val="single"/>
              </w:rPr>
              <w:t>Análisis de Documentos</w:t>
            </w:r>
            <w:r w:rsidR="00F64772">
              <w:rPr>
                <w:b/>
                <w:u w:val="single"/>
              </w:rPr>
              <w:t>:</w:t>
            </w:r>
          </w:p>
          <w:p w:rsidR="00F64772" w:rsidRDefault="00F64772" w:rsidP="003E1D61"/>
          <w:p w:rsidR="003E1D61" w:rsidRDefault="003E1D61" w:rsidP="00F64772">
            <w:pPr>
              <w:ind w:left="725"/>
              <w:jc w:val="both"/>
            </w:pPr>
            <w:r>
              <w:t>Se educirán los requisitos del proyecto provenientes de: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El contrato con PETROPERU y todos sus documentos ANEXOS.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Las bases integradas de licitación ET IDT-FEED-118-M-HD-001 REV.</w:t>
            </w:r>
            <w:r w:rsidR="00F64772">
              <w:t>0 25.04.2017.</w:t>
            </w:r>
          </w:p>
          <w:p w:rsidR="00F64772" w:rsidRDefault="00F64772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Expediente técnico del proyecto.</w:t>
            </w:r>
          </w:p>
          <w:p w:rsidR="003E1D61" w:rsidRPr="00F64772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 w:rsidRPr="00F64772">
              <w:t>NORMA API 650 13 ed. 2015 y AWS D1.1 23rd ed. 2015.</w:t>
            </w:r>
          </w:p>
          <w:p w:rsidR="003E1D61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 w:rsidRPr="00F64772">
              <w:t xml:space="preserve">REGLAMENTO </w:t>
            </w:r>
            <w:r>
              <w:t>D.S. N° 043-2007-EM: Reglamento de Seguridad para las Actividades de Hidrocarburos.</w:t>
            </w:r>
          </w:p>
          <w:p w:rsidR="003E1D61" w:rsidRPr="00F64772" w:rsidRDefault="003E1D61" w:rsidP="00F64772">
            <w:pPr>
              <w:numPr>
                <w:ilvl w:val="0"/>
                <w:numId w:val="9"/>
              </w:numPr>
              <w:ind w:left="1150"/>
              <w:jc w:val="both"/>
            </w:pPr>
            <w:r>
              <w:t>Documentación y Normativa pertinente del área de Hidrocarburos y Construcción.</w:t>
            </w:r>
          </w:p>
          <w:p w:rsidR="003E1D61" w:rsidRPr="003E1D61" w:rsidRDefault="003E1D61" w:rsidP="003E1D61">
            <w:pPr>
              <w:ind w:left="94"/>
              <w:rPr>
                <w:b/>
                <w:u w:val="single"/>
                <w:lang w:val="es-ES"/>
              </w:rPr>
            </w:pPr>
          </w:p>
        </w:tc>
      </w:tr>
    </w:tbl>
    <w:p w:rsidR="00825BF2" w:rsidRDefault="00825BF2" w:rsidP="003E1D61"/>
    <w:p w:rsidR="00666926" w:rsidRDefault="00666926" w:rsidP="00666926">
      <w:r>
        <w:t>PRIORIZACIÓN DE REQUISITOS</w:t>
      </w:r>
    </w:p>
    <w:p w:rsidR="00666926" w:rsidRPr="00C9455D" w:rsidRDefault="00666926" w:rsidP="00666926">
      <w:pPr>
        <w:rPr>
          <w:sz w:val="16"/>
          <w:szCs w:val="16"/>
        </w:rPr>
      </w:pPr>
      <w:r w:rsidRPr="00C9455D">
        <w:rPr>
          <w:sz w:val="16"/>
          <w:szCs w:val="16"/>
        </w:rPr>
        <w:t xml:space="preserve">Cómo se va a realizar la </w:t>
      </w:r>
      <w:r>
        <w:rPr>
          <w:sz w:val="16"/>
          <w:szCs w:val="16"/>
        </w:rPr>
        <w:t>priorización</w:t>
      </w:r>
      <w:r w:rsidRPr="00C9455D">
        <w:rPr>
          <w:sz w:val="16"/>
          <w:szCs w:val="16"/>
        </w:rPr>
        <w:t xml:space="preserve"> de </w:t>
      </w:r>
      <w:r>
        <w:rPr>
          <w:sz w:val="16"/>
          <w:szCs w:val="16"/>
        </w:rPr>
        <w:t>requisitos</w:t>
      </w:r>
    </w:p>
    <w:tbl>
      <w:tblPr>
        <w:tblW w:w="8757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57"/>
      </w:tblGrid>
      <w:tr w:rsidR="000966D0" w:rsidTr="000966D0">
        <w:trPr>
          <w:trHeight w:val="703"/>
        </w:trPr>
        <w:tc>
          <w:tcPr>
            <w:tcW w:w="8757" w:type="dxa"/>
          </w:tcPr>
          <w:p w:rsidR="000966D0" w:rsidRDefault="000966D0" w:rsidP="000966D0">
            <w:pPr>
              <w:ind w:left="127"/>
            </w:pPr>
          </w:p>
          <w:p w:rsidR="000966D0" w:rsidRDefault="000966D0" w:rsidP="000966D0">
            <w:pPr>
              <w:ind w:left="94"/>
              <w:jc w:val="both"/>
            </w:pPr>
            <w:r>
              <w:t xml:space="preserve">Los requisitos se priorizarán como: </w:t>
            </w:r>
          </w:p>
          <w:p w:rsidR="000966D0" w:rsidRDefault="000966D0" w:rsidP="000966D0">
            <w:pPr>
              <w:ind w:left="127"/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868"/>
              <w:gridCol w:w="2871"/>
              <w:gridCol w:w="2868"/>
            </w:tblGrid>
            <w:tr w:rsidR="000966D0" w:rsidTr="00876503">
              <w:tc>
                <w:tcPr>
                  <w:tcW w:w="2907" w:type="dxa"/>
                  <w:shd w:val="clear" w:color="auto" w:fill="auto"/>
                </w:tcPr>
                <w:p w:rsidR="000966D0" w:rsidRPr="00C96404" w:rsidRDefault="000966D0" w:rsidP="000966D0">
                  <w:pPr>
                    <w:jc w:val="center"/>
                  </w:pPr>
                  <w:r w:rsidRPr="004075B0">
                    <w:rPr>
                      <w:highlight w:val="red"/>
                    </w:rPr>
                    <w:t>ALTO</w:t>
                  </w:r>
                </w:p>
              </w:tc>
              <w:tc>
                <w:tcPr>
                  <w:tcW w:w="2907" w:type="dxa"/>
                  <w:shd w:val="clear" w:color="auto" w:fill="auto"/>
                </w:tcPr>
                <w:p w:rsidR="000966D0" w:rsidRDefault="000966D0" w:rsidP="000966D0">
                  <w:pPr>
                    <w:jc w:val="center"/>
                  </w:pPr>
                  <w:r w:rsidRPr="004075B0">
                    <w:rPr>
                      <w:highlight w:val="yellow"/>
                    </w:rPr>
                    <w:t>MEDIO</w:t>
                  </w:r>
                </w:p>
              </w:tc>
              <w:tc>
                <w:tcPr>
                  <w:tcW w:w="2907" w:type="dxa"/>
                  <w:shd w:val="clear" w:color="auto" w:fill="auto"/>
                </w:tcPr>
                <w:p w:rsidR="000966D0" w:rsidRDefault="000966D0" w:rsidP="000966D0">
                  <w:pPr>
                    <w:jc w:val="center"/>
                  </w:pPr>
                  <w:r w:rsidRPr="004075B0">
                    <w:rPr>
                      <w:highlight w:val="lightGray"/>
                    </w:rPr>
                    <w:t>BAJO</w:t>
                  </w:r>
                </w:p>
              </w:tc>
            </w:tr>
          </w:tbl>
          <w:p w:rsidR="000966D0" w:rsidRPr="00F86AC5" w:rsidRDefault="000966D0" w:rsidP="000966D0">
            <w:pPr>
              <w:numPr>
                <w:ilvl w:val="0"/>
                <w:numId w:val="10"/>
              </w:numPr>
              <w:spacing w:before="240"/>
              <w:rPr>
                <w:b/>
                <w:u w:val="single"/>
              </w:rPr>
            </w:pPr>
            <w:r w:rsidRPr="00F86AC5">
              <w:rPr>
                <w:b/>
                <w:u w:val="single"/>
              </w:rPr>
              <w:t>ALTO</w:t>
            </w: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 w:rsidRPr="000966D0">
              <w:rPr>
                <w:b/>
              </w:rPr>
              <w:t xml:space="preserve">Requisitos del Cliente: </w:t>
            </w:r>
          </w:p>
          <w:p w:rsidR="000966D0" w:rsidRP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Disminuir las pérdidas de combustible volátil del 25% al 5% y aumentar capacidad de almacenamiento en 1538 B.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El diseño, fabricación y la instalación de los Techos Domos debe cumplir con normas internacionales que garanticen su fiabilidad.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impermeabilización del cubeto debe ser hecha de acuerdo con la especificación técnica de las bases e Ingeniería Básica Extendida.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Cumplimiento de las Bases Extendidas.</w:t>
            </w:r>
          </w:p>
          <w:p w:rsidR="000966D0" w:rsidRDefault="000966D0" w:rsidP="000966D0">
            <w:pPr>
              <w:ind w:left="720"/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 w:rsidRPr="00D75404">
              <w:rPr>
                <w:b/>
              </w:rPr>
              <w:t>Requisitos de CIME:</w:t>
            </w:r>
          </w:p>
          <w:p w:rsidR="000966D0" w:rsidRPr="00D75404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Cumplir con el presupuesto del proyecto que asciende a: S/ 2’944,046.78.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 xml:space="preserve">Cumplir con la fecha de ejecución del Proyecto de 180 días calendario, para que el 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Cumplir con el Alcance del Proyecto.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facturación del avance del proyecto se deberá realizar dentro de cada mes.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Aprobaciones de Ingenierías y documentación.</w:t>
            </w:r>
          </w:p>
          <w:p w:rsidR="000966D0" w:rsidRPr="000966D0" w:rsidRDefault="000966D0" w:rsidP="00005A93">
            <w:pPr>
              <w:numPr>
                <w:ilvl w:val="0"/>
                <w:numId w:val="10"/>
              </w:numPr>
              <w:spacing w:before="240"/>
              <w:rPr>
                <w:b/>
              </w:rPr>
            </w:pPr>
            <w:r w:rsidRPr="000966D0">
              <w:rPr>
                <w:b/>
                <w:u w:val="single"/>
              </w:rPr>
              <w:t>MEDIO</w:t>
            </w: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Requisitos </w:t>
            </w:r>
            <w:r w:rsidRPr="00D75404">
              <w:rPr>
                <w:b/>
              </w:rPr>
              <w:t xml:space="preserve">del Cliente: </w:t>
            </w:r>
          </w:p>
          <w:p w:rsidR="000966D0" w:rsidRPr="00D75404" w:rsidRDefault="000966D0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La ejecución de las labores debe considerar los riesgos asociados a la zona de trabajo (zona de combustibles).</w:t>
            </w:r>
          </w:p>
          <w:p w:rsidR="000966D0" w:rsidRDefault="000966D0" w:rsidP="000966D0">
            <w:pPr>
              <w:numPr>
                <w:ilvl w:val="0"/>
                <w:numId w:val="11"/>
              </w:numPr>
            </w:pPr>
            <w:r>
              <w:t>Cumplir con las normativas y parámetros de diseño y construcción civil.</w:t>
            </w:r>
          </w:p>
          <w:p w:rsidR="000966D0" w:rsidRDefault="000966D0" w:rsidP="000966D0"/>
          <w:p w:rsidR="000966D0" w:rsidRDefault="000966D0" w:rsidP="000966D0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 </w:t>
            </w:r>
            <w:r w:rsidRPr="00D75404">
              <w:rPr>
                <w:b/>
              </w:rPr>
              <w:t>de CIME</w:t>
            </w:r>
            <w:r w:rsidR="00911B3C">
              <w:rPr>
                <w:b/>
              </w:rPr>
              <w:t>:</w:t>
            </w:r>
          </w:p>
          <w:p w:rsidR="00911B3C" w:rsidRPr="00D75404" w:rsidRDefault="00911B3C" w:rsidP="000966D0">
            <w:pPr>
              <w:ind w:left="94"/>
              <w:jc w:val="both"/>
              <w:rPr>
                <w:b/>
              </w:rPr>
            </w:pPr>
          </w:p>
          <w:p w:rsidR="000966D0" w:rsidRDefault="000966D0" w:rsidP="00911B3C">
            <w:pPr>
              <w:numPr>
                <w:ilvl w:val="0"/>
                <w:numId w:val="11"/>
              </w:numPr>
            </w:pPr>
            <w:r>
              <w:t>Cumplir con las normas de seguridad de CIME INGENIEROS.</w:t>
            </w:r>
          </w:p>
          <w:p w:rsidR="000966D0" w:rsidRPr="00C96404" w:rsidRDefault="000966D0" w:rsidP="003227B9">
            <w:pPr>
              <w:numPr>
                <w:ilvl w:val="0"/>
                <w:numId w:val="10"/>
              </w:numPr>
              <w:spacing w:before="240"/>
              <w:rPr>
                <w:b/>
                <w:u w:val="single"/>
              </w:rPr>
            </w:pPr>
            <w:r w:rsidRPr="00C96404">
              <w:rPr>
                <w:b/>
                <w:u w:val="single"/>
              </w:rPr>
              <w:t>BAJO</w:t>
            </w:r>
          </w:p>
          <w:p w:rsidR="003227B9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ind w:left="94"/>
              <w:jc w:val="both"/>
              <w:rPr>
                <w:b/>
              </w:rPr>
            </w:pPr>
            <w:r>
              <w:rPr>
                <w:b/>
              </w:rPr>
              <w:t xml:space="preserve">Requisitos del </w:t>
            </w:r>
            <w:r w:rsidRPr="00D75404">
              <w:rPr>
                <w:b/>
              </w:rPr>
              <w:t xml:space="preserve">Cliente: </w:t>
            </w:r>
          </w:p>
          <w:p w:rsidR="003227B9" w:rsidRPr="00D75404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numPr>
                <w:ilvl w:val="0"/>
                <w:numId w:val="11"/>
              </w:numPr>
            </w:pPr>
            <w:r>
              <w:t>Requisitos de menores de forma del proyecto.</w:t>
            </w:r>
          </w:p>
          <w:p w:rsidR="003227B9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ind w:left="94"/>
              <w:jc w:val="both"/>
              <w:rPr>
                <w:b/>
              </w:rPr>
            </w:pPr>
            <w:r w:rsidRPr="00C96404">
              <w:rPr>
                <w:b/>
              </w:rPr>
              <w:t>Requisitos de CIME:</w:t>
            </w:r>
          </w:p>
          <w:p w:rsidR="003227B9" w:rsidRPr="00C96404" w:rsidRDefault="003227B9" w:rsidP="000966D0">
            <w:pPr>
              <w:rPr>
                <w:b/>
              </w:rPr>
            </w:pPr>
          </w:p>
          <w:p w:rsidR="000966D0" w:rsidRDefault="000966D0" w:rsidP="003227B9">
            <w:pPr>
              <w:numPr>
                <w:ilvl w:val="0"/>
                <w:numId w:val="11"/>
              </w:numPr>
            </w:pPr>
            <w:r>
              <w:t>Requisitos de menores de forma del proyecto.</w:t>
            </w:r>
          </w:p>
          <w:p w:rsidR="000966D0" w:rsidRDefault="000966D0" w:rsidP="000966D0">
            <w:pPr>
              <w:ind w:left="127"/>
            </w:pPr>
          </w:p>
        </w:tc>
      </w:tr>
    </w:tbl>
    <w:p w:rsidR="00666926" w:rsidRDefault="00666926" w:rsidP="00666926"/>
    <w:p w:rsidR="00666926" w:rsidRDefault="00666926" w:rsidP="00666926">
      <w:r>
        <w:t>TRAZABILIDAD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Definición de los atributos de los requisitos que serán empleados para confirmar su cumplimiento.</w:t>
      </w:r>
    </w:p>
    <w:tbl>
      <w:tblPr>
        <w:tblW w:w="8740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40"/>
      </w:tblGrid>
      <w:tr w:rsidR="003227B9" w:rsidTr="003227B9">
        <w:trPr>
          <w:trHeight w:val="1658"/>
        </w:trPr>
        <w:tc>
          <w:tcPr>
            <w:tcW w:w="8740" w:type="dxa"/>
          </w:tcPr>
          <w:p w:rsidR="003227B9" w:rsidRDefault="003227B9" w:rsidP="003227B9">
            <w:pPr>
              <w:ind w:left="127"/>
            </w:pPr>
          </w:p>
          <w:p w:rsidR="003227B9" w:rsidRDefault="003227B9" w:rsidP="003227B9">
            <w:pPr>
              <w:ind w:left="94"/>
              <w:jc w:val="both"/>
            </w:pPr>
            <w:r>
              <w:t>La trazabilidad de los requisitos se detallará dentro de La Matriz de Trazabilidad de Requisitos para el Proyecto: SUMINISTRO E INSTALACION DE DOMOS GEODESICOS Y REEMPLAZO DE IMPERMIABILIZACION DEL DIQUE DE TANQUES 51 Y 52 – REFINERIA CONCHAN PETROPERU, la cual tendrá las siguientes partes:</w:t>
            </w:r>
          </w:p>
          <w:p w:rsidR="003227B9" w:rsidRDefault="003227B9" w:rsidP="003227B9">
            <w:pPr>
              <w:ind w:left="94"/>
              <w:jc w:val="both"/>
            </w:pPr>
          </w:p>
          <w:p w:rsidR="00AF38AA" w:rsidRDefault="003227B9" w:rsidP="003227B9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AF38AA">
              <w:rPr>
                <w:b/>
              </w:rPr>
              <w:t>Identificador del Requisito:</w:t>
            </w:r>
            <w:r>
              <w:t xml:space="preserve"> es el </w:t>
            </w:r>
            <w:r w:rsidR="00AF38AA">
              <w:t>c</w:t>
            </w:r>
            <w:r>
              <w:t>ódigo de control del requisito.</w:t>
            </w:r>
          </w:p>
          <w:p w:rsidR="00AF38AA" w:rsidRDefault="00AF38AA" w:rsidP="00AF38AA">
            <w:pPr>
              <w:pStyle w:val="Prrafodelista"/>
              <w:ind w:left="550"/>
            </w:pPr>
          </w:p>
          <w:p w:rsidR="003227B9" w:rsidRDefault="003227B9" w:rsidP="003227B9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AF38AA">
              <w:rPr>
                <w:b/>
              </w:rPr>
              <w:t>Descripci</w:t>
            </w:r>
            <w:r w:rsidR="00AF38AA" w:rsidRPr="00AF38AA">
              <w:rPr>
                <w:b/>
              </w:rPr>
              <w:t>ó</w:t>
            </w:r>
            <w:r w:rsidRPr="00AF38AA">
              <w:rPr>
                <w:b/>
              </w:rPr>
              <w:t>n:</w:t>
            </w:r>
            <w:r>
              <w:t xml:space="preserve"> Es la descripción del requisito para el proyecto y estarán distribuidos de la siguiente manera: </w:t>
            </w:r>
          </w:p>
          <w:p w:rsidR="003227B9" w:rsidRDefault="003227B9" w:rsidP="003227B9"/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del Negocio.</w:t>
            </w:r>
          </w:p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 Dirección del Proyecto.</w:t>
            </w:r>
          </w:p>
          <w:p w:rsidR="003227B9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 Transición.</w:t>
            </w:r>
          </w:p>
          <w:p w:rsidR="00AF38AA" w:rsidRDefault="003227B9" w:rsidP="00AF38AA">
            <w:pPr>
              <w:numPr>
                <w:ilvl w:val="0"/>
                <w:numId w:val="18"/>
              </w:numPr>
              <w:jc w:val="both"/>
            </w:pPr>
            <w:r>
              <w:t>Requisitos del Producto.</w:t>
            </w:r>
          </w:p>
          <w:p w:rsidR="00AF38AA" w:rsidRDefault="003227B9" w:rsidP="00AF38AA">
            <w:pPr>
              <w:numPr>
                <w:ilvl w:val="1"/>
                <w:numId w:val="18"/>
              </w:numPr>
              <w:jc w:val="both"/>
            </w:pPr>
            <w:r>
              <w:t>Requisitos funcionales.</w:t>
            </w:r>
          </w:p>
          <w:p w:rsidR="003227B9" w:rsidRDefault="003227B9" w:rsidP="00AF38AA">
            <w:pPr>
              <w:numPr>
                <w:ilvl w:val="1"/>
                <w:numId w:val="18"/>
              </w:numPr>
              <w:jc w:val="both"/>
            </w:pPr>
            <w:r>
              <w:t>Requisitos no funcionales.</w:t>
            </w:r>
          </w:p>
          <w:p w:rsidR="003227B9" w:rsidRDefault="003227B9" w:rsidP="003227B9"/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Criterio de Aceptación:</w:t>
            </w:r>
            <w:r w:rsidRPr="00AF38AA">
              <w:t>Es el criterio bajo el cual será aprobado el requisito descrito, los cuales podrán ser:</w:t>
            </w:r>
          </w:p>
          <w:p w:rsidR="00AF38AA" w:rsidRPr="00AF38AA" w:rsidRDefault="00AF38AA" w:rsidP="00AF38AA">
            <w:pPr>
              <w:ind w:left="190"/>
              <w:rPr>
                <w:b/>
              </w:rPr>
            </w:pP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lastRenderedPageBreak/>
              <w:t>Contrato del Proyecto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Especificaciones Técnicas y/o Bases Extendidas anexas.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Normativas de Construcción</w:t>
            </w:r>
          </w:p>
          <w:p w:rsidR="003227B9" w:rsidRDefault="003227B9" w:rsidP="00AF38AA">
            <w:pPr>
              <w:numPr>
                <w:ilvl w:val="0"/>
                <w:numId w:val="19"/>
              </w:numPr>
              <w:ind w:left="692"/>
              <w:jc w:val="both"/>
            </w:pPr>
            <w:r>
              <w:t>Normativas propias de Hidrocarburos.</w:t>
            </w:r>
          </w:p>
          <w:p w:rsidR="003227B9" w:rsidRDefault="003227B9" w:rsidP="003227B9"/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Dueño:</w:t>
            </w:r>
            <w:r w:rsidRPr="00AF38AA">
              <w:t>Es el interesado clave asignado al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Prioridad:</w:t>
            </w:r>
            <w:r w:rsidRPr="00AF38AA">
              <w:t>E</w:t>
            </w:r>
            <w:r w:rsidR="00AF38AA">
              <w:t>s</w:t>
            </w:r>
            <w:r w:rsidRPr="00AF38AA">
              <w:t xml:space="preserve"> la Prioridad definida para el requisito (ALTO, </w:t>
            </w:r>
            <w:r w:rsidR="00542924" w:rsidRPr="00AF38AA">
              <w:t>MEDIO, BAJO</w:t>
            </w:r>
            <w:bookmarkStart w:id="0" w:name="_GoBack"/>
            <w:bookmarkEnd w:id="0"/>
            <w:r w:rsidRPr="00AF38AA">
              <w:t>)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AF38AA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Versión</w:t>
            </w:r>
            <w:r w:rsidR="003227B9" w:rsidRPr="007F09C1">
              <w:rPr>
                <w:b/>
              </w:rPr>
              <w:t>:</w:t>
            </w:r>
            <w:r w:rsidR="003227B9" w:rsidRPr="00AF38AA">
              <w:t>Es la versión de la modificación del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EDT Entregable que lo resuelve:</w:t>
            </w:r>
            <w:r w:rsidR="00AF38AA">
              <w:t>E</w:t>
            </w:r>
            <w:r w:rsidRPr="00AF38AA">
              <w:t>s el entregable que está asociado al cumplimiento del requisito, este entregable está definido en el EDT del proyecto.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7F09C1">
              <w:rPr>
                <w:b/>
              </w:rPr>
              <w:t>Rastreo:</w:t>
            </w:r>
            <w:r w:rsidRPr="00AF38AA">
              <w:t>Es en qué estado de cumplimiento se encuentra el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  <w:rPr>
                <w:b/>
              </w:rPr>
            </w:pPr>
            <w:r w:rsidRPr="007F09C1">
              <w:rPr>
                <w:b/>
              </w:rPr>
              <w:t>Estado Actual:</w:t>
            </w:r>
            <w:r w:rsidR="00AF38AA">
              <w:t>E</w:t>
            </w:r>
            <w:r w:rsidRPr="00AF38AA">
              <w:t>s el estado en el que se encuentra el requisito.</w:t>
            </w:r>
          </w:p>
          <w:p w:rsidR="003227B9" w:rsidRPr="00AF38AA" w:rsidRDefault="003227B9" w:rsidP="00AF38AA">
            <w:pPr>
              <w:pStyle w:val="Prrafodelista"/>
              <w:ind w:left="550"/>
              <w:rPr>
                <w:b/>
              </w:rPr>
            </w:pPr>
          </w:p>
          <w:p w:rsidR="003227B9" w:rsidRPr="00AF38AA" w:rsidRDefault="003227B9" w:rsidP="00AF38AA">
            <w:pPr>
              <w:pStyle w:val="Prrafodelista"/>
              <w:numPr>
                <w:ilvl w:val="0"/>
                <w:numId w:val="17"/>
              </w:numPr>
              <w:ind w:left="550"/>
            </w:pPr>
            <w:r w:rsidRPr="007F09C1">
              <w:rPr>
                <w:b/>
              </w:rPr>
              <w:t>Fecha de Verificación:</w:t>
            </w:r>
            <w:r w:rsidRPr="00AF38AA">
              <w:t>Fecha de revisión del requisito descrito.</w:t>
            </w:r>
          </w:p>
          <w:p w:rsidR="003227B9" w:rsidRDefault="003227B9" w:rsidP="003227B9">
            <w:pPr>
              <w:ind w:left="94"/>
              <w:jc w:val="both"/>
            </w:pPr>
          </w:p>
        </w:tc>
      </w:tr>
    </w:tbl>
    <w:p w:rsidR="00666926" w:rsidRDefault="00666926" w:rsidP="003227B9"/>
    <w:p w:rsidR="00666926" w:rsidRDefault="00666926" w:rsidP="00666926">
      <w:r>
        <w:t>GESTIÓN DE LA CONFIGURACIÓN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Descripción de cómo los requisitos pueden ser cambiados, incluyendo una evaluación del impacto y el proceso de aceptación</w:t>
      </w:r>
    </w:p>
    <w:tbl>
      <w:tblPr>
        <w:tblW w:w="8724" w:type="dxa"/>
        <w:tblInd w:w="-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24"/>
      </w:tblGrid>
      <w:tr w:rsidR="00AF38AA" w:rsidTr="00AF38AA">
        <w:trPr>
          <w:trHeight w:val="753"/>
        </w:trPr>
        <w:tc>
          <w:tcPr>
            <w:tcW w:w="8724" w:type="dxa"/>
          </w:tcPr>
          <w:p w:rsidR="00AF38AA" w:rsidRDefault="00AF38AA" w:rsidP="00AF38AA">
            <w:pPr>
              <w:ind w:left="43"/>
            </w:pPr>
          </w:p>
          <w:p w:rsidR="00AF38AA" w:rsidRDefault="00AF38AA" w:rsidP="00AF38AA">
            <w:pPr>
              <w:ind w:left="94"/>
              <w:jc w:val="both"/>
            </w:pPr>
            <w:r>
              <w:t>Los requisitos podrán ser cambiados de acuerdo con el Plan de Gestión de la Configuración</w:t>
            </w:r>
            <w:r w:rsidR="00FF15F7">
              <w:t>:</w:t>
            </w:r>
          </w:p>
          <w:p w:rsidR="00AF38AA" w:rsidRPr="00E70C78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>Para las Solicitudes de Cambios:</w:t>
            </w:r>
          </w:p>
          <w:p w:rsidR="00AF38AA" w:rsidRDefault="00AF38AA" w:rsidP="00AF38AA"/>
          <w:p w:rsidR="00AF38AA" w:rsidRDefault="00AF38AA" w:rsidP="00FF15F7">
            <w:pPr>
              <w:ind w:left="94"/>
              <w:jc w:val="both"/>
            </w:pPr>
            <w:r>
              <w:t>Los cambios serán trabajados con una solicitud de cambio, la cual al ser presentada seguirá los siguientes procedimientos, de acuerdo con quien la presente:</w:t>
            </w:r>
          </w:p>
          <w:p w:rsidR="00FF15F7" w:rsidRPr="00FF15F7" w:rsidRDefault="00AF38AA" w:rsidP="00FF15F7">
            <w:pPr>
              <w:numPr>
                <w:ilvl w:val="0"/>
                <w:numId w:val="21"/>
              </w:numPr>
              <w:spacing w:before="240"/>
              <w:jc w:val="both"/>
              <w:rPr>
                <w:b/>
                <w:u w:val="single"/>
              </w:rPr>
            </w:pPr>
            <w:r w:rsidRPr="00FF15F7">
              <w:rPr>
                <w:b/>
                <w:u w:val="single"/>
              </w:rPr>
              <w:t>Cuando la solicitud sea presentada por el cliente:</w:t>
            </w:r>
          </w:p>
          <w:p w:rsidR="00FF15F7" w:rsidRDefault="00FF15F7" w:rsidP="00FF15F7">
            <w:pPr>
              <w:ind w:left="1150"/>
              <w:jc w:val="both"/>
            </w:pP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Debe ser recibida formalmente a través del control documentario de CIME Ingenieros S.R.L. del proyecto.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será evaluada por el Gerente de proyecto junto con la Oficina Técnica de CIME Ingenieros S.R.L.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elaborará un informe donde se expliquen las razones de aceptación / rechazo del cambio y sus impactos en alcance, costo, tiempo, etc.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remitirá el informe al cliente para su aceptación.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el informe es aprobado por el cliente se procederá a la implementación del cambio y el registro respectivo.</w:t>
            </w:r>
          </w:p>
          <w:p w:rsidR="00FF15F7" w:rsidRDefault="00FF15F7" w:rsidP="00FF15F7">
            <w:pPr>
              <w:ind w:left="790"/>
              <w:jc w:val="both"/>
            </w:pPr>
          </w:p>
          <w:p w:rsidR="00AF38AA" w:rsidRPr="00FF15F7" w:rsidRDefault="00AF38AA" w:rsidP="00FF15F7">
            <w:pPr>
              <w:numPr>
                <w:ilvl w:val="0"/>
                <w:numId w:val="21"/>
              </w:numPr>
              <w:spacing w:before="240"/>
              <w:jc w:val="both"/>
              <w:rPr>
                <w:b/>
                <w:u w:val="single"/>
              </w:rPr>
            </w:pPr>
            <w:r w:rsidRPr="00FF15F7">
              <w:rPr>
                <w:b/>
                <w:u w:val="single"/>
              </w:rPr>
              <w:lastRenderedPageBreak/>
              <w:t>Cuando la solicitud sea presentada por CIME Ingenieros S.R.L.:</w:t>
            </w:r>
          </w:p>
          <w:p w:rsidR="00AF38AA" w:rsidRDefault="00AF38AA" w:rsidP="00AF38AA"/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de cambio será remitida a través de los formatos establecidos al Gerente de Proyecto de CIME Ingenieros S.R.L.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La solicitud será evaluada por el Gerente de proyecto junto con la Oficina Técnica de CIME Ingenieros S.R.L, quienes la aprobarán o rechazarán con una notificación.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la solicitud es aprobada se elaborará un informe para el cliente sustentando las razones del cambio y su impacto en alcance, tiempo, costo, etc.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Se remitirá el informe al cliente para su aceptación.</w:t>
            </w:r>
          </w:p>
          <w:p w:rsidR="00AF38AA" w:rsidRDefault="00AF38AA" w:rsidP="00FF15F7">
            <w:pPr>
              <w:numPr>
                <w:ilvl w:val="0"/>
                <w:numId w:val="9"/>
              </w:numPr>
              <w:ind w:left="1150"/>
              <w:jc w:val="both"/>
            </w:pPr>
            <w:r>
              <w:t>Si el informe es aprobado por el cliente se procederá a la implementación del cambio y el registro respectivo.</w:t>
            </w:r>
          </w:p>
          <w:p w:rsidR="00AF38AA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 xml:space="preserve">Para la </w:t>
            </w:r>
            <w:r>
              <w:rPr>
                <w:b/>
                <w:u w:val="single"/>
              </w:rPr>
              <w:t>Aceptación</w:t>
            </w:r>
            <w:r w:rsidRPr="00E70C78">
              <w:rPr>
                <w:b/>
                <w:u w:val="single"/>
              </w:rPr>
              <w:t xml:space="preserve"> de los Cambios: </w:t>
            </w:r>
          </w:p>
          <w:p w:rsidR="00AF38AA" w:rsidRPr="00FF15F7" w:rsidRDefault="00AF38AA" w:rsidP="00FF15F7">
            <w:pPr>
              <w:ind w:left="94"/>
              <w:jc w:val="both"/>
            </w:pP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Si el cambio es aceptado se procede a la implementación del cambio.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El Gerente del proyecto Wilberto Soto Castro efectuará una actualización de la gestión del cambio.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Todos los documentos actualizados deben ser versionados y fechados.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Se comunica al equipo del proyecto sobre la nueva planificación y la nueva versión del plan del proyecto.</w:t>
            </w:r>
          </w:p>
          <w:p w:rsidR="00AF38AA" w:rsidRDefault="00AF38AA" w:rsidP="00FF15F7">
            <w:pPr>
              <w:numPr>
                <w:ilvl w:val="0"/>
                <w:numId w:val="6"/>
              </w:numPr>
              <w:ind w:left="725" w:hanging="271"/>
              <w:jc w:val="both"/>
            </w:pPr>
            <w:r>
              <w:t>La Oficina Técnica de CIME Ingenieros S.R.L. realizará el monitoreo del cambio y reportará al Gerente de Proyecto y a la Gerencia General de CIME Ingenieros S.R.L. el resultado de las acciones y del cambio.</w:t>
            </w:r>
          </w:p>
          <w:p w:rsidR="00AF38AA" w:rsidRPr="00E70C78" w:rsidRDefault="00AF38AA" w:rsidP="00AF38AA">
            <w:pPr>
              <w:numPr>
                <w:ilvl w:val="0"/>
                <w:numId w:val="20"/>
              </w:numPr>
              <w:spacing w:before="240"/>
              <w:rPr>
                <w:b/>
                <w:u w:val="single"/>
              </w:rPr>
            </w:pPr>
            <w:r w:rsidRPr="00E70C78">
              <w:rPr>
                <w:b/>
                <w:u w:val="single"/>
              </w:rPr>
              <w:t>Para la integración a los Acuerdos con el Cliente</w:t>
            </w:r>
          </w:p>
          <w:p w:rsidR="00FF15F7" w:rsidRDefault="00FF15F7" w:rsidP="00AF38AA"/>
          <w:p w:rsidR="00AF38AA" w:rsidRDefault="00AF38AA" w:rsidP="00FF15F7">
            <w:pPr>
              <w:ind w:left="94"/>
              <w:jc w:val="both"/>
            </w:pPr>
            <w:r>
              <w:t>Los cambios serán adheridos al contrato a través de una adenda al contrato.</w:t>
            </w:r>
          </w:p>
          <w:p w:rsidR="00AF38AA" w:rsidRDefault="00AF38AA" w:rsidP="00AF38AA">
            <w:pPr>
              <w:ind w:left="94"/>
              <w:jc w:val="both"/>
            </w:pPr>
          </w:p>
        </w:tc>
      </w:tr>
    </w:tbl>
    <w:p w:rsidR="00E70C78" w:rsidRDefault="00E70C78" w:rsidP="00666926"/>
    <w:p w:rsidR="00666926" w:rsidRDefault="00666926" w:rsidP="00666926">
      <w:r>
        <w:t>VERIFICACIÓN DE REQUISITOS</w:t>
      </w:r>
    </w:p>
    <w:p w:rsidR="00666926" w:rsidRPr="00C9455D" w:rsidRDefault="00666926" w:rsidP="00666926">
      <w:pPr>
        <w:rPr>
          <w:sz w:val="16"/>
          <w:szCs w:val="16"/>
        </w:rPr>
      </w:pPr>
      <w:r>
        <w:rPr>
          <w:sz w:val="16"/>
          <w:szCs w:val="16"/>
        </w:rPr>
        <w:t>Métodos para verificar requisitos, incluyendo las métricas para su medición.</w:t>
      </w:r>
    </w:p>
    <w:tbl>
      <w:tblPr>
        <w:tblW w:w="8707" w:type="dxa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07"/>
      </w:tblGrid>
      <w:tr w:rsidR="00FF15F7" w:rsidTr="00FF15F7">
        <w:trPr>
          <w:trHeight w:val="1926"/>
        </w:trPr>
        <w:tc>
          <w:tcPr>
            <w:tcW w:w="8707" w:type="dxa"/>
          </w:tcPr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>Los requisitos serán validados teniendo en cuenta la Línea base del Alcance y los entregables verificados registrados en la EDT.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>La verificación será realizada a través de Inspecciones de los entregables verificados. Estas inspecciones deberán contemplar: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  <w:rPr>
                <w:b/>
              </w:rPr>
            </w:pPr>
            <w:r w:rsidRPr="00FF15F7">
              <w:rPr>
                <w:b/>
              </w:rPr>
              <w:t>Medición de valores deseados:</w:t>
            </w:r>
          </w:p>
          <w:p w:rsidR="00542924" w:rsidRPr="00FF15F7" w:rsidRDefault="00542924" w:rsidP="00FF15F7">
            <w:pPr>
              <w:ind w:left="94"/>
              <w:jc w:val="both"/>
              <w:rPr>
                <w:b/>
              </w:rPr>
            </w:pPr>
          </w:p>
          <w:p w:rsidR="00FF15F7" w:rsidRDefault="00FF15F7" w:rsidP="00FF15F7">
            <w:pPr>
              <w:ind w:left="94"/>
              <w:jc w:val="both"/>
            </w:pPr>
            <w:r>
              <w:t>Según la ingeniería entregada en cumplimiento de la Bases Extendidas del proyecto.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Pr="00542924" w:rsidRDefault="00FF15F7" w:rsidP="00FF15F7">
            <w:pPr>
              <w:ind w:left="94"/>
              <w:jc w:val="both"/>
              <w:rPr>
                <w:b/>
              </w:rPr>
            </w:pPr>
            <w:r w:rsidRPr="00542924">
              <w:rPr>
                <w:b/>
              </w:rPr>
              <w:t xml:space="preserve">Examinación de equipamiento e instalaciones: </w:t>
            </w:r>
          </w:p>
          <w:p w:rsidR="00542924" w:rsidRDefault="00542924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 xml:space="preserve">Revisión de las instalaciones </w:t>
            </w:r>
            <w:r w:rsidR="00542924">
              <w:t>de acuerdo con</w:t>
            </w:r>
            <w:r>
              <w:t xml:space="preserve"> las métricas de calidad y de normativas:</w:t>
            </w:r>
          </w:p>
          <w:p w:rsidR="00FF15F7" w:rsidRDefault="00FF15F7" w:rsidP="00542924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NORMA API 650 13 ed. 2015 y AWS D1.1 23rd ed. 2015.</w:t>
            </w:r>
          </w:p>
          <w:p w:rsidR="00FF15F7" w:rsidRDefault="00FF15F7" w:rsidP="00542924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REGLAMENTO D.S. N° 043-2007-EM: Reglamento de Seguridad para las Actividades de Hidrocarburos.</w:t>
            </w:r>
          </w:p>
          <w:p w:rsidR="00FF15F7" w:rsidRDefault="00FF15F7" w:rsidP="00542924">
            <w:pPr>
              <w:pStyle w:val="Prrafodelista"/>
              <w:numPr>
                <w:ilvl w:val="0"/>
                <w:numId w:val="28"/>
              </w:numPr>
              <w:jc w:val="both"/>
            </w:pPr>
            <w:r>
              <w:t>Norma NFPA para instalaciones de lucha contra incendios.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Pr="00542924" w:rsidRDefault="00FF15F7" w:rsidP="00FF15F7">
            <w:pPr>
              <w:ind w:left="94"/>
              <w:jc w:val="both"/>
              <w:rPr>
                <w:b/>
              </w:rPr>
            </w:pPr>
            <w:r w:rsidRPr="00542924">
              <w:rPr>
                <w:b/>
              </w:rPr>
              <w:t xml:space="preserve">Validación de cálculos: </w:t>
            </w:r>
          </w:p>
          <w:p w:rsidR="00542924" w:rsidRDefault="00542924" w:rsidP="00FF15F7">
            <w:pPr>
              <w:ind w:left="94"/>
              <w:jc w:val="both"/>
            </w:pPr>
          </w:p>
          <w:p w:rsidR="00FF15F7" w:rsidRDefault="00542924" w:rsidP="00FF15F7">
            <w:pPr>
              <w:ind w:left="94"/>
              <w:jc w:val="both"/>
            </w:pPr>
            <w:r>
              <w:t>De acuerdo con</w:t>
            </w:r>
            <w:r w:rsidR="00FF15F7">
              <w:t xml:space="preserve"> la memoria de cálculo y planos presentados en la ingeniería aprobada del proyecto. Los cálculos no deben presentar una variación mayor al +/- 5 % como límites de las especificaciones y las pruebas deberán ser presentadas en un diagrama de Control, tomando como límites estos valores, se deberá detectar una tendencia de valores trazados con respecto a cualquiera de estos límites. </w:t>
            </w:r>
          </w:p>
          <w:p w:rsidR="00FF15F7" w:rsidRDefault="00FF15F7" w:rsidP="00FF15F7">
            <w:pPr>
              <w:ind w:left="94"/>
              <w:jc w:val="both"/>
            </w:pPr>
          </w:p>
          <w:p w:rsidR="00FF15F7" w:rsidRDefault="00FF15F7" w:rsidP="00FF15F7">
            <w:pPr>
              <w:ind w:left="94"/>
              <w:jc w:val="both"/>
            </w:pPr>
            <w:r>
              <w:t xml:space="preserve">La verificación de los entregables deberá ser realizada por el Gerente de Proyecto de </w:t>
            </w:r>
            <w:r w:rsidR="00542924">
              <w:t>CIME Ingenieros S.R.L.,</w:t>
            </w:r>
            <w:r>
              <w:t xml:space="preserve"> en compañía del Equipo de Supervisión de PETROPERU</w:t>
            </w:r>
            <w:r w:rsidR="00542924">
              <w:t xml:space="preserve"> S.A.</w:t>
            </w:r>
            <w:r>
              <w:t xml:space="preserve"> para la firma de la documentación correspondiente a los entregables aceptados del proyecto</w:t>
            </w:r>
            <w:r w:rsidR="00542924">
              <w:t>.</w:t>
            </w:r>
          </w:p>
          <w:p w:rsidR="00542924" w:rsidRDefault="00542924" w:rsidP="00FF15F7">
            <w:pPr>
              <w:ind w:left="94"/>
              <w:jc w:val="both"/>
            </w:pPr>
          </w:p>
        </w:tc>
      </w:tr>
    </w:tbl>
    <w:p w:rsidR="00666926" w:rsidRDefault="00666926" w:rsidP="00542924"/>
    <w:sectPr w:rsidR="00666926" w:rsidSect="00666926">
      <w:headerReference w:type="default" r:id="rId7"/>
      <w:footerReference w:type="default" r:id="rId8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3B0" w:rsidRDefault="006B13B0" w:rsidP="00666926">
      <w:pPr>
        <w:spacing w:line="240" w:lineRule="auto"/>
      </w:pPr>
      <w:r>
        <w:separator/>
      </w:r>
    </w:p>
  </w:endnote>
  <w:endnote w:type="continuationSeparator" w:id="1">
    <w:p w:rsidR="006B13B0" w:rsidRDefault="006B13B0" w:rsidP="00666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926" w:rsidRPr="009925BC" w:rsidRDefault="00185208">
    <w:pPr>
      <w:pStyle w:val="Piedepgina"/>
      <w:rPr>
        <w:sz w:val="18"/>
      </w:rPr>
    </w:pPr>
    <w:r>
      <w:rPr>
        <w:sz w:val="18"/>
      </w:rPr>
      <w:t>MAD</w:t>
    </w:r>
    <w:r w:rsidR="00666926">
      <w:rPr>
        <w:sz w:val="18"/>
      </w:rPr>
      <w:t>P-</w:t>
    </w:r>
    <w:r w:rsidR="00666926" w:rsidRPr="009925BC">
      <w:rPr>
        <w:sz w:val="18"/>
      </w:rPr>
      <w:t>v</w:t>
    </w:r>
    <w:r w:rsidR="00666926">
      <w:rPr>
        <w:sz w:val="18"/>
      </w:rPr>
      <w:t>1103/eWI/rRY/aDE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3B0" w:rsidRDefault="006B13B0" w:rsidP="00666926">
      <w:pPr>
        <w:spacing w:line="240" w:lineRule="auto"/>
      </w:pPr>
      <w:r>
        <w:separator/>
      </w:r>
    </w:p>
  </w:footnote>
  <w:footnote w:type="continuationSeparator" w:id="1">
    <w:p w:rsidR="006B13B0" w:rsidRDefault="006B13B0" w:rsidP="006669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322"/>
      <w:gridCol w:w="4323"/>
    </w:tblGrid>
    <w:tr w:rsidR="00666926" w:rsidRPr="00B62C2A">
      <w:tc>
        <w:tcPr>
          <w:tcW w:w="4322" w:type="dxa"/>
        </w:tcPr>
        <w:p w:rsidR="00666926" w:rsidRPr="00B62C2A" w:rsidRDefault="003227B9" w:rsidP="00666926">
          <w:pPr>
            <w:pStyle w:val="Encabezado"/>
            <w:rPr>
              <w:sz w:val="18"/>
            </w:rPr>
          </w:pPr>
          <w:r w:rsidRPr="00F91F07">
            <w:rPr>
              <w:noProof/>
              <w:sz w:val="18"/>
              <w:lang w:eastAsia="es-PE"/>
            </w:rPr>
            <w:drawing>
              <wp:inline distT="0" distB="0" distL="0" distR="0">
                <wp:extent cx="467995" cy="467995"/>
                <wp:effectExtent l="0" t="0" r="0" b="0"/>
                <wp:docPr id="1" name="Picture 2" descr="UPC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PC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99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3" w:type="dxa"/>
        </w:tcPr>
        <w:p w:rsidR="00666926" w:rsidRPr="00B62C2A" w:rsidRDefault="00185208" w:rsidP="00666926">
          <w:pPr>
            <w:pStyle w:val="Encabezado"/>
            <w:jc w:val="right"/>
            <w:rPr>
              <w:sz w:val="18"/>
            </w:rPr>
          </w:pPr>
          <w:r>
            <w:rPr>
              <w:sz w:val="18"/>
            </w:rPr>
            <w:t>Maestría en Administración y</w:t>
          </w:r>
          <w:r w:rsidR="00666926" w:rsidRPr="00B62C2A">
            <w:rPr>
              <w:sz w:val="18"/>
            </w:rPr>
            <w:t xml:space="preserve"> Dirección de Proyectos</w:t>
          </w:r>
        </w:p>
        <w:p w:rsidR="00666926" w:rsidRPr="00B62C2A" w:rsidRDefault="00666926" w:rsidP="00666926">
          <w:pPr>
            <w:pStyle w:val="Encabezado"/>
            <w:jc w:val="right"/>
            <w:rPr>
              <w:sz w:val="18"/>
            </w:rPr>
          </w:pPr>
          <w:r w:rsidRPr="00B62C2A">
            <w:rPr>
              <w:sz w:val="18"/>
            </w:rPr>
            <w:t>Taller de Gerencia de Proyectos</w:t>
          </w:r>
        </w:p>
        <w:p w:rsidR="00666926" w:rsidRPr="00B62C2A" w:rsidRDefault="00666926" w:rsidP="00666926">
          <w:pPr>
            <w:pStyle w:val="Encabezado"/>
            <w:jc w:val="right"/>
            <w:rPr>
              <w:sz w:val="18"/>
            </w:rPr>
          </w:pPr>
          <w:r w:rsidRPr="00B62C2A">
            <w:rPr>
              <w:sz w:val="18"/>
            </w:rPr>
            <w:t>Gestión de</w:t>
          </w:r>
          <w:r>
            <w:rPr>
              <w:sz w:val="18"/>
            </w:rPr>
            <w:t>lAlcance</w:t>
          </w:r>
        </w:p>
      </w:tc>
    </w:tr>
  </w:tbl>
  <w:p w:rsidR="00666926" w:rsidRPr="008B6258" w:rsidRDefault="00666926" w:rsidP="0066692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C6F"/>
    <w:multiLevelType w:val="hybridMultilevel"/>
    <w:tmpl w:val="5ADAC6F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66275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2">
    <w:nsid w:val="03EA5C48"/>
    <w:multiLevelType w:val="hybridMultilevel"/>
    <w:tmpl w:val="DD50E868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5F24456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4">
    <w:nsid w:val="0C66551D"/>
    <w:multiLevelType w:val="hybridMultilevel"/>
    <w:tmpl w:val="EC2A998C"/>
    <w:lvl w:ilvl="0" w:tplc="CB144CFC">
      <w:start w:val="1"/>
      <w:numFmt w:val="decimal"/>
      <w:lvlText w:val="%1."/>
      <w:lvlJc w:val="left"/>
      <w:pPr>
        <w:ind w:left="45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74" w:hanging="360"/>
      </w:pPr>
    </w:lvl>
    <w:lvl w:ilvl="2" w:tplc="280A001B" w:tentative="1">
      <w:start w:val="1"/>
      <w:numFmt w:val="lowerRoman"/>
      <w:lvlText w:val="%3."/>
      <w:lvlJc w:val="right"/>
      <w:pPr>
        <w:ind w:left="1894" w:hanging="180"/>
      </w:pPr>
    </w:lvl>
    <w:lvl w:ilvl="3" w:tplc="280A000F" w:tentative="1">
      <w:start w:val="1"/>
      <w:numFmt w:val="decimal"/>
      <w:lvlText w:val="%4."/>
      <w:lvlJc w:val="left"/>
      <w:pPr>
        <w:ind w:left="2614" w:hanging="360"/>
      </w:pPr>
    </w:lvl>
    <w:lvl w:ilvl="4" w:tplc="280A0019" w:tentative="1">
      <w:start w:val="1"/>
      <w:numFmt w:val="lowerLetter"/>
      <w:lvlText w:val="%5."/>
      <w:lvlJc w:val="left"/>
      <w:pPr>
        <w:ind w:left="3334" w:hanging="360"/>
      </w:pPr>
    </w:lvl>
    <w:lvl w:ilvl="5" w:tplc="280A001B" w:tentative="1">
      <w:start w:val="1"/>
      <w:numFmt w:val="lowerRoman"/>
      <w:lvlText w:val="%6."/>
      <w:lvlJc w:val="right"/>
      <w:pPr>
        <w:ind w:left="4054" w:hanging="180"/>
      </w:pPr>
    </w:lvl>
    <w:lvl w:ilvl="6" w:tplc="280A000F" w:tentative="1">
      <w:start w:val="1"/>
      <w:numFmt w:val="decimal"/>
      <w:lvlText w:val="%7."/>
      <w:lvlJc w:val="left"/>
      <w:pPr>
        <w:ind w:left="4774" w:hanging="360"/>
      </w:pPr>
    </w:lvl>
    <w:lvl w:ilvl="7" w:tplc="280A0019" w:tentative="1">
      <w:start w:val="1"/>
      <w:numFmt w:val="lowerLetter"/>
      <w:lvlText w:val="%8."/>
      <w:lvlJc w:val="left"/>
      <w:pPr>
        <w:ind w:left="5494" w:hanging="360"/>
      </w:pPr>
    </w:lvl>
    <w:lvl w:ilvl="8" w:tplc="280A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">
    <w:nsid w:val="0F5A1300"/>
    <w:multiLevelType w:val="hybridMultilevel"/>
    <w:tmpl w:val="AD9254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44ED7"/>
    <w:multiLevelType w:val="hybridMultilevel"/>
    <w:tmpl w:val="91DE5F52"/>
    <w:lvl w:ilvl="0" w:tplc="280A0015">
      <w:start w:val="1"/>
      <w:numFmt w:val="upperLetter"/>
      <w:lvlText w:val="%1."/>
      <w:lvlJc w:val="left"/>
      <w:pPr>
        <w:ind w:left="814" w:hanging="360"/>
      </w:pPr>
    </w:lvl>
    <w:lvl w:ilvl="1" w:tplc="280A0019" w:tentative="1">
      <w:start w:val="1"/>
      <w:numFmt w:val="lowerLetter"/>
      <w:lvlText w:val="%2."/>
      <w:lvlJc w:val="left"/>
      <w:pPr>
        <w:ind w:left="1534" w:hanging="360"/>
      </w:p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>
    <w:nsid w:val="1A8A594F"/>
    <w:multiLevelType w:val="hybridMultilevel"/>
    <w:tmpl w:val="CE5400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5762679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589056A"/>
    <w:multiLevelType w:val="hybridMultilevel"/>
    <w:tmpl w:val="695E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95873"/>
    <w:multiLevelType w:val="hybridMultilevel"/>
    <w:tmpl w:val="F564B3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8065B"/>
    <w:multiLevelType w:val="hybridMultilevel"/>
    <w:tmpl w:val="ED2AF2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94C1D"/>
    <w:multiLevelType w:val="hybridMultilevel"/>
    <w:tmpl w:val="60A2B682"/>
    <w:lvl w:ilvl="0" w:tplc="280A0015">
      <w:start w:val="1"/>
      <w:numFmt w:val="upperLetter"/>
      <w:lvlText w:val="%1."/>
      <w:lvlJc w:val="left"/>
      <w:pPr>
        <w:ind w:left="814" w:hanging="360"/>
      </w:pPr>
    </w:lvl>
    <w:lvl w:ilvl="1" w:tplc="1A70B124">
      <w:start w:val="4"/>
      <w:numFmt w:val="bullet"/>
      <w:lvlText w:val="•"/>
      <w:lvlJc w:val="left"/>
      <w:pPr>
        <w:ind w:left="1879" w:hanging="705"/>
      </w:pPr>
      <w:rPr>
        <w:rFonts w:ascii="Calibri" w:eastAsia="MS Mincho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3EB911B8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F67269D"/>
    <w:multiLevelType w:val="hybridMultilevel"/>
    <w:tmpl w:val="F462DF54"/>
    <w:lvl w:ilvl="0" w:tplc="198A192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69B22">
      <w:start w:val="109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8B37C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7E7B9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2C907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E05290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1A5E1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C2BC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0655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05186E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21609F9"/>
    <w:multiLevelType w:val="hybridMultilevel"/>
    <w:tmpl w:val="70D89D0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>
    <w:nsid w:val="4344524D"/>
    <w:multiLevelType w:val="hybridMultilevel"/>
    <w:tmpl w:val="543CD522"/>
    <w:lvl w:ilvl="0" w:tplc="2C2E270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95833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6787411"/>
    <w:multiLevelType w:val="hybridMultilevel"/>
    <w:tmpl w:val="FD1A82EC"/>
    <w:lvl w:ilvl="0" w:tplc="280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0">
    <w:nsid w:val="59E742F6"/>
    <w:multiLevelType w:val="hybridMultilevel"/>
    <w:tmpl w:val="5986E3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345A2"/>
    <w:multiLevelType w:val="hybridMultilevel"/>
    <w:tmpl w:val="5BC629CE"/>
    <w:lvl w:ilvl="0" w:tplc="280A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2">
    <w:nsid w:val="6450230C"/>
    <w:multiLevelType w:val="hybridMultilevel"/>
    <w:tmpl w:val="9016FDA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6A0F24"/>
    <w:multiLevelType w:val="hybridMultilevel"/>
    <w:tmpl w:val="042C5EC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4">
    <w:nsid w:val="64CE109C"/>
    <w:multiLevelType w:val="hybridMultilevel"/>
    <w:tmpl w:val="EA30FB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D164D"/>
    <w:multiLevelType w:val="hybridMultilevel"/>
    <w:tmpl w:val="F2E4DA0C"/>
    <w:lvl w:ilvl="0" w:tplc="BDC4A308">
      <w:start w:val="4"/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30316"/>
    <w:multiLevelType w:val="hybridMultilevel"/>
    <w:tmpl w:val="46883D82"/>
    <w:lvl w:ilvl="0" w:tplc="2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7">
    <w:nsid w:val="7A887E52"/>
    <w:multiLevelType w:val="multilevel"/>
    <w:tmpl w:val="6C9E88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7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21"/>
  </w:num>
  <w:num w:numId="10">
    <w:abstractNumId w:val="4"/>
  </w:num>
  <w:num w:numId="11">
    <w:abstractNumId w:val="5"/>
  </w:num>
  <w:num w:numId="12">
    <w:abstractNumId w:val="18"/>
  </w:num>
  <w:num w:numId="13">
    <w:abstractNumId w:val="22"/>
  </w:num>
  <w:num w:numId="14">
    <w:abstractNumId w:val="13"/>
  </w:num>
  <w:num w:numId="15">
    <w:abstractNumId w:val="8"/>
  </w:num>
  <w:num w:numId="16">
    <w:abstractNumId w:val="20"/>
  </w:num>
  <w:num w:numId="17">
    <w:abstractNumId w:val="11"/>
  </w:num>
  <w:num w:numId="18">
    <w:abstractNumId w:val="0"/>
  </w:num>
  <w:num w:numId="19">
    <w:abstractNumId w:val="15"/>
  </w:num>
  <w:num w:numId="20">
    <w:abstractNumId w:val="1"/>
  </w:num>
  <w:num w:numId="21">
    <w:abstractNumId w:val="12"/>
  </w:num>
  <w:num w:numId="22">
    <w:abstractNumId w:val="27"/>
  </w:num>
  <w:num w:numId="23">
    <w:abstractNumId w:val="25"/>
  </w:num>
  <w:num w:numId="24">
    <w:abstractNumId w:val="24"/>
  </w:num>
  <w:num w:numId="25">
    <w:abstractNumId w:val="23"/>
  </w:num>
  <w:num w:numId="26">
    <w:abstractNumId w:val="19"/>
  </w:num>
  <w:num w:numId="27">
    <w:abstractNumId w:val="26"/>
  </w:num>
  <w:num w:numId="2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B6258"/>
    <w:rsid w:val="0004262D"/>
    <w:rsid w:val="000903E7"/>
    <w:rsid w:val="000966D0"/>
    <w:rsid w:val="000F43FC"/>
    <w:rsid w:val="00112E7B"/>
    <w:rsid w:val="0012478F"/>
    <w:rsid w:val="001554AB"/>
    <w:rsid w:val="00185208"/>
    <w:rsid w:val="001F2A4E"/>
    <w:rsid w:val="002000B9"/>
    <w:rsid w:val="003221D3"/>
    <w:rsid w:val="003227B9"/>
    <w:rsid w:val="003E1D61"/>
    <w:rsid w:val="004075B0"/>
    <w:rsid w:val="00447D97"/>
    <w:rsid w:val="004C161D"/>
    <w:rsid w:val="004F76B2"/>
    <w:rsid w:val="00537FB5"/>
    <w:rsid w:val="00542924"/>
    <w:rsid w:val="00602486"/>
    <w:rsid w:val="00666926"/>
    <w:rsid w:val="006B13B0"/>
    <w:rsid w:val="007F09C1"/>
    <w:rsid w:val="00825BF2"/>
    <w:rsid w:val="008B6258"/>
    <w:rsid w:val="00911B3C"/>
    <w:rsid w:val="00913C70"/>
    <w:rsid w:val="00A3044C"/>
    <w:rsid w:val="00A42BF0"/>
    <w:rsid w:val="00A8091F"/>
    <w:rsid w:val="00AF38AA"/>
    <w:rsid w:val="00BA2AE4"/>
    <w:rsid w:val="00C26CDF"/>
    <w:rsid w:val="00C96404"/>
    <w:rsid w:val="00D32170"/>
    <w:rsid w:val="00D44C1A"/>
    <w:rsid w:val="00D75404"/>
    <w:rsid w:val="00DA5EC5"/>
    <w:rsid w:val="00DB37B2"/>
    <w:rsid w:val="00DD7EDA"/>
    <w:rsid w:val="00E70C78"/>
    <w:rsid w:val="00E8017F"/>
    <w:rsid w:val="00EA0B8C"/>
    <w:rsid w:val="00EF40E4"/>
    <w:rsid w:val="00F3326B"/>
    <w:rsid w:val="00F64772"/>
    <w:rsid w:val="00F65842"/>
    <w:rsid w:val="00F86AC5"/>
    <w:rsid w:val="00F91F07"/>
    <w:rsid w:val="00FF1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8DD"/>
    <w:pPr>
      <w:spacing w:line="276" w:lineRule="auto"/>
    </w:pPr>
    <w:rPr>
      <w:sz w:val="22"/>
      <w:szCs w:val="22"/>
      <w:lang w:eastAsia="ja-JP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1D6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258"/>
  </w:style>
  <w:style w:type="paragraph" w:styleId="Piedepgina">
    <w:name w:val="footer"/>
    <w:basedOn w:val="Normal"/>
    <w:link w:val="PiedepginaCar"/>
    <w:uiPriority w:val="99"/>
    <w:unhideWhenUsed/>
    <w:rsid w:val="008B625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258"/>
  </w:style>
  <w:style w:type="paragraph" w:styleId="Textodeglobo">
    <w:name w:val="Balloon Text"/>
    <w:basedOn w:val="Normal"/>
    <w:link w:val="TextodegloboCar"/>
    <w:uiPriority w:val="99"/>
    <w:semiHidden/>
    <w:unhideWhenUsed/>
    <w:rsid w:val="008B6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B625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B62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E1D61"/>
    <w:rPr>
      <w:rFonts w:asciiTheme="majorHAnsi" w:eastAsiaTheme="majorEastAsia" w:hAnsiTheme="majorHAnsi" w:cstheme="majorBidi"/>
      <w:b/>
      <w:bCs/>
      <w:i/>
      <w:iCs/>
      <w:sz w:val="28"/>
      <w:szCs w:val="28"/>
      <w:lang w:eastAsia="ja-JP"/>
    </w:rPr>
  </w:style>
  <w:style w:type="paragraph" w:styleId="Prrafodelista">
    <w:name w:val="List Paragraph"/>
    <w:basedOn w:val="Normal"/>
    <w:uiPriority w:val="34"/>
    <w:qFormat/>
    <w:rsid w:val="00AF38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77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1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3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1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06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1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8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2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6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9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3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2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1415</Words>
  <Characters>7788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Inafuku Taira</dc:creator>
  <cp:lastModifiedBy>MARCO-201611</cp:lastModifiedBy>
  <cp:revision>2</cp:revision>
  <dcterms:created xsi:type="dcterms:W3CDTF">2018-07-01T17:09:00Z</dcterms:created>
  <dcterms:modified xsi:type="dcterms:W3CDTF">2018-07-01T17:09:00Z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Ref">
    <vt:lpwstr>https://api.informationprotection.azure.com/api/a1f1e214-7ded-45b6-81a1-9e8ae3459641</vt:lpwstr>
  </property>
  <property fmtid="{D5CDD505-2E9C-101B-9397-08002B2CF9AE}" pid="5" name="MSIP_Label_6be01c0c-f9b3-4dc4-af0b-a82110cc37cd_SetBy">
    <vt:lpwstr>cotoyag@jci.com</vt:lpwstr>
  </property>
  <property fmtid="{D5CDD505-2E9C-101B-9397-08002B2CF9AE}" pid="6" name="MSIP_Label_6be01c0c-f9b3-4dc4-af0b-a82110cc37cd_SetDate">
    <vt:lpwstr>2018-06-22T20:01:12.4210000-05:00</vt:lpwstr>
  </property>
  <property fmtid="{D5CDD505-2E9C-101B-9397-08002B2CF9AE}" pid="7" name="MSIP_Label_6be01c0c-f9b3-4dc4-af0b-a82110cc37cd_Name">
    <vt:lpwstr>Internal </vt:lpwstr>
  </property>
  <property fmtid="{D5CDD505-2E9C-101B-9397-08002B2CF9AE}" pid="8" name="MSIP_Label_6be01c0c-f9b3-4dc4-af0b-a82110cc37cd_Application">
    <vt:lpwstr>Microsoft Azure Information Protection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