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BF5E50" w:rsidRPr="00E5678B" w:rsidTr="00BF5E50">
        <w:tc>
          <w:tcPr>
            <w:tcW w:w="4788" w:type="dxa"/>
            <w:shd w:val="clear" w:color="auto" w:fill="000000" w:themeFill="text1"/>
          </w:tcPr>
          <w:p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:rsidTr="00BF5E50">
        <w:tc>
          <w:tcPr>
            <w:tcW w:w="4788" w:type="dxa"/>
            <w:shd w:val="clear" w:color="auto" w:fill="000000" w:themeFill="text1"/>
          </w:tcPr>
          <w:p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:rsidR="00BF5E50" w:rsidRPr="00E5678B" w:rsidRDefault="00B06046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2015</w:t>
            </w:r>
          </w:p>
        </w:tc>
      </w:tr>
    </w:tbl>
    <w:p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:rsidR="00012C19" w:rsidRPr="00E5678B" w:rsidRDefault="00A21B1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In </w:t>
      </w:r>
      <w:r w:rsidR="00D83A10" w:rsidRPr="00E5678B">
        <w:rPr>
          <w:rFonts w:eastAsia="Times New Roman" w:cs="Times New Roman"/>
          <w:sz w:val="24"/>
          <w:szCs w:val="24"/>
        </w:rPr>
        <w:t>Week 11</w:t>
      </w:r>
      <w:r w:rsidR="00565FF4" w:rsidRPr="00E5678B">
        <w:rPr>
          <w:rFonts w:eastAsia="Times New Roman" w:cs="Times New Roman"/>
          <w:sz w:val="24"/>
          <w:szCs w:val="24"/>
        </w:rPr>
        <w:t>, each team will revisit their</w:t>
      </w:r>
      <w:r w:rsidR="00012C19" w:rsidRPr="00E5678B">
        <w:rPr>
          <w:rFonts w:eastAsia="Times New Roman" w:cs="Times New Roman"/>
          <w:sz w:val="24"/>
          <w:szCs w:val="24"/>
        </w:rPr>
        <w:t xml:space="preserve"> COC to review it and make any necessary changes.</w:t>
      </w:r>
    </w:p>
    <w:p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B425AD" w:rsidRPr="00E5678B" w:rsidTr="00577422">
        <w:tc>
          <w:tcPr>
            <w:tcW w:w="4410" w:type="dxa"/>
            <w:shd w:val="clear" w:color="auto" w:fill="BFBFBF" w:themeFill="background1" w:themeFillShade="BF"/>
          </w:tcPr>
          <w:p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B425AD" w:rsidRPr="00E5678B" w:rsidTr="00577422">
        <w:tc>
          <w:tcPr>
            <w:tcW w:w="4410" w:type="dxa"/>
            <w:shd w:val="clear" w:color="auto" w:fill="BFBFBF" w:themeFill="background1" w:themeFillShade="BF"/>
          </w:tcPr>
          <w:p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76"/>
        <w:gridCol w:w="3176"/>
      </w:tblGrid>
      <w:tr w:rsidR="00B425AD" w:rsidRPr="00E5678B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>in</w:t>
            </w: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3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 xml:space="preserve">in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11</w:t>
            </w:r>
          </w:p>
        </w:tc>
      </w:tr>
      <w:tr w:rsidR="00B425AD" w:rsidRPr="00E5678B" w:rsidTr="00B425AD">
        <w:trPr>
          <w:trHeight w:val="757"/>
        </w:trPr>
        <w:tc>
          <w:tcPr>
            <w:tcW w:w="3116" w:type="dxa"/>
            <w:vAlign w:val="center"/>
          </w:tcPr>
          <w:p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Apoorva Kharche</w:t>
            </w:r>
          </w:p>
        </w:tc>
        <w:tc>
          <w:tcPr>
            <w:tcW w:w="3176" w:type="dxa"/>
            <w:vAlign w:val="center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:rsidTr="00B425AD">
        <w:trPr>
          <w:trHeight w:val="757"/>
        </w:trPr>
        <w:tc>
          <w:tcPr>
            <w:tcW w:w="3116" w:type="dxa"/>
            <w:vAlign w:val="center"/>
          </w:tcPr>
          <w:p w:rsidR="00B425AD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Yash Shah</w:t>
            </w:r>
          </w:p>
        </w:tc>
        <w:tc>
          <w:tcPr>
            <w:tcW w:w="3176" w:type="dxa"/>
            <w:vAlign w:val="center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:rsidTr="00B425AD">
        <w:trPr>
          <w:trHeight w:val="757"/>
        </w:trPr>
        <w:tc>
          <w:tcPr>
            <w:tcW w:w="3116" w:type="dxa"/>
            <w:vAlign w:val="center"/>
          </w:tcPr>
          <w:p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Broderick Shwartz</w:t>
            </w:r>
          </w:p>
        </w:tc>
        <w:tc>
          <w:tcPr>
            <w:tcW w:w="3176" w:type="dxa"/>
            <w:vAlign w:val="center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:rsidTr="00B425AD">
        <w:trPr>
          <w:trHeight w:val="757"/>
        </w:trPr>
        <w:tc>
          <w:tcPr>
            <w:tcW w:w="3116" w:type="dxa"/>
            <w:vAlign w:val="center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vAlign w:val="center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880D48" w:rsidRPr="00E5678B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Complete assignments on time.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Constructively criticize ideas, not individuals.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Resolve conflicts promptly and constructively.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Attend all team meetings, be on time, and be prepared.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Encourage team members and allow everyone to participate. 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Take responsibility for my team’s goals, progress, and success.</w:t>
            </w:r>
          </w:p>
        </w:tc>
      </w:tr>
      <w:tr w:rsidR="00880D48" w:rsidRPr="00E5678B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Be an active listener and show respect for the contributions of other team members.</w:t>
            </w:r>
          </w:p>
        </w:tc>
      </w:tr>
      <w:tr w:rsidR="00577422" w:rsidRPr="00E5678B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11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D51D6E" w:rsidRPr="00E5678B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 class or inform teammates if unable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 food to a meeting if I was late to the previous one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:rsidR="005E7379" w:rsidRPr="00E5678B" w:rsidRDefault="005E7379" w:rsidP="00E5678B">
      <w:pPr>
        <w:spacing w:after="12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(list of discussion topics) developed before each meeting.</w:t>
      </w:r>
    </w:p>
    <w:p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Put cell phones on quiet and do not have other distracters, such as Facebook, open during team meetings.</w:t>
      </w:r>
    </w:p>
    <w:p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Set project dues dates one day before the actual due date so that all team members can review the final document before submission.</w:t>
      </w:r>
    </w:p>
    <w:p w:rsidR="00EB5403" w:rsidRPr="00E5678B" w:rsidRDefault="00090F91" w:rsidP="00E5678B">
      <w:pPr>
        <w:spacing w:before="240" w:line="240" w:lineRule="auto"/>
        <w:rPr>
          <w:rFonts w:eastAsia="Times New Roman" w:cs="Times New Roman"/>
          <w:b/>
          <w:bCs/>
          <w:i/>
          <w:sz w:val="28"/>
          <w:szCs w:val="28"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</w:p>
    <w:p w:rsidR="001836F6" w:rsidRPr="00E5678B" w:rsidRDefault="00152E5E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Week </w:t>
            </w:r>
            <w:r w:rsidR="00B06046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65503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D51D6E" w:rsidRPr="00E5678B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 on a weekly basis at a set location and time that works for all team members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cell phones on quiet and do not have other distracters, such as social media apps and sites, open during meetings. Unless required for work.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 a pre-determined goals for each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stare at each other blankly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11713" w:rsidRPr="00E5678B" w:rsidRDefault="00B11713" w:rsidP="00E5678B">
      <w:pPr>
        <w:spacing w:line="240" w:lineRule="auto"/>
        <w:rPr>
          <w:rFonts w:cs="Times New Roman"/>
          <w:sz w:val="24"/>
          <w:szCs w:val="24"/>
        </w:rPr>
      </w:pPr>
    </w:p>
    <w:p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77463A" w:rsidRPr="00E5678B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1pm</w:t>
            </w:r>
          </w:p>
        </w:tc>
      </w:tr>
      <w:tr w:rsidR="0077463A" w:rsidRPr="00E5678B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Kraach 2</w:t>
            </w:r>
            <w:r w:rsidRPr="00D51D6E">
              <w:rPr>
                <w:rFonts w:eastAsia="Times New Roman" w:cs="Times New Roman"/>
                <w:bCs/>
                <w:color w:val="0070C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Floor</w:t>
            </w:r>
          </w:p>
        </w:tc>
      </w:tr>
    </w:tbl>
    <w:p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:rsidR="000904EA" w:rsidRPr="00E5678B" w:rsidRDefault="000904EA" w:rsidP="00D51D6E">
            <w:pPr>
              <w:spacing w:before="120" w:after="120"/>
              <w:ind w:firstLine="7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904EA" w:rsidRPr="00E5678B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3F9" w:rsidRDefault="00F533F9" w:rsidP="001836F6">
      <w:pPr>
        <w:spacing w:after="0" w:line="240" w:lineRule="auto"/>
      </w:pPr>
      <w:r>
        <w:separator/>
      </w:r>
    </w:p>
  </w:endnote>
  <w:endnote w:type="continuationSeparator" w:id="0">
    <w:p w:rsidR="00F533F9" w:rsidRDefault="00F533F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3F9" w:rsidRDefault="00F533F9">
        <w:pPr>
          <w:pStyle w:val="Footer"/>
          <w:jc w:val="center"/>
        </w:pPr>
        <w:r>
          <w:t xml:space="preserve">Page </w:t>
        </w:r>
        <w:r w:rsidR="00E84DE5">
          <w:fldChar w:fldCharType="begin"/>
        </w:r>
        <w:r>
          <w:instrText xml:space="preserve"> PAGE   \* MERGEFORMAT </w:instrText>
        </w:r>
        <w:r w:rsidR="00E84DE5">
          <w:fldChar w:fldCharType="separate"/>
        </w:r>
        <w:r w:rsidR="00D51D6E">
          <w:rPr>
            <w:noProof/>
          </w:rPr>
          <w:t>4</w:t>
        </w:r>
        <w:r w:rsidR="00E84DE5"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D51D6E">
          <w:fldChar w:fldCharType="begin"/>
        </w:r>
        <w:r w:rsidR="00D51D6E">
          <w:instrText xml:space="preserve"> NUMPAGES   \* MERGEFORMAT </w:instrText>
        </w:r>
        <w:r w:rsidR="00D51D6E">
          <w:fldChar w:fldCharType="separate"/>
        </w:r>
        <w:r w:rsidR="00D51D6E">
          <w:rPr>
            <w:noProof/>
          </w:rPr>
          <w:t>4</w:t>
        </w:r>
        <w:r w:rsidR="00D51D6E">
          <w:rPr>
            <w:noProof/>
          </w:rPr>
          <w:fldChar w:fldCharType="end"/>
        </w:r>
      </w:p>
    </w:sdtContent>
  </w:sdt>
  <w:p w:rsidR="00F533F9" w:rsidRDefault="00F53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3F9" w:rsidRDefault="00F533F9" w:rsidP="001836F6">
      <w:pPr>
        <w:spacing w:after="0" w:line="240" w:lineRule="auto"/>
      </w:pPr>
      <w:r>
        <w:separator/>
      </w:r>
    </w:p>
  </w:footnote>
  <w:footnote w:type="continuationSeparator" w:id="0">
    <w:p w:rsidR="00F533F9" w:rsidRDefault="00F533F9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533F9" w:rsidTr="00804B09">
      <w:tc>
        <w:tcPr>
          <w:tcW w:w="4788" w:type="dxa"/>
        </w:tcPr>
        <w:p w:rsidR="00B06046" w:rsidRDefault="00F533F9" w:rsidP="00DF44E5">
          <w:pPr>
            <w:pStyle w:val="Header"/>
            <w:rPr>
              <w:lang w:eastAsia="ko-KR"/>
            </w:rPr>
          </w:pPr>
          <w:r>
            <w:t>ENGR 13</w:t>
          </w:r>
          <w:r w:rsidR="00B06046">
            <w:rPr>
              <w:rFonts w:hint="eastAsia"/>
              <w:lang w:eastAsia="ko-KR"/>
            </w:rPr>
            <w:t>2 Spring 201</w:t>
          </w:r>
          <w:r w:rsidR="00B06046">
            <w:rPr>
              <w:lang w:eastAsia="ko-KR"/>
            </w:rPr>
            <w:t>5</w:t>
          </w:r>
        </w:p>
      </w:tc>
      <w:tc>
        <w:tcPr>
          <w:tcW w:w="4788" w:type="dxa"/>
        </w:tcPr>
        <w:p w:rsidR="00F533F9" w:rsidRDefault="00F533F9" w:rsidP="00804B09">
          <w:pPr>
            <w:pStyle w:val="Header"/>
            <w:jc w:val="right"/>
          </w:pPr>
          <w:r>
            <w:t>Code of Cooperation</w:t>
          </w:r>
        </w:p>
      </w:tc>
    </w:tr>
  </w:tbl>
  <w:p w:rsidR="00F533F9" w:rsidRDefault="00F533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F37"/>
    <w:rsid w:val="00012C19"/>
    <w:rsid w:val="000904EA"/>
    <w:rsid w:val="00090F91"/>
    <w:rsid w:val="00152E5E"/>
    <w:rsid w:val="001836F6"/>
    <w:rsid w:val="0025037F"/>
    <w:rsid w:val="00265503"/>
    <w:rsid w:val="00271E67"/>
    <w:rsid w:val="004E29D6"/>
    <w:rsid w:val="00515606"/>
    <w:rsid w:val="00565FF4"/>
    <w:rsid w:val="00577422"/>
    <w:rsid w:val="005B76DA"/>
    <w:rsid w:val="005C0A12"/>
    <w:rsid w:val="005D03EF"/>
    <w:rsid w:val="005E7379"/>
    <w:rsid w:val="006547B0"/>
    <w:rsid w:val="00675E1E"/>
    <w:rsid w:val="00755B0A"/>
    <w:rsid w:val="0077463A"/>
    <w:rsid w:val="007D4C18"/>
    <w:rsid w:val="00804B09"/>
    <w:rsid w:val="00880D48"/>
    <w:rsid w:val="00891DDE"/>
    <w:rsid w:val="008B4714"/>
    <w:rsid w:val="008C6B48"/>
    <w:rsid w:val="008D2469"/>
    <w:rsid w:val="008F28DC"/>
    <w:rsid w:val="008F3E72"/>
    <w:rsid w:val="009409E7"/>
    <w:rsid w:val="00942B11"/>
    <w:rsid w:val="009D2087"/>
    <w:rsid w:val="00A21B14"/>
    <w:rsid w:val="00A47240"/>
    <w:rsid w:val="00A50A7D"/>
    <w:rsid w:val="00AC307D"/>
    <w:rsid w:val="00B06046"/>
    <w:rsid w:val="00B11713"/>
    <w:rsid w:val="00B148CC"/>
    <w:rsid w:val="00B21F37"/>
    <w:rsid w:val="00B425AD"/>
    <w:rsid w:val="00B46FA4"/>
    <w:rsid w:val="00B65072"/>
    <w:rsid w:val="00B74748"/>
    <w:rsid w:val="00B81EFA"/>
    <w:rsid w:val="00B95B9E"/>
    <w:rsid w:val="00BF5E50"/>
    <w:rsid w:val="00C52B83"/>
    <w:rsid w:val="00CA041D"/>
    <w:rsid w:val="00CE552A"/>
    <w:rsid w:val="00CF592F"/>
    <w:rsid w:val="00D04C62"/>
    <w:rsid w:val="00D205B8"/>
    <w:rsid w:val="00D51D6E"/>
    <w:rsid w:val="00D83A10"/>
    <w:rsid w:val="00DB25EC"/>
    <w:rsid w:val="00DD67E2"/>
    <w:rsid w:val="00DF44E5"/>
    <w:rsid w:val="00E5678B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54E3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4613A3F7-FEBF-496A-8676-68D0CBAD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apporva kharche</cp:lastModifiedBy>
  <cp:revision>3</cp:revision>
  <cp:lastPrinted>2014-12-18T12:13:00Z</cp:lastPrinted>
  <dcterms:created xsi:type="dcterms:W3CDTF">2014-12-18T15:26:00Z</dcterms:created>
  <dcterms:modified xsi:type="dcterms:W3CDTF">2015-01-26T20:08:00Z</dcterms:modified>
</cp:coreProperties>
</file>