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14:paraId="02BFD3D2"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41A1087F" w:rsidR="00822A8C" w:rsidRPr="00822A8C" w:rsidRDefault="00420447" w:rsidP="00822A8C">
            <w:pPr>
              <w:spacing w:line="240" w:lineRule="auto"/>
              <w:rPr>
                <w:rFonts w:ascii="Cambria" w:eastAsia="Cambria" w:hAnsi="Cambria"/>
                <w:sz w:val="26"/>
                <w:szCs w:val="26"/>
              </w:rPr>
            </w:pPr>
            <w:r>
              <w:rPr>
                <w:rFonts w:ascii="Cambria" w:eastAsia="Cambria" w:hAnsi="Cambria"/>
                <w:sz w:val="26"/>
                <w:szCs w:val="26"/>
              </w:rPr>
              <w:t>3-4</w:t>
            </w: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0222E4"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w:t>
            </w: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28018782"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w:t>
            </w: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5DB84863"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5-6</w:t>
            </w: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01BDE6B8"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6</w:t>
            </w: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6D48D1C5"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6-7</w:t>
            </w: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1DA463DD"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7</w:t>
            </w: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4697D20D" w:rsidR="00822A8C" w:rsidRPr="00822A8C" w:rsidRDefault="00750261" w:rsidP="00822A8C">
            <w:pPr>
              <w:spacing w:line="240" w:lineRule="auto"/>
              <w:rPr>
                <w:rFonts w:ascii="Cambria" w:eastAsia="Cambria" w:hAnsi="Cambria"/>
                <w:sz w:val="26"/>
                <w:szCs w:val="26"/>
              </w:rPr>
            </w:pPr>
            <w:r>
              <w:rPr>
                <w:rFonts w:ascii="Cambria" w:eastAsia="Cambria" w:hAnsi="Cambria"/>
                <w:sz w:val="26"/>
                <w:szCs w:val="26"/>
              </w:rPr>
              <w:t>7</w:t>
            </w: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1E9E752E" w:rsidR="00822A8C" w:rsidRPr="00822A8C" w:rsidRDefault="00660B46" w:rsidP="00822A8C">
            <w:pPr>
              <w:spacing w:line="240" w:lineRule="auto"/>
              <w:rPr>
                <w:rFonts w:ascii="Cambria" w:eastAsia="Cambria" w:hAnsi="Cambria"/>
                <w:sz w:val="26"/>
                <w:szCs w:val="26"/>
              </w:rPr>
            </w:pPr>
            <w:r>
              <w:rPr>
                <w:rFonts w:ascii="Cambria" w:eastAsia="Cambria" w:hAnsi="Cambria"/>
                <w:sz w:val="26"/>
                <w:szCs w:val="26"/>
              </w:rPr>
              <w:t>7-8</w:t>
            </w: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C88E539" w14:textId="4ED07F8B" w:rsidR="00425758" w:rsidRPr="00425758" w:rsidRDefault="00E6776C" w:rsidP="002855F2">
      <w:pPr>
        <w:spacing w:line="240" w:lineRule="auto"/>
        <w:ind w:left="720" w:firstLine="360"/>
        <w:contextualSpacing/>
        <w:rPr>
          <w:rFonts w:cs="Calibri"/>
          <w:color w:val="4F6228" w:themeColor="accent3" w:themeShade="80"/>
        </w:rPr>
      </w:pPr>
      <w:r>
        <w:rPr>
          <w:rFonts w:cs="Calibri"/>
          <w:color w:val="4F6228" w:themeColor="accent3" w:themeShade="80"/>
        </w:rPr>
        <w:t>We are partneri</w:t>
      </w:r>
      <w:r w:rsidR="008901F4">
        <w:rPr>
          <w:rFonts w:cs="Calibri"/>
          <w:color w:val="4F6228" w:themeColor="accent3" w:themeShade="80"/>
        </w:rPr>
        <w:t xml:space="preserve">ng in this endeavor with </w:t>
      </w:r>
      <w:proofErr w:type="spellStart"/>
      <w:r w:rsidR="008901F4">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 xml:space="preserve">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t>
      </w:r>
      <w:r w:rsidR="008901F4">
        <w:rPr>
          <w:rFonts w:cs="Calibri"/>
          <w:color w:val="4F6228" w:themeColor="accent3" w:themeShade="80"/>
        </w:rPr>
        <w:t xml:space="preserve">The solution we have arrived at is a system </w:t>
      </w:r>
      <w:r w:rsidR="002855F2">
        <w:rPr>
          <w:rFonts w:cs="Calibri"/>
          <w:color w:val="4F6228" w:themeColor="accent3" w:themeShade="80"/>
        </w:rPr>
        <w:t xml:space="preserve">equations </w:t>
      </w:r>
      <w:proofErr w:type="gramStart"/>
      <w:r w:rsidR="002855F2">
        <w:rPr>
          <w:rFonts w:cs="Calibri"/>
          <w:color w:val="4F6228" w:themeColor="accent3" w:themeShade="80"/>
        </w:rPr>
        <w:t>an</w:t>
      </w:r>
      <w:proofErr w:type="gramEnd"/>
      <w:r w:rsidR="002855F2">
        <w:rPr>
          <w:rFonts w:cs="Calibri"/>
          <w:color w:val="4F6228" w:themeColor="accent3" w:themeShade="80"/>
        </w:rPr>
        <w:t xml:space="preserve"> calculations that decide which of the materials entered by the user are the most effective for reaching the desired band gap energy. Based on those selections as well as the other data supplied by the user, we then build a ‘recipe’ to attain the goal band gap energy. We used this model and with some small adaptations to create a system </w:t>
      </w:r>
      <w:r w:rsidR="008901F4">
        <w:rPr>
          <w:rFonts w:cs="Calibri"/>
          <w:color w:val="4F6228" w:themeColor="accent3" w:themeShade="80"/>
        </w:rPr>
        <w:t>of several GUIs that allow the user to navigate and interact with push buttons, edit text boxes, pull-down menus, check boxes and sliders. They will enter data as prompted and then the GUIs will calcul</w:t>
      </w:r>
      <w:r w:rsidR="002855F2">
        <w:rPr>
          <w:rFonts w:cs="Calibri"/>
          <w:color w:val="4F6228" w:themeColor="accent3" w:themeShade="80"/>
        </w:rPr>
        <w:t>ate and plot the information</w:t>
      </w:r>
      <w:r w:rsidR="008901F4">
        <w:rPr>
          <w:rFonts w:cs="Calibri"/>
          <w:color w:val="4F6228" w:themeColor="accent3" w:themeShade="80"/>
        </w:rPr>
        <w:t xml:space="preserve"> enumerated in their descriptions</w:t>
      </w:r>
      <w:r w:rsidR="002855F2">
        <w:rPr>
          <w:rFonts w:cs="Calibri"/>
          <w:color w:val="4F6228" w:themeColor="accent3" w:themeShade="80"/>
        </w:rPr>
        <w:t>. The main purpose of the suite is to use the model described above to allow the solar cell fabrication team to rapidly test the feasibility of a particular set of materials and attributes. We see this simulation suite as the first level of testing and prototyping in the creation of a new quantum dot solar cell compound.</w:t>
      </w:r>
      <w:r w:rsidR="00887EA3">
        <w:rPr>
          <w:rFonts w:cs="Calibri"/>
          <w:color w:val="4F6228" w:themeColor="accent3" w:themeShade="80"/>
        </w:rPr>
        <w:t xml:space="preserve"> Our simulation cons</w:t>
      </w:r>
      <w:r w:rsidR="00903673">
        <w:rPr>
          <w:rFonts w:cs="Calibri"/>
          <w:color w:val="4F6228" w:themeColor="accent3" w:themeShade="80"/>
        </w:rPr>
        <w:t>ists of three computational GUIs and several support windows. The GUIs can be accessed individually from a main menu via push buttons. The lowest level of ‘magnification’ is a GUI that takes the data entered and computes the best ‘recipe’ based on the information entered in the data entry GUI (which can be accessed from any of the simulation windows as well as the main menu). This simulation also displays the optimization curve based on the</w:t>
      </w:r>
      <w:r w:rsidR="00DB4E81">
        <w:rPr>
          <w:rFonts w:cs="Calibri"/>
          <w:color w:val="4F6228" w:themeColor="accent3" w:themeShade="80"/>
        </w:rPr>
        <w:t xml:space="preserve"> weighting supplied by the user. This GUI allows the user to print out a physical copy of the graphs so that it can be more easily shared.</w:t>
      </w:r>
      <w:r w:rsidR="00903673">
        <w:rPr>
          <w:rFonts w:cs="Calibri"/>
          <w:color w:val="4F6228" w:themeColor="accent3" w:themeShade="80"/>
        </w:rPr>
        <w:t xml:space="preserve"> The next deeper level is a GUI that looks fairly simple but is designed as a ‘catch’ for factors that weren’t included in our base simulation but could still be important to the user. This GUI has additional entry fields for any material attribute that the user wants to enter. It then applies those attributes to the materials that have already been entered and creates an optimized recipe and</w:t>
      </w:r>
      <w:r w:rsidR="00DB4E81">
        <w:rPr>
          <w:rFonts w:cs="Calibri"/>
          <w:color w:val="4F6228" w:themeColor="accent3" w:themeShade="80"/>
        </w:rPr>
        <w:t xml:space="preserve"> allows the user to display the original recipe, then the recipe optimized for each of the four auxiliary attributes. The auxiliary attributes can be plotted together in any combination desired.</w:t>
      </w:r>
      <w:r w:rsidR="00F93588">
        <w:rPr>
          <w:rFonts w:cs="Calibri"/>
          <w:color w:val="4F6228" w:themeColor="accent3" w:themeShade="80"/>
        </w:rPr>
        <w:t xml:space="preserve"> A weakness of the simulation is the way that it optimizes the attributes. It may not be viable for some additional attributes that the user would like to input.</w:t>
      </w:r>
      <w:r w:rsidR="00DB4E81">
        <w:rPr>
          <w:rFonts w:cs="Calibri"/>
          <w:color w:val="4F6228" w:themeColor="accent3" w:themeShade="80"/>
        </w:rPr>
        <w:t xml:space="preserve"> The final and most customizable layer of detail is a GUI that lets the user choose any of several combinations of factors that affect the materials and plots up to three of them together in the same window in a variety configurations. This lets the user see how </w:t>
      </w:r>
      <w:proofErr w:type="gramStart"/>
      <w:r w:rsidR="00DB4E81">
        <w:rPr>
          <w:rFonts w:cs="Calibri"/>
          <w:color w:val="4F6228" w:themeColor="accent3" w:themeShade="80"/>
        </w:rPr>
        <w:t xml:space="preserve">a single factor or attribute </w:t>
      </w:r>
      <w:r w:rsidR="00F93588">
        <w:rPr>
          <w:rFonts w:cs="Calibri"/>
          <w:color w:val="4F6228" w:themeColor="accent3" w:themeShade="80"/>
        </w:rPr>
        <w:t>is affected by the others</w:t>
      </w:r>
      <w:proofErr w:type="gramEnd"/>
      <w:r w:rsidR="00F93588">
        <w:rPr>
          <w:rFonts w:cs="Calibri"/>
          <w:color w:val="4F6228" w:themeColor="accent3" w:themeShade="80"/>
        </w:rPr>
        <w:t>. A po</w:t>
      </w:r>
      <w:r w:rsidR="00DB4E81">
        <w:rPr>
          <w:rFonts w:cs="Calibri"/>
          <w:color w:val="4F6228" w:themeColor="accent3" w:themeShade="80"/>
        </w:rPr>
        <w:t>te</w:t>
      </w:r>
      <w:r w:rsidR="00F93588">
        <w:rPr>
          <w:rFonts w:cs="Calibri"/>
          <w:color w:val="4F6228" w:themeColor="accent3" w:themeShade="80"/>
        </w:rPr>
        <w:t xml:space="preserve">ntial weakness with this simulation is one of its greatest strengths, its high level of customizability. It could be difficult for the user to find the combination of factors that would be most useful to them. For all the GUIs we have supplied help windows that describe the use of the GUIs and what the user </w:t>
      </w:r>
      <w:r w:rsidR="0033737D">
        <w:rPr>
          <w:rFonts w:cs="Calibri"/>
          <w:color w:val="4F6228" w:themeColor="accent3" w:themeShade="80"/>
        </w:rPr>
        <w:t>is expected to enter and select and how each of the simulations behave.</w:t>
      </w:r>
      <w:r w:rsidR="00F93588">
        <w:rPr>
          <w:rFonts w:cs="Calibri"/>
          <w:color w:val="4F6228" w:themeColor="accent3" w:themeShade="80"/>
        </w:rPr>
        <w:t xml:space="preserve"> </w:t>
      </w:r>
    </w:p>
    <w:p w14:paraId="2E27110F" w14:textId="77777777" w:rsidR="002855F2" w:rsidRDefault="002855F2" w:rsidP="002855F2">
      <w:pPr>
        <w:spacing w:line="240" w:lineRule="auto"/>
        <w:ind w:left="720"/>
        <w:contextualSpacing/>
        <w:rPr>
          <w:rFonts w:cs="Calibri"/>
          <w:color w:val="4F6228" w:themeColor="accent3" w:themeShade="80"/>
        </w:rPr>
      </w:pPr>
    </w:p>
    <w:p w14:paraId="04F9088C" w14:textId="6D1E5206" w:rsidR="002855F2" w:rsidRPr="002855F2" w:rsidRDefault="002855F2" w:rsidP="00887EA3">
      <w:pPr>
        <w:spacing w:line="240" w:lineRule="auto"/>
        <w:ind w:left="720" w:firstLine="360"/>
        <w:contextualSpacing/>
        <w:rPr>
          <w:rFonts w:cs="Calibri"/>
          <w:color w:val="4F6228" w:themeColor="accent3" w:themeShade="80"/>
        </w:rPr>
      </w:pPr>
      <w:r>
        <w:rPr>
          <w:rFonts w:cs="Calibri"/>
          <w:color w:val="4F6228" w:themeColor="accent3" w:themeShade="80"/>
        </w:rPr>
        <w:t xml:space="preserve">Our definition of success in this project is a fully functional suite of interactive visual simulations that allow our direct user to get an idea of how effective a given ‘recipe’ of quantum dot materials is at achieving </w:t>
      </w:r>
      <w:proofErr w:type="gramStart"/>
      <w:r>
        <w:rPr>
          <w:rFonts w:cs="Calibri"/>
          <w:color w:val="4F6228" w:themeColor="accent3" w:themeShade="80"/>
        </w:rPr>
        <w:t>a particular</w:t>
      </w:r>
      <w:proofErr w:type="gramEnd"/>
      <w:r>
        <w:rPr>
          <w:rFonts w:cs="Calibri"/>
          <w:color w:val="4F6228" w:themeColor="accent3" w:themeShade="80"/>
        </w:rPr>
        <w:t xml:space="preserve"> goal band gap energy. We believe that our suite is well suited to our intended audience of fabrications teams for solar cell manufacturing companies. Our aim when designing the interface for our simulation was to create a very bare bones presentation that would communicate the data as quickly and clearly as possible. </w:t>
      </w:r>
      <w:r w:rsidR="00683A92">
        <w:rPr>
          <w:rFonts w:cs="Calibri"/>
          <w:color w:val="4F6228" w:themeColor="accent3" w:themeShade="80"/>
        </w:rPr>
        <w:t xml:space="preserve">We also tried to make our simulation as open ended as we could, allowing for factors that we may not have foreseen coming into play. The general design scheme was built around the idea of a microscope. Each of our GUIs is a higher magnification into the field. Each gives a different layer of detail, some more focused, some broader in scope and adaptability. We did this by creating a mathematical model that accomplished our general goal of minimizing a numeric attribute of a particular set of materials and returning the best ‘recipe’ to produce the desired output. From there we adapted and augmented the model so that it fit the needs of our individual simulations. They are built on the same premise, “the user wants to create the best ‘recipe’ possible from this set of materials,” but they approach it from different angles. As we tailored our solution to the target audience and their needs, we saw that some of our initial ideas were not as applicable as we thought. This led us to change some of our ideas, consolidate and unify some of the presentation. </w:t>
      </w:r>
      <w:r w:rsidR="00BB0ADD">
        <w:rPr>
          <w:rFonts w:cs="Calibri"/>
          <w:color w:val="4F6228" w:themeColor="accent3" w:themeShade="80"/>
        </w:rPr>
        <w:t xml:space="preserve">A weakness we see in our suite is its relative simplicity. While it does present the desired output, it is not able to provide great detail in its solutions. Another weakness that was unavoidable is the platform on which it was created. Matlab is an excellent numeric environment, but that strength does not spill into GUIs. Matlab GUIs, while functional, are not the most elegant </w:t>
      </w:r>
      <w:r w:rsidR="00AB35F9">
        <w:rPr>
          <w:rFonts w:cs="Calibri"/>
          <w:color w:val="4F6228" w:themeColor="accent3" w:themeShade="80"/>
        </w:rPr>
        <w:t xml:space="preserve">or user friendly. This factors greatly into every aspect of our simulation. How our direct user interacts with our product, how our model interacts with the user through the environment of the GUI, how our visual representations of the data are achieved and possible most importantly how our user interacts with the GUI itself. We have added as much interactivity as we could and was appropriate to the specific applications of our models. It would make little sense to add a rotate feature </w:t>
      </w:r>
      <w:r w:rsidR="00887EA3">
        <w:rPr>
          <w:rFonts w:cs="Calibri"/>
          <w:color w:val="4F6228" w:themeColor="accent3" w:themeShade="80"/>
        </w:rPr>
        <w:t xml:space="preserve">to a two dimensional graph. In addition </w:t>
      </w:r>
      <w:r w:rsidR="00AB35F9">
        <w:rPr>
          <w:rFonts w:cs="Calibri"/>
          <w:color w:val="4F6228" w:themeColor="accent3" w:themeShade="80"/>
        </w:rPr>
        <w:t>the ability of the user to alter th</w:t>
      </w:r>
      <w:r w:rsidR="00887EA3">
        <w:rPr>
          <w:rFonts w:cs="Calibri"/>
          <w:color w:val="4F6228" w:themeColor="accent3" w:themeShade="80"/>
        </w:rPr>
        <w:t>e data is a bit clunky by very nature of GUIs in Matlab. We combated the bulkiness of the system by designing the flow of our GUIs in such a way that the individual simulations talked to each other, transferring the data between them so that the user would not have to enter the same data multiple times. As well as adding help windows and pop up error boxes to guide the user in correctly using he simulation.</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59CFC9D3" w14:textId="77777777" w:rsidR="00420447" w:rsidRDefault="00420447" w:rsidP="00425758">
      <w:pPr>
        <w:spacing w:line="240" w:lineRule="auto"/>
        <w:jc w:val="center"/>
      </w:pPr>
    </w:p>
    <w:p w14:paraId="137E8DC1" w14:textId="77777777" w:rsidR="00420447" w:rsidRDefault="00420447" w:rsidP="00425758">
      <w:pPr>
        <w:spacing w:line="240" w:lineRule="auto"/>
        <w:jc w:val="center"/>
      </w:pPr>
    </w:p>
    <w:p w14:paraId="7910E061" w14:textId="77777777" w:rsidR="00420447" w:rsidRDefault="00420447" w:rsidP="00425758">
      <w:pPr>
        <w:spacing w:line="240" w:lineRule="auto"/>
        <w:jc w:val="center"/>
      </w:pPr>
    </w:p>
    <w:p w14:paraId="56B0A799" w14:textId="177CDD15" w:rsidR="00425758" w:rsidRDefault="00425758" w:rsidP="00420447">
      <w:pPr>
        <w:spacing w:line="240" w:lineRule="auto"/>
        <w:jc w:val="center"/>
      </w:pPr>
      <w:r>
        <w:t>Milestone 1 Summary</w:t>
      </w: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527E3522" w:rsidR="00FD519D" w:rsidRPr="00420447" w:rsidRDefault="00420447" w:rsidP="00420447">
      <w:pPr>
        <w:spacing w:line="240" w:lineRule="auto"/>
        <w:jc w:val="center"/>
        <w:rPr>
          <w:color w:val="000000" w:themeColor="text1"/>
        </w:rPr>
      </w:pPr>
      <w:r w:rsidRPr="00420447">
        <w:rPr>
          <w:color w:val="000000" w:themeColor="text1"/>
        </w:rPr>
        <w:t>Milestone 2 Summary</w:t>
      </w: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4EC92B79" w:rsidR="004E66AC" w:rsidRPr="00420447" w:rsidRDefault="00420447" w:rsidP="00420447">
      <w:pPr>
        <w:spacing w:line="240" w:lineRule="auto"/>
        <w:jc w:val="center"/>
        <w:rPr>
          <w:color w:val="000000" w:themeColor="text1"/>
        </w:rPr>
      </w:pPr>
      <w:r w:rsidRPr="00420447">
        <w:rPr>
          <w:color w:val="000000" w:themeColor="text1"/>
        </w:rPr>
        <w:t>Milestone 3 Summary</w:t>
      </w: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 xml:space="preserve">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w:t>
      </w:r>
      <w:proofErr w:type="gramStart"/>
      <w:r>
        <w:rPr>
          <w:color w:val="4F6228" w:themeColor="accent3" w:themeShade="80"/>
        </w:rPr>
        <w:t>however,</w:t>
      </w:r>
      <w:proofErr w:type="gramEnd"/>
      <w:r>
        <w:rPr>
          <w:color w:val="4F6228" w:themeColor="accent3" w:themeShade="80"/>
        </w:rPr>
        <w:t xml:space="preserve">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04D3509D" w14:textId="77777777" w:rsidR="00420447" w:rsidRDefault="00420447" w:rsidP="00425758">
      <w:pPr>
        <w:spacing w:line="240" w:lineRule="auto"/>
        <w:rPr>
          <w:color w:val="4F6228" w:themeColor="accent3" w:themeShade="80"/>
        </w:rPr>
      </w:pPr>
    </w:p>
    <w:p w14:paraId="5E3A14C0" w14:textId="16959DCC" w:rsidR="000C040B" w:rsidRPr="00420447" w:rsidRDefault="00420447" w:rsidP="00420447">
      <w:pPr>
        <w:spacing w:line="240" w:lineRule="auto"/>
        <w:jc w:val="center"/>
        <w:rPr>
          <w:color w:val="000000" w:themeColor="text1"/>
        </w:rPr>
      </w:pPr>
      <w:r w:rsidRPr="00420447">
        <w:rPr>
          <w:color w:val="000000" w:themeColor="text1"/>
        </w:rPr>
        <w:t>Milestone 4 Summary</w:t>
      </w: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39C83EAC" w:rsidR="00233B72" w:rsidRPr="00420447" w:rsidRDefault="00420447" w:rsidP="00420447">
      <w:pPr>
        <w:spacing w:line="240" w:lineRule="auto"/>
        <w:jc w:val="center"/>
        <w:rPr>
          <w:color w:val="000000" w:themeColor="text1"/>
        </w:rPr>
      </w:pPr>
      <w:r w:rsidRPr="00420447">
        <w:rPr>
          <w:color w:val="000000" w:themeColor="text1"/>
        </w:rPr>
        <w:t>Milestone 5 Summary</w:t>
      </w: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p>
    <w:p w14:paraId="6732CB86" w14:textId="521929B2" w:rsidR="00710947" w:rsidRPr="00420447" w:rsidRDefault="00420447" w:rsidP="00420447">
      <w:pPr>
        <w:spacing w:line="240" w:lineRule="auto"/>
        <w:jc w:val="center"/>
        <w:rPr>
          <w:color w:val="000000" w:themeColor="text1"/>
        </w:rPr>
      </w:pPr>
      <w:r w:rsidRPr="00420447">
        <w:rPr>
          <w:color w:val="000000" w:themeColor="text1"/>
        </w:rPr>
        <w:t>Milestone 6 Summary</w:t>
      </w:r>
    </w:p>
    <w:p w14:paraId="22B6D455" w14:textId="27133EAA" w:rsidR="00710947" w:rsidRDefault="00710947" w:rsidP="00425758">
      <w:pPr>
        <w:spacing w:line="240" w:lineRule="auto"/>
        <w:rPr>
          <w:color w:val="4F6228" w:themeColor="accent3" w:themeShade="80"/>
        </w:rPr>
      </w:pPr>
      <w:r>
        <w:rPr>
          <w:color w:val="4F6228" w:themeColor="accent3" w:themeShade="80"/>
        </w:rPr>
        <w:tab/>
        <w:t xml:space="preserve">Milestone 6 was the first submission of our simulation suite. It was our first iteration of the suite and was geared more to give an idea of what our GUIs would look like than for functionality. All the buttons worked and the control of the program moved between them as the navigation buttons were pushed. </w:t>
      </w:r>
    </w:p>
    <w:p w14:paraId="2857D03C" w14:textId="34B880EB" w:rsidR="00710947" w:rsidRDefault="00710947" w:rsidP="00425758">
      <w:pPr>
        <w:spacing w:line="240" w:lineRule="auto"/>
        <w:rPr>
          <w:color w:val="4F6228" w:themeColor="accent3" w:themeShade="80"/>
        </w:rPr>
      </w:pPr>
      <w:r>
        <w:rPr>
          <w:color w:val="4F6228" w:themeColor="accent3" w:themeShade="80"/>
        </w:rPr>
        <w:tab/>
        <w:t>We received very positive feedback on our work for M6, the only thing the grader mentioned was a small lack of uniformity between the navigation buttons, and different naming conventions had been used and not edited. There was also mention of the need for help windows. The other comments were more towards cosmetic issues, most of them stemming from a misconception that we were intending our suite for a younger less professional audience.</w:t>
      </w:r>
    </w:p>
    <w:p w14:paraId="1F8C1859" w14:textId="2278F097" w:rsidR="00710947" w:rsidRDefault="00710947" w:rsidP="00425758">
      <w:pPr>
        <w:spacing w:line="240" w:lineRule="auto"/>
        <w:rPr>
          <w:color w:val="4F6228" w:themeColor="accent3" w:themeShade="80"/>
        </w:rPr>
      </w:pPr>
      <w:r>
        <w:rPr>
          <w:color w:val="4F6228" w:themeColor="accent3" w:themeShade="80"/>
        </w:rPr>
        <w:tab/>
        <w:t xml:space="preserve">We have addressed the major feedback and cleared up the misunderstanding about our design aesthetic. We standardized our displayed buttons names and made them as uniform in window placement as we could, given the differences between our respective GUIs. We also added help windows with information about the use of our GUIs where necessary. </w:t>
      </w:r>
    </w:p>
    <w:p w14:paraId="1C54F786" w14:textId="2A616A02" w:rsidR="003767F2" w:rsidRPr="00420447" w:rsidRDefault="00420447" w:rsidP="00420447">
      <w:pPr>
        <w:spacing w:line="240" w:lineRule="auto"/>
        <w:jc w:val="center"/>
        <w:rPr>
          <w:color w:val="000000" w:themeColor="text1"/>
        </w:rPr>
      </w:pPr>
      <w:r w:rsidRPr="00420447">
        <w:rPr>
          <w:color w:val="000000" w:themeColor="text1"/>
        </w:rPr>
        <w:t>Milestone 7 Summary</w:t>
      </w:r>
    </w:p>
    <w:p w14:paraId="02A8A3AE" w14:textId="40105346" w:rsidR="003767F2" w:rsidRDefault="003767F2" w:rsidP="00425758">
      <w:pPr>
        <w:spacing w:line="240" w:lineRule="auto"/>
        <w:rPr>
          <w:color w:val="4F6228" w:themeColor="accent3" w:themeShade="80"/>
        </w:rPr>
      </w:pPr>
      <w:r>
        <w:rPr>
          <w:color w:val="4F6228" w:themeColor="accent3" w:themeShade="80"/>
        </w:rPr>
        <w:tab/>
        <w:t>Milestone 7 was a success. The main purpose of M7 was to demonstrate some functionality in our GUIs as well as fully functional navigation buttons. We received good feedback on our efforts. The only concern that was addressed by the reviewer was some inconsistency in our naming conventions. Some of our supplementary files were not named according to the proscribed standards. The one other note that was made was our lack of in-text citations.</w:t>
      </w:r>
    </w:p>
    <w:p w14:paraId="30C5FA92" w14:textId="256EEC59" w:rsidR="00425758" w:rsidRDefault="003767F2" w:rsidP="00420447">
      <w:pPr>
        <w:spacing w:line="240" w:lineRule="auto"/>
        <w:rPr>
          <w:color w:val="4F6228" w:themeColor="accent3" w:themeShade="80"/>
        </w:rPr>
      </w:pPr>
      <w:r>
        <w:rPr>
          <w:color w:val="4F6228" w:themeColor="accent3" w:themeShade="80"/>
        </w:rPr>
        <w:tab/>
        <w:t>As for our deviation from naming standards we have altered the filenames to conform to the standard. We are unable, however, to abide by the request for in text citations as all of our citations are related to our layouts themselves and fall under the category of ‘prior art.’ By their very nature it is impossible to include in-text citations in pictures or GUI layouts. We made an attempt to note this fact before we submitted the milestone but the grader apparently didn’t look at our source code for the explanation we left.</w:t>
      </w:r>
    </w:p>
    <w:p w14:paraId="4E4F1B39" w14:textId="77777777" w:rsidR="00793945" w:rsidRDefault="00793945" w:rsidP="00420447">
      <w:pPr>
        <w:spacing w:line="240" w:lineRule="auto"/>
        <w:rPr>
          <w:color w:val="4F6228" w:themeColor="accent3" w:themeShade="80"/>
        </w:rPr>
      </w:pPr>
    </w:p>
    <w:p w14:paraId="4BD43FAF" w14:textId="03826416" w:rsidR="00793945" w:rsidRDefault="00793945" w:rsidP="00793945">
      <w:pPr>
        <w:spacing w:line="240" w:lineRule="auto"/>
        <w:jc w:val="center"/>
        <w:rPr>
          <w:color w:val="000000" w:themeColor="text1"/>
        </w:rPr>
      </w:pPr>
      <w:r>
        <w:rPr>
          <w:color w:val="000000" w:themeColor="text1"/>
        </w:rPr>
        <w:t>Milestone 8 Summary</w:t>
      </w:r>
    </w:p>
    <w:p w14:paraId="3C465E2F" w14:textId="53FCD722" w:rsidR="00793945" w:rsidRDefault="00793945" w:rsidP="00793945">
      <w:pPr>
        <w:spacing w:line="240" w:lineRule="auto"/>
        <w:ind w:firstLine="720"/>
        <w:rPr>
          <w:color w:val="4F6228" w:themeColor="accent3" w:themeShade="80"/>
        </w:rPr>
      </w:pPr>
      <w:r>
        <w:rPr>
          <w:color w:val="4F6228" w:themeColor="accent3" w:themeShade="80"/>
        </w:rPr>
        <w:t>Milestone 8 was a presentation of our completed GUI suite to an external reviewer for their feedback as well as that of our team. We believe that M8 was a great success, all of our GUIs are fully functional, and the transfer of information between them occurred beautifully. The reviewer had a couple of concerns that mainly had to do with some oversights in our presentation such as our help texts not being sufficiently highlighted when we were describing our GUIs. Another was a problem with cross platform operability. Some of the static text boxes were cut off when the windows were first opened.</w:t>
      </w:r>
    </w:p>
    <w:p w14:paraId="6F52BBD5" w14:textId="6D0DAB7D" w:rsidR="00793945" w:rsidRDefault="00793945" w:rsidP="00793945">
      <w:pPr>
        <w:spacing w:line="240" w:lineRule="auto"/>
        <w:ind w:firstLine="720"/>
        <w:rPr>
          <w:color w:val="4F6228" w:themeColor="accent3" w:themeShade="80"/>
        </w:rPr>
      </w:pPr>
      <w:r>
        <w:rPr>
          <w:color w:val="4F6228" w:themeColor="accent3" w:themeShade="80"/>
        </w:rPr>
        <w:tab/>
        <w:t>We addressed the questions that the reviewer had about the help texts in the question answer period after our presentation. He was satisfied with the type of assistance available. The problem with the static text boxes is purely an issue with the difference of screen resolutions and different hardware defaults. We had previously accounted for this and made the windows resizable, if the window is maximized the issue is resolved. He agreed with our decision to not include in-text citations within our GUIs. We did not include them because there is no place for them, and because all of our citations are for prior art and those are by their nature unable to be included as in-text citations.</w:t>
      </w:r>
    </w:p>
    <w:p w14:paraId="31135747" w14:textId="77777777" w:rsidR="00660B46" w:rsidRDefault="00660B46" w:rsidP="00660B46">
      <w:pPr>
        <w:spacing w:line="240" w:lineRule="auto"/>
        <w:rPr>
          <w:color w:val="4F6228" w:themeColor="accent3" w:themeShade="80"/>
        </w:rPr>
      </w:pPr>
    </w:p>
    <w:p w14:paraId="4E0801B4" w14:textId="77777777" w:rsidR="00660B46" w:rsidRDefault="00660B46" w:rsidP="00660B46">
      <w:pPr>
        <w:spacing w:line="240" w:lineRule="auto"/>
        <w:rPr>
          <w:color w:val="4F6228" w:themeColor="accent3" w:themeShade="80"/>
        </w:rPr>
      </w:pPr>
    </w:p>
    <w:p w14:paraId="24363819" w14:textId="77777777" w:rsidR="00660B46" w:rsidRDefault="00660B46" w:rsidP="00660B46">
      <w:pPr>
        <w:spacing w:line="240" w:lineRule="auto"/>
        <w:rPr>
          <w:color w:val="4F6228" w:themeColor="accent3" w:themeShade="80"/>
        </w:rPr>
      </w:pPr>
    </w:p>
    <w:p w14:paraId="4F12EB87" w14:textId="23E268B8" w:rsidR="00660B46" w:rsidRDefault="00660B46" w:rsidP="00660B46">
      <w:pPr>
        <w:spacing w:line="240" w:lineRule="auto"/>
        <w:jc w:val="center"/>
        <w:rPr>
          <w:color w:val="000000" w:themeColor="text1"/>
        </w:rPr>
      </w:pPr>
      <w:r>
        <w:rPr>
          <w:color w:val="000000" w:themeColor="text1"/>
        </w:rPr>
        <w:t>M9 Summary</w:t>
      </w:r>
    </w:p>
    <w:p w14:paraId="3FD82A0B" w14:textId="3144A554" w:rsidR="00660B46" w:rsidRPr="00660B46" w:rsidRDefault="00660B46" w:rsidP="00660B46">
      <w:pPr>
        <w:spacing w:line="240" w:lineRule="auto"/>
        <w:ind w:firstLine="720"/>
        <w:rPr>
          <w:color w:val="4F6228" w:themeColor="accent3" w:themeShade="80"/>
        </w:rPr>
      </w:pPr>
      <w:r>
        <w:rPr>
          <w:color w:val="4F6228" w:themeColor="accent3" w:themeShade="80"/>
        </w:rPr>
        <w:t xml:space="preserve">M9 is the final </w:t>
      </w:r>
      <w:proofErr w:type="gramStart"/>
      <w:r>
        <w:rPr>
          <w:color w:val="4F6228" w:themeColor="accent3" w:themeShade="80"/>
        </w:rPr>
        <w:t>submission,</w:t>
      </w:r>
      <w:proofErr w:type="gramEnd"/>
      <w:r>
        <w:rPr>
          <w:color w:val="4F6228" w:themeColor="accent3" w:themeShade="80"/>
        </w:rPr>
        <w:t xml:space="preserve"> we will have applied all the alterations from previous milestones and will not have an opportunity to submit an evaluation of any feedback that we receive on our project in this report.</w:t>
      </w:r>
      <w:bookmarkStart w:id="0" w:name="_GoBack"/>
      <w:bookmarkEnd w:id="0"/>
    </w:p>
    <w:sectPr w:rsidR="00660B46" w:rsidRPr="00660B46"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2855F2"/>
    <w:rsid w:val="0033737D"/>
    <w:rsid w:val="003767F2"/>
    <w:rsid w:val="00393C6A"/>
    <w:rsid w:val="00420447"/>
    <w:rsid w:val="00425758"/>
    <w:rsid w:val="004E66AC"/>
    <w:rsid w:val="004F325C"/>
    <w:rsid w:val="005071A1"/>
    <w:rsid w:val="00523480"/>
    <w:rsid w:val="00554D8E"/>
    <w:rsid w:val="005B7A78"/>
    <w:rsid w:val="00660B46"/>
    <w:rsid w:val="00683A92"/>
    <w:rsid w:val="006A098F"/>
    <w:rsid w:val="00710947"/>
    <w:rsid w:val="00750261"/>
    <w:rsid w:val="00751FB4"/>
    <w:rsid w:val="00793945"/>
    <w:rsid w:val="00822A8C"/>
    <w:rsid w:val="00884647"/>
    <w:rsid w:val="00887EA3"/>
    <w:rsid w:val="008901F4"/>
    <w:rsid w:val="008F24EE"/>
    <w:rsid w:val="00903673"/>
    <w:rsid w:val="00A41743"/>
    <w:rsid w:val="00A712E2"/>
    <w:rsid w:val="00A84426"/>
    <w:rsid w:val="00AB35F9"/>
    <w:rsid w:val="00B8525F"/>
    <w:rsid w:val="00BB0ADD"/>
    <w:rsid w:val="00C2703D"/>
    <w:rsid w:val="00C30D0B"/>
    <w:rsid w:val="00C42CA9"/>
    <w:rsid w:val="00C538FC"/>
    <w:rsid w:val="00C7747E"/>
    <w:rsid w:val="00CA0CF3"/>
    <w:rsid w:val="00CB6B6A"/>
    <w:rsid w:val="00CD55E2"/>
    <w:rsid w:val="00D477A7"/>
    <w:rsid w:val="00DA69E6"/>
    <w:rsid w:val="00DB4E81"/>
    <w:rsid w:val="00E21A2C"/>
    <w:rsid w:val="00E270AA"/>
    <w:rsid w:val="00E6776C"/>
    <w:rsid w:val="00F54D82"/>
    <w:rsid w:val="00F93588"/>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2669</Words>
  <Characters>15214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17</cp:revision>
  <dcterms:created xsi:type="dcterms:W3CDTF">2015-02-09T20:30:00Z</dcterms:created>
  <dcterms:modified xsi:type="dcterms:W3CDTF">2015-04-30T02:46:00Z</dcterms:modified>
</cp:coreProperties>
</file>