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494" w:rsidRPr="00F85DAA" w:rsidRDefault="003D464B" w:rsidP="00AC4494">
      <w:pPr>
        <w:spacing w:line="360" w:lineRule="auto"/>
        <w:jc w:val="center"/>
        <w:rPr>
          <w:rFonts w:ascii="黑体" w:eastAsia="黑体" w:hAnsi="黑体"/>
          <w:b/>
          <w:sz w:val="36"/>
          <w:szCs w:val="36"/>
        </w:rPr>
      </w:pPr>
      <w:r w:rsidRPr="00F85DAA">
        <w:rPr>
          <w:rFonts w:ascii="黑体" w:eastAsia="黑体" w:hAnsi="黑体" w:hint="eastAsia"/>
          <w:b/>
          <w:sz w:val="36"/>
          <w:szCs w:val="36"/>
        </w:rPr>
        <w:t>企业</w:t>
      </w:r>
      <w:r w:rsidR="0033079C" w:rsidRPr="00F85DAA">
        <w:rPr>
          <w:rFonts w:ascii="黑体" w:eastAsia="黑体" w:hAnsi="黑体" w:hint="eastAsia"/>
          <w:b/>
          <w:sz w:val="36"/>
          <w:szCs w:val="36"/>
        </w:rPr>
        <w:t>间电子协作模式及</w:t>
      </w:r>
      <w:r w:rsidR="00AC4494" w:rsidRPr="00F85DAA">
        <w:rPr>
          <w:rFonts w:ascii="黑体" w:eastAsia="黑体" w:hAnsi="黑体" w:hint="eastAsia"/>
          <w:b/>
          <w:sz w:val="36"/>
          <w:szCs w:val="36"/>
        </w:rPr>
        <w:t>结构化数据接口模型的方案</w:t>
      </w:r>
    </w:p>
    <w:p w:rsidR="00AC4494" w:rsidRDefault="00AC4494" w:rsidP="00AC4494">
      <w:pPr>
        <w:spacing w:line="360" w:lineRule="auto"/>
        <w:jc w:val="center"/>
        <w:rPr>
          <w:sz w:val="24"/>
        </w:rPr>
      </w:pPr>
    </w:p>
    <w:p w:rsidR="001B0077" w:rsidRPr="005C4E3E" w:rsidRDefault="00760907" w:rsidP="00760907">
      <w:pPr>
        <w:spacing w:line="360" w:lineRule="auto"/>
        <w:rPr>
          <w:sz w:val="30"/>
          <w:szCs w:val="30"/>
        </w:rPr>
      </w:pPr>
      <w:r w:rsidRPr="005C4E3E">
        <w:rPr>
          <w:rFonts w:hint="eastAsia"/>
          <w:sz w:val="30"/>
          <w:szCs w:val="30"/>
        </w:rPr>
        <w:t>【</w:t>
      </w:r>
      <w:r w:rsidR="001666A9" w:rsidRPr="005C4E3E">
        <w:rPr>
          <w:rFonts w:hint="eastAsia"/>
          <w:sz w:val="30"/>
          <w:szCs w:val="30"/>
        </w:rPr>
        <w:t>方案背景</w:t>
      </w:r>
      <w:r w:rsidRPr="005C4E3E">
        <w:rPr>
          <w:rFonts w:hint="eastAsia"/>
          <w:sz w:val="30"/>
          <w:szCs w:val="30"/>
        </w:rPr>
        <w:t>】</w:t>
      </w:r>
    </w:p>
    <w:p w:rsidR="00AC4494" w:rsidRPr="00AC4494" w:rsidRDefault="00AC4494" w:rsidP="00AC4494">
      <w:pPr>
        <w:spacing w:line="360" w:lineRule="auto"/>
        <w:ind w:firstLine="360"/>
        <w:rPr>
          <w:sz w:val="24"/>
        </w:rPr>
      </w:pPr>
      <w:r w:rsidRPr="00AC4494">
        <w:rPr>
          <w:rFonts w:hint="eastAsia"/>
          <w:sz w:val="24"/>
        </w:rPr>
        <w:t>随着市场的不断发展，各种创新层出不穷</w:t>
      </w:r>
      <w:r w:rsidRPr="00AC4494">
        <w:rPr>
          <w:sz w:val="24"/>
        </w:rPr>
        <w:t>，</w:t>
      </w:r>
      <w:r w:rsidRPr="00AC4494">
        <w:rPr>
          <w:rFonts w:hint="eastAsia"/>
          <w:sz w:val="24"/>
        </w:rPr>
        <w:t>各种公司的业务</w:t>
      </w:r>
      <w:r w:rsidRPr="00AC4494">
        <w:rPr>
          <w:sz w:val="24"/>
        </w:rPr>
        <w:t>也正在变得越来越繁多、复杂，</w:t>
      </w:r>
      <w:r w:rsidRPr="00AC4494">
        <w:rPr>
          <w:rFonts w:hint="eastAsia"/>
          <w:sz w:val="24"/>
        </w:rPr>
        <w:t>公司</w:t>
      </w:r>
      <w:r w:rsidRPr="00AC4494">
        <w:rPr>
          <w:sz w:val="24"/>
        </w:rPr>
        <w:t>对</w:t>
      </w:r>
      <w:r w:rsidRPr="00AC4494">
        <w:rPr>
          <w:rFonts w:hint="eastAsia"/>
          <w:sz w:val="24"/>
        </w:rPr>
        <w:t>业务</w:t>
      </w:r>
      <w:r w:rsidRPr="00AC4494">
        <w:rPr>
          <w:sz w:val="24"/>
        </w:rPr>
        <w:t>的管理要求越来越高</w:t>
      </w:r>
      <w:r w:rsidRPr="00AC4494">
        <w:rPr>
          <w:rFonts w:hint="eastAsia"/>
          <w:sz w:val="24"/>
        </w:rPr>
        <w:t>，因此</w:t>
      </w:r>
      <w:r w:rsidR="00BB1849">
        <w:rPr>
          <w:rFonts w:hint="eastAsia"/>
          <w:sz w:val="24"/>
        </w:rPr>
        <w:t>有些</w:t>
      </w:r>
      <w:r w:rsidR="001F4EB5">
        <w:rPr>
          <w:rFonts w:hint="eastAsia"/>
          <w:sz w:val="24"/>
        </w:rPr>
        <w:t>企业</w:t>
      </w:r>
      <w:r w:rsidRPr="00AC4494">
        <w:rPr>
          <w:rFonts w:hint="eastAsia"/>
          <w:sz w:val="24"/>
        </w:rPr>
        <w:t>正通过架构一个业务流程管理系统（</w:t>
      </w:r>
      <w:r w:rsidRPr="00AC4494">
        <w:rPr>
          <w:rFonts w:hint="eastAsia"/>
          <w:sz w:val="24"/>
        </w:rPr>
        <w:t>BPM</w:t>
      </w:r>
      <w:r w:rsidRPr="00AC4494">
        <w:rPr>
          <w:rFonts w:hint="eastAsia"/>
          <w:sz w:val="24"/>
        </w:rPr>
        <w:t>），来实现业务</w:t>
      </w:r>
      <w:r w:rsidR="00F70C80">
        <w:rPr>
          <w:rFonts w:hint="eastAsia"/>
          <w:sz w:val="24"/>
        </w:rPr>
        <w:t>流程的高效管理，达到整合公司的现有资源，满足业务不断变化的需求；</w:t>
      </w:r>
      <w:r w:rsidR="00BB1849">
        <w:rPr>
          <w:rFonts w:hint="eastAsia"/>
          <w:sz w:val="24"/>
        </w:rPr>
        <w:t>但是仅仅停留在本</w:t>
      </w:r>
      <w:r w:rsidR="001F4EB5">
        <w:rPr>
          <w:rFonts w:hint="eastAsia"/>
          <w:sz w:val="24"/>
        </w:rPr>
        <w:t>企业</w:t>
      </w:r>
      <w:r w:rsidR="00BB1849">
        <w:rPr>
          <w:rFonts w:hint="eastAsia"/>
          <w:sz w:val="24"/>
        </w:rPr>
        <w:t>内部业务流转还不够，如何有效的实现与外</w:t>
      </w:r>
      <w:r w:rsidR="001F4EB5">
        <w:rPr>
          <w:rFonts w:hint="eastAsia"/>
          <w:sz w:val="24"/>
        </w:rPr>
        <w:t>企业</w:t>
      </w:r>
      <w:r w:rsidR="00C02F66">
        <w:rPr>
          <w:rFonts w:hint="eastAsia"/>
          <w:sz w:val="24"/>
        </w:rPr>
        <w:t>系统的对接、</w:t>
      </w:r>
      <w:r w:rsidR="00BB1849">
        <w:rPr>
          <w:rFonts w:hint="eastAsia"/>
          <w:sz w:val="24"/>
        </w:rPr>
        <w:t>协作</w:t>
      </w:r>
      <w:r w:rsidR="00C02F66">
        <w:rPr>
          <w:rFonts w:hint="eastAsia"/>
          <w:sz w:val="24"/>
        </w:rPr>
        <w:t>，将极大的提高</w:t>
      </w:r>
      <w:r w:rsidR="001F4EB5">
        <w:rPr>
          <w:rFonts w:hint="eastAsia"/>
          <w:sz w:val="24"/>
        </w:rPr>
        <w:t>企业之间</w:t>
      </w:r>
      <w:r w:rsidR="00C02F66">
        <w:rPr>
          <w:rFonts w:hint="eastAsia"/>
          <w:sz w:val="24"/>
        </w:rPr>
        <w:t>业务部门业务处理的便利性</w:t>
      </w:r>
      <w:r w:rsidR="006D3565">
        <w:rPr>
          <w:rFonts w:hint="eastAsia"/>
          <w:sz w:val="24"/>
        </w:rPr>
        <w:t>。</w:t>
      </w:r>
    </w:p>
    <w:p w:rsidR="00AC4494" w:rsidRPr="003F0E9D" w:rsidRDefault="00AC4494" w:rsidP="003F0E9D">
      <w:pPr>
        <w:spacing w:line="360" w:lineRule="auto"/>
        <w:rPr>
          <w:sz w:val="24"/>
        </w:rPr>
      </w:pPr>
    </w:p>
    <w:p w:rsidR="001666A9" w:rsidRPr="005C4E3E" w:rsidRDefault="00760907" w:rsidP="00760907">
      <w:pPr>
        <w:spacing w:line="360" w:lineRule="auto"/>
        <w:rPr>
          <w:sz w:val="30"/>
          <w:szCs w:val="30"/>
        </w:rPr>
      </w:pPr>
      <w:r w:rsidRPr="005C4E3E">
        <w:rPr>
          <w:rFonts w:hint="eastAsia"/>
          <w:sz w:val="30"/>
          <w:szCs w:val="30"/>
        </w:rPr>
        <w:t>【</w:t>
      </w:r>
      <w:r w:rsidR="001666A9" w:rsidRPr="005C4E3E">
        <w:rPr>
          <w:rFonts w:hint="eastAsia"/>
          <w:sz w:val="30"/>
          <w:szCs w:val="30"/>
        </w:rPr>
        <w:t>需求来源</w:t>
      </w:r>
      <w:r w:rsidRPr="005C4E3E">
        <w:rPr>
          <w:rFonts w:hint="eastAsia"/>
          <w:sz w:val="30"/>
          <w:szCs w:val="30"/>
        </w:rPr>
        <w:t>】</w:t>
      </w:r>
    </w:p>
    <w:p w:rsidR="00ED730A" w:rsidRDefault="00ED730A" w:rsidP="00ED730A">
      <w:pPr>
        <w:pStyle w:val="a5"/>
        <w:spacing w:line="360" w:lineRule="auto"/>
        <w:ind w:firstLineChars="0" w:firstLine="360"/>
        <w:rPr>
          <w:sz w:val="24"/>
        </w:rPr>
      </w:pPr>
      <w:r w:rsidRPr="00ED730A">
        <w:rPr>
          <w:rFonts w:hint="eastAsia"/>
          <w:sz w:val="24"/>
        </w:rPr>
        <w:t>中国结算深圳分公司和深圳交易所，有许多业务需要相互交互</w:t>
      </w:r>
      <w:r w:rsidR="0067224A">
        <w:rPr>
          <w:rFonts w:hint="eastAsia"/>
          <w:sz w:val="24"/>
        </w:rPr>
        <w:t>并且</w:t>
      </w:r>
      <w:r w:rsidR="0067224A" w:rsidRPr="00D83814">
        <w:rPr>
          <w:rFonts w:hint="eastAsia"/>
          <w:sz w:val="24"/>
        </w:rPr>
        <w:t>双方业务结合非常紧密</w:t>
      </w:r>
      <w:r w:rsidRPr="00ED730A">
        <w:rPr>
          <w:rFonts w:hint="eastAsia"/>
          <w:sz w:val="24"/>
        </w:rPr>
        <w:t>，以前的业务交互，多采用传真签收的方式进行，为了提高效率以及电子化水平，</w:t>
      </w:r>
      <w:r w:rsidR="00CA0021">
        <w:rPr>
          <w:rFonts w:hint="eastAsia"/>
          <w:sz w:val="24"/>
        </w:rPr>
        <w:t>需</w:t>
      </w:r>
      <w:r w:rsidRPr="00ED730A">
        <w:rPr>
          <w:rFonts w:hint="eastAsia"/>
          <w:sz w:val="24"/>
        </w:rPr>
        <w:t>采用基于电子表单签收</w:t>
      </w:r>
      <w:r w:rsidR="00CA0021">
        <w:rPr>
          <w:rFonts w:hint="eastAsia"/>
          <w:sz w:val="24"/>
        </w:rPr>
        <w:t>的方式来实现</w:t>
      </w:r>
      <w:r w:rsidRPr="00ED730A">
        <w:rPr>
          <w:rFonts w:hint="eastAsia"/>
          <w:sz w:val="24"/>
        </w:rPr>
        <w:t>跨单位</w:t>
      </w:r>
      <w:r w:rsidR="00CA0021">
        <w:rPr>
          <w:rFonts w:hint="eastAsia"/>
          <w:sz w:val="24"/>
        </w:rPr>
        <w:t>的</w:t>
      </w:r>
      <w:r w:rsidRPr="00ED730A">
        <w:rPr>
          <w:rFonts w:hint="eastAsia"/>
          <w:sz w:val="24"/>
        </w:rPr>
        <w:t>协作，</w:t>
      </w:r>
      <w:r w:rsidR="00CA0021">
        <w:rPr>
          <w:rFonts w:hint="eastAsia"/>
          <w:sz w:val="24"/>
        </w:rPr>
        <w:t>以便替代以前的纸质传真</w:t>
      </w:r>
      <w:r w:rsidRPr="00ED730A">
        <w:rPr>
          <w:rFonts w:hint="eastAsia"/>
          <w:sz w:val="24"/>
        </w:rPr>
        <w:t>方式</w:t>
      </w:r>
      <w:r>
        <w:rPr>
          <w:rFonts w:hint="eastAsia"/>
          <w:sz w:val="24"/>
        </w:rPr>
        <w:t>；</w:t>
      </w:r>
      <w:r w:rsidR="0067224A">
        <w:rPr>
          <w:rFonts w:hint="eastAsia"/>
          <w:sz w:val="24"/>
        </w:rPr>
        <w:t>并</w:t>
      </w:r>
      <w:r w:rsidR="00CA0021">
        <w:rPr>
          <w:rFonts w:hint="eastAsia"/>
          <w:sz w:val="24"/>
        </w:rPr>
        <w:t>能</w:t>
      </w:r>
      <w:r w:rsidR="0067224A">
        <w:rPr>
          <w:rFonts w:hint="eastAsia"/>
          <w:sz w:val="24"/>
        </w:rPr>
        <w:t>通过结构化数据接口</w:t>
      </w:r>
      <w:r w:rsidR="0067224A" w:rsidRPr="0067224A">
        <w:rPr>
          <w:rFonts w:hint="eastAsia"/>
          <w:sz w:val="24"/>
        </w:rPr>
        <w:t>把</w:t>
      </w:r>
      <w:r w:rsidR="005C4E3E">
        <w:rPr>
          <w:rFonts w:hint="eastAsia"/>
          <w:sz w:val="24"/>
        </w:rPr>
        <w:t>深交所</w:t>
      </w:r>
      <w:r w:rsidR="0067224A" w:rsidRPr="0067224A">
        <w:rPr>
          <w:rFonts w:hint="eastAsia"/>
          <w:sz w:val="24"/>
        </w:rPr>
        <w:t>发过来的数据</w:t>
      </w:r>
      <w:r w:rsidR="0067224A">
        <w:rPr>
          <w:rFonts w:hint="eastAsia"/>
          <w:sz w:val="24"/>
        </w:rPr>
        <w:t>进行结构化</w:t>
      </w:r>
      <w:r w:rsidR="0067224A" w:rsidRPr="0067224A">
        <w:rPr>
          <w:rFonts w:hint="eastAsia"/>
          <w:sz w:val="24"/>
        </w:rPr>
        <w:t>，传入到具体的业务流程中去，实现双方</w:t>
      </w:r>
      <w:r w:rsidR="0067224A">
        <w:rPr>
          <w:rFonts w:hint="eastAsia"/>
          <w:sz w:val="24"/>
        </w:rPr>
        <w:t>系统</w:t>
      </w:r>
      <w:r w:rsidR="0067224A" w:rsidRPr="0067224A">
        <w:rPr>
          <w:rFonts w:hint="eastAsia"/>
          <w:sz w:val="24"/>
        </w:rPr>
        <w:t>的</w:t>
      </w:r>
      <w:r w:rsidR="0067224A">
        <w:rPr>
          <w:rFonts w:hint="eastAsia"/>
          <w:sz w:val="24"/>
        </w:rPr>
        <w:t>真正电子数据</w:t>
      </w:r>
      <w:r w:rsidR="0067224A" w:rsidRPr="0067224A">
        <w:rPr>
          <w:rFonts w:hint="eastAsia"/>
          <w:sz w:val="24"/>
        </w:rPr>
        <w:t>对接。</w:t>
      </w:r>
    </w:p>
    <w:p w:rsidR="004743AA" w:rsidRPr="003F0E9D" w:rsidRDefault="004743AA" w:rsidP="003F0E9D">
      <w:pPr>
        <w:spacing w:line="360" w:lineRule="auto"/>
        <w:rPr>
          <w:sz w:val="24"/>
        </w:rPr>
      </w:pPr>
    </w:p>
    <w:p w:rsidR="004743AA" w:rsidRDefault="005C4E3E" w:rsidP="00F85DAA">
      <w:pPr>
        <w:spacing w:line="360" w:lineRule="auto"/>
        <w:rPr>
          <w:rFonts w:hint="eastAsia"/>
          <w:sz w:val="30"/>
          <w:szCs w:val="30"/>
        </w:rPr>
      </w:pPr>
      <w:r w:rsidRPr="005C4E3E">
        <w:rPr>
          <w:rFonts w:hint="eastAsia"/>
          <w:sz w:val="30"/>
          <w:szCs w:val="30"/>
        </w:rPr>
        <w:t>【</w:t>
      </w:r>
      <w:r w:rsidR="001666A9" w:rsidRPr="005C4E3E">
        <w:rPr>
          <w:rFonts w:hint="eastAsia"/>
          <w:sz w:val="30"/>
          <w:szCs w:val="30"/>
        </w:rPr>
        <w:t>方案设计</w:t>
      </w:r>
      <w:r w:rsidRPr="005C4E3E">
        <w:rPr>
          <w:rFonts w:hint="eastAsia"/>
          <w:sz w:val="30"/>
          <w:szCs w:val="30"/>
        </w:rPr>
        <w:t>】</w:t>
      </w:r>
    </w:p>
    <w:p w:rsidR="00F85DAA" w:rsidRPr="00F85DAA" w:rsidRDefault="00F85DAA" w:rsidP="00F85DAA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 w:rsidRPr="00F85DAA">
        <w:rPr>
          <w:rFonts w:ascii="黑体" w:eastAsia="黑体" w:hAnsi="黑体" w:hint="eastAsia"/>
          <w:b/>
          <w:sz w:val="28"/>
          <w:szCs w:val="28"/>
        </w:rPr>
        <w:t>1.模型的系统物理架构图</w:t>
      </w:r>
    </w:p>
    <w:p w:rsidR="005C4E3E" w:rsidRDefault="007B23BA" w:rsidP="005C4E3E">
      <w:pPr>
        <w:pStyle w:val="a5"/>
        <w:spacing w:line="360" w:lineRule="auto"/>
        <w:ind w:left="360" w:firstLineChars="0" w:firstLine="0"/>
      </w:pPr>
      <w:r>
        <w:object w:dxaOrig="9981" w:dyaOrig="6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3.35pt" o:ole="">
            <v:imagedata r:id="rId7" o:title=""/>
          </v:shape>
          <o:OLEObject Type="Embed" ProgID="Visio.Drawing.11" ShapeID="_x0000_i1025" DrawAspect="Content" ObjectID="_1438673727" r:id="rId8"/>
        </w:object>
      </w:r>
    </w:p>
    <w:p w:rsidR="004743AA" w:rsidRPr="005C4E3E" w:rsidRDefault="007B23BA" w:rsidP="005C4E3E">
      <w:pPr>
        <w:spacing w:line="360" w:lineRule="auto"/>
        <w:rPr>
          <w:sz w:val="24"/>
        </w:rPr>
      </w:pPr>
      <w:r w:rsidRPr="005C4E3E">
        <w:rPr>
          <w:rFonts w:hint="eastAsia"/>
          <w:sz w:val="24"/>
        </w:rPr>
        <w:t>如上图所示，结算公司</w:t>
      </w:r>
      <w:r w:rsidRPr="005C4E3E">
        <w:rPr>
          <w:rFonts w:hint="eastAsia"/>
          <w:sz w:val="24"/>
        </w:rPr>
        <w:t>BPM</w:t>
      </w:r>
      <w:r w:rsidRPr="005C4E3E">
        <w:rPr>
          <w:rFonts w:hint="eastAsia"/>
          <w:sz w:val="24"/>
        </w:rPr>
        <w:t>与深交所</w:t>
      </w:r>
      <w:r w:rsidRPr="005C4E3E">
        <w:rPr>
          <w:rFonts w:hint="eastAsia"/>
          <w:sz w:val="24"/>
        </w:rPr>
        <w:t>BPM</w:t>
      </w:r>
      <w:r w:rsidRPr="005C4E3E">
        <w:rPr>
          <w:rFonts w:hint="eastAsia"/>
          <w:sz w:val="24"/>
        </w:rPr>
        <w:t>系统交互都是通过两边的数据交换网关（</w:t>
      </w:r>
      <w:r w:rsidRPr="005C4E3E">
        <w:rPr>
          <w:rFonts w:hint="eastAsia"/>
          <w:sz w:val="24"/>
        </w:rPr>
        <w:t>DXP</w:t>
      </w:r>
      <w:r w:rsidRPr="005C4E3E">
        <w:rPr>
          <w:rFonts w:hint="eastAsia"/>
          <w:sz w:val="24"/>
        </w:rPr>
        <w:t>）来实现向对方</w:t>
      </w:r>
      <w:r w:rsidRPr="005C4E3E">
        <w:rPr>
          <w:rFonts w:hint="eastAsia"/>
          <w:sz w:val="24"/>
        </w:rPr>
        <w:t>BPM</w:t>
      </w:r>
      <w:r w:rsidRPr="005C4E3E">
        <w:rPr>
          <w:rFonts w:hint="eastAsia"/>
          <w:sz w:val="24"/>
        </w:rPr>
        <w:t>系统调用</w:t>
      </w:r>
      <w:r w:rsidRPr="005C4E3E">
        <w:rPr>
          <w:rFonts w:hint="eastAsia"/>
          <w:sz w:val="24"/>
        </w:rPr>
        <w:t>WEB</w:t>
      </w:r>
      <w:r w:rsidRPr="005C4E3E">
        <w:rPr>
          <w:rFonts w:hint="eastAsia"/>
          <w:sz w:val="24"/>
        </w:rPr>
        <w:t>服务，两个数据交换平台相互则采用</w:t>
      </w:r>
      <w:r w:rsidRPr="005C4E3E">
        <w:rPr>
          <w:rFonts w:hint="eastAsia"/>
          <w:sz w:val="24"/>
        </w:rPr>
        <w:t>SOCKET</w:t>
      </w:r>
      <w:r w:rsidRPr="005C4E3E">
        <w:rPr>
          <w:rFonts w:hint="eastAsia"/>
          <w:sz w:val="24"/>
        </w:rPr>
        <w:t>协议进行通讯，而双方的文件交互是通过</w:t>
      </w:r>
      <w:r w:rsidRPr="005C4E3E">
        <w:rPr>
          <w:rFonts w:hint="eastAsia"/>
          <w:sz w:val="24"/>
        </w:rPr>
        <w:t>FTP</w:t>
      </w:r>
      <w:r w:rsidRPr="005C4E3E">
        <w:rPr>
          <w:rFonts w:hint="eastAsia"/>
          <w:sz w:val="24"/>
        </w:rPr>
        <w:t>协议进行传输。</w:t>
      </w:r>
    </w:p>
    <w:p w:rsidR="00F83534" w:rsidRPr="00F83534" w:rsidRDefault="00F83534" w:rsidP="00F83534">
      <w:pPr>
        <w:spacing w:line="360" w:lineRule="auto"/>
        <w:rPr>
          <w:sz w:val="24"/>
        </w:rPr>
      </w:pPr>
    </w:p>
    <w:p w:rsidR="00F83534" w:rsidRPr="005C4E3E" w:rsidRDefault="00A15378" w:rsidP="00F8353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5C4E3E">
        <w:rPr>
          <w:rFonts w:ascii="黑体" w:eastAsia="黑体" w:hAnsi="黑体" w:hint="eastAsia"/>
          <w:b/>
          <w:sz w:val="28"/>
          <w:szCs w:val="28"/>
        </w:rPr>
        <w:t>2.</w:t>
      </w:r>
      <w:r w:rsidR="00F83534" w:rsidRPr="005C4E3E">
        <w:rPr>
          <w:rFonts w:ascii="黑体" w:eastAsia="黑体" w:hAnsi="黑体" w:hint="eastAsia"/>
          <w:b/>
          <w:sz w:val="28"/>
          <w:szCs w:val="28"/>
        </w:rPr>
        <w:t>消息格式</w:t>
      </w:r>
      <w:r w:rsidR="006E3560" w:rsidRPr="005C4E3E">
        <w:rPr>
          <w:rFonts w:ascii="黑体" w:eastAsia="黑体" w:hAnsi="黑体" w:hint="eastAsia"/>
          <w:b/>
          <w:sz w:val="28"/>
          <w:szCs w:val="28"/>
        </w:rPr>
        <w:t>的定义</w:t>
      </w:r>
    </w:p>
    <w:p w:rsidR="00F83534" w:rsidRDefault="00F83534" w:rsidP="00F83534">
      <w:pPr>
        <w:spacing w:line="360" w:lineRule="auto"/>
        <w:ind w:firstLine="360"/>
        <w:rPr>
          <w:sz w:val="24"/>
        </w:rPr>
      </w:pPr>
      <w:r w:rsidRPr="00F83534">
        <w:rPr>
          <w:rFonts w:hint="eastAsia"/>
          <w:sz w:val="24"/>
        </w:rPr>
        <w:t>为了改善系统交互的结构，数据交换平台将为消息发送者和接收者规范统一消息结构，所有传输消息都必须封装在统一的消息架构中，其表现目前支持两种方式：</w:t>
      </w:r>
      <w:r w:rsidRPr="00F83534">
        <w:rPr>
          <w:rFonts w:hint="eastAsia"/>
          <w:sz w:val="24"/>
        </w:rPr>
        <w:t>XML</w:t>
      </w:r>
      <w:r w:rsidRPr="00F83534">
        <w:rPr>
          <w:rFonts w:hint="eastAsia"/>
          <w:sz w:val="24"/>
        </w:rPr>
        <w:t>格式及平面文件格式。数据交换平台将根据消息的来源、类型和目标定制分发策略进行分发。</w:t>
      </w:r>
    </w:p>
    <w:p w:rsidR="00F83534" w:rsidRDefault="00566059" w:rsidP="00F83534">
      <w:pPr>
        <w:spacing w:line="360" w:lineRule="auto"/>
        <w:ind w:firstLine="360"/>
      </w:pPr>
      <w:r>
        <w:object w:dxaOrig="5367" w:dyaOrig="3853">
          <v:shape id="_x0000_i1026" type="#_x0000_t75" style="width:268.3pt;height:192.9pt" o:ole="">
            <v:imagedata r:id="rId9" o:title=""/>
          </v:shape>
          <o:OLEObject Type="Embed" ProgID="Visio.Drawing.11" ShapeID="_x0000_i1026" DrawAspect="Content" ObjectID="_1438673728" r:id="rId10"/>
        </w:object>
      </w:r>
    </w:p>
    <w:p w:rsidR="00566059" w:rsidRDefault="00566059" w:rsidP="00F83534">
      <w:pPr>
        <w:spacing w:line="360" w:lineRule="auto"/>
        <w:ind w:firstLine="360"/>
        <w:rPr>
          <w:sz w:val="24"/>
        </w:rPr>
      </w:pPr>
      <w:r>
        <w:rPr>
          <w:rFonts w:hint="eastAsia"/>
          <w:sz w:val="24"/>
        </w:rPr>
        <w:t>如上图，每个消息都包含消息头和消息体两部分，</w:t>
      </w:r>
      <w:r w:rsidRPr="00566059">
        <w:rPr>
          <w:rFonts w:hint="eastAsia"/>
          <w:sz w:val="24"/>
        </w:rPr>
        <w:t>消息体即为真正的业务消息。</w:t>
      </w:r>
    </w:p>
    <w:p w:rsidR="00566059" w:rsidRPr="00BD4BCD" w:rsidRDefault="00566059" w:rsidP="00566059">
      <w:pPr>
        <w:spacing w:line="360" w:lineRule="auto"/>
        <w:ind w:firstLine="360"/>
        <w:rPr>
          <w:b/>
          <w:sz w:val="24"/>
        </w:rPr>
      </w:pPr>
      <w:r w:rsidRPr="00BD4BCD">
        <w:rPr>
          <w:rFonts w:hint="eastAsia"/>
          <w:b/>
          <w:sz w:val="24"/>
        </w:rPr>
        <w:t>具体的消息格式及约定请参考相关下载中的文档【业务系统数据交换平台</w:t>
      </w:r>
      <w:r w:rsidRPr="00BD4BCD">
        <w:rPr>
          <w:rFonts w:hint="eastAsia"/>
          <w:b/>
          <w:sz w:val="24"/>
        </w:rPr>
        <w:t xml:space="preserve"> </w:t>
      </w:r>
      <w:r w:rsidRPr="00BD4BCD">
        <w:rPr>
          <w:rFonts w:hint="eastAsia"/>
          <w:b/>
          <w:sz w:val="24"/>
        </w:rPr>
        <w:t>对外接口概要设计】</w:t>
      </w:r>
    </w:p>
    <w:p w:rsidR="002D3EED" w:rsidRDefault="002D3EED" w:rsidP="00566059">
      <w:pPr>
        <w:spacing w:line="360" w:lineRule="auto"/>
        <w:ind w:firstLine="360"/>
        <w:rPr>
          <w:sz w:val="24"/>
        </w:rPr>
      </w:pPr>
    </w:p>
    <w:p w:rsidR="006E3560" w:rsidRPr="00A825A4" w:rsidRDefault="002D3EED" w:rsidP="002D3EE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A825A4">
        <w:rPr>
          <w:rFonts w:ascii="黑体" w:eastAsia="黑体" w:hAnsi="黑体" w:hint="eastAsia"/>
          <w:b/>
          <w:sz w:val="28"/>
          <w:szCs w:val="28"/>
        </w:rPr>
        <w:t>3.</w:t>
      </w:r>
      <w:r w:rsidR="0000061E" w:rsidRPr="00A825A4">
        <w:rPr>
          <w:rFonts w:ascii="黑体" w:eastAsia="黑体" w:hAnsi="黑体" w:hint="eastAsia"/>
          <w:b/>
          <w:sz w:val="28"/>
          <w:szCs w:val="28"/>
        </w:rPr>
        <w:t>模型的技术结构</w:t>
      </w:r>
    </w:p>
    <w:p w:rsidR="0000061E" w:rsidRPr="00A825A4" w:rsidRDefault="00A825A4" w:rsidP="002D3EED">
      <w:pPr>
        <w:spacing w:line="360" w:lineRule="auto"/>
        <w:rPr>
          <w:b/>
          <w:sz w:val="24"/>
        </w:rPr>
      </w:pPr>
      <w:r w:rsidRPr="00A825A4">
        <w:rPr>
          <w:rFonts w:hint="eastAsia"/>
          <w:b/>
          <w:sz w:val="24"/>
        </w:rPr>
        <w:t>接收通知技术结构</w:t>
      </w:r>
      <w:r w:rsidR="0000061E" w:rsidRPr="00A825A4">
        <w:rPr>
          <w:rFonts w:hint="eastAsia"/>
          <w:b/>
          <w:sz w:val="24"/>
        </w:rPr>
        <w:t>图：</w:t>
      </w:r>
    </w:p>
    <w:p w:rsidR="00141140" w:rsidRDefault="0000061E" w:rsidP="0000061E">
      <w:pPr>
        <w:spacing w:line="360" w:lineRule="auto"/>
        <w:jc w:val="center"/>
        <w:rPr>
          <w:sz w:val="24"/>
        </w:rPr>
      </w:pPr>
      <w:r w:rsidRPr="0000061E">
        <w:rPr>
          <w:noProof/>
          <w:sz w:val="24"/>
        </w:rPr>
        <w:lastRenderedPageBreak/>
        <w:drawing>
          <wp:inline distT="0" distB="0" distL="0" distR="0">
            <wp:extent cx="4101746" cy="4786346"/>
            <wp:effectExtent l="1905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46" cy="478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41140" w:rsidRDefault="00141140" w:rsidP="00FD521E">
      <w:pPr>
        <w:spacing w:line="360" w:lineRule="auto"/>
        <w:rPr>
          <w:sz w:val="24"/>
        </w:rPr>
      </w:pPr>
      <w:r>
        <w:rPr>
          <w:rFonts w:hint="eastAsia"/>
          <w:sz w:val="24"/>
        </w:rPr>
        <w:t>整个处理过程如下：</w:t>
      </w:r>
    </w:p>
    <w:p w:rsidR="00FD521E" w:rsidRPr="00141140" w:rsidRDefault="00FD521E" w:rsidP="00FD521E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Pr="00FD521E">
        <w:rPr>
          <w:rFonts w:hint="eastAsia"/>
          <w:sz w:val="24"/>
        </w:rPr>
        <w:t>统一接口服务接收深交所发来的文件传真</w:t>
      </w:r>
    </w:p>
    <w:p w:rsidR="00FD521E" w:rsidRDefault="00141140" w:rsidP="00FD521E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 w:rsidRPr="00141140">
        <w:rPr>
          <w:rFonts w:hint="eastAsia"/>
          <w:sz w:val="24"/>
        </w:rPr>
        <w:t>根据不同的内容启动业务流程</w:t>
      </w:r>
      <w:r w:rsidRPr="00141140">
        <w:rPr>
          <w:rFonts w:hint="eastAsia"/>
          <w:sz w:val="24"/>
        </w:rPr>
        <w:t xml:space="preserve"> </w:t>
      </w:r>
    </w:p>
    <w:p w:rsidR="00141140" w:rsidRPr="00141140" w:rsidRDefault="00FD521E" w:rsidP="00FD521E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  <w:r w:rsidR="00141140" w:rsidRPr="00141140">
        <w:rPr>
          <w:rFonts w:hint="eastAsia"/>
          <w:sz w:val="24"/>
        </w:rPr>
        <w:t>业务人员登录</w:t>
      </w:r>
      <w:r w:rsidR="00141140" w:rsidRPr="00141140">
        <w:rPr>
          <w:rFonts w:hint="eastAsia"/>
          <w:sz w:val="24"/>
        </w:rPr>
        <w:t>BPM</w:t>
      </w:r>
      <w:r w:rsidR="00141140" w:rsidRPr="00141140">
        <w:rPr>
          <w:rFonts w:hint="eastAsia"/>
          <w:sz w:val="24"/>
        </w:rPr>
        <w:t>系统，通过待办处理文件通知</w:t>
      </w:r>
      <w:r w:rsidR="00141140" w:rsidRPr="00141140">
        <w:rPr>
          <w:rFonts w:hint="eastAsia"/>
          <w:sz w:val="24"/>
        </w:rPr>
        <w:t xml:space="preserve"> </w:t>
      </w:r>
    </w:p>
    <w:p w:rsidR="00141140" w:rsidRDefault="00141140" w:rsidP="00141140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）、</w:t>
      </w:r>
      <w:r w:rsidRPr="00141140">
        <w:rPr>
          <w:rFonts w:hint="eastAsia"/>
          <w:sz w:val="24"/>
        </w:rPr>
        <w:t>处理完成后，发送处理完成的</w:t>
      </w:r>
      <w:r>
        <w:rPr>
          <w:rFonts w:hint="eastAsia"/>
          <w:sz w:val="24"/>
        </w:rPr>
        <w:t>指令通知</w:t>
      </w:r>
      <w:r w:rsidRPr="00141140">
        <w:rPr>
          <w:rFonts w:hint="eastAsia"/>
          <w:sz w:val="24"/>
        </w:rPr>
        <w:t>信息给</w:t>
      </w:r>
      <w:r w:rsidR="002D0199">
        <w:rPr>
          <w:rFonts w:hint="eastAsia"/>
          <w:sz w:val="24"/>
        </w:rPr>
        <w:t>深交所</w:t>
      </w:r>
      <w:r w:rsidRPr="00141140">
        <w:rPr>
          <w:rFonts w:hint="eastAsia"/>
          <w:sz w:val="24"/>
        </w:rPr>
        <w:t>BPM</w:t>
      </w:r>
    </w:p>
    <w:p w:rsidR="00141140" w:rsidRDefault="00141140" w:rsidP="00141140">
      <w:pPr>
        <w:spacing w:line="360" w:lineRule="auto"/>
        <w:rPr>
          <w:sz w:val="24"/>
        </w:rPr>
      </w:pPr>
    </w:p>
    <w:p w:rsidR="0000061E" w:rsidRPr="00A825A4" w:rsidRDefault="0000061E" w:rsidP="0000061E">
      <w:pPr>
        <w:spacing w:line="360" w:lineRule="auto"/>
        <w:rPr>
          <w:b/>
          <w:sz w:val="24"/>
        </w:rPr>
      </w:pPr>
      <w:r w:rsidRPr="00A825A4">
        <w:rPr>
          <w:rFonts w:hint="eastAsia"/>
          <w:b/>
          <w:sz w:val="24"/>
        </w:rPr>
        <w:t>发送</w:t>
      </w:r>
      <w:r w:rsidR="00A825A4" w:rsidRPr="00A825A4">
        <w:rPr>
          <w:rFonts w:hint="eastAsia"/>
          <w:b/>
          <w:sz w:val="24"/>
        </w:rPr>
        <w:t>通知技术结构</w:t>
      </w:r>
      <w:r w:rsidRPr="00A825A4">
        <w:rPr>
          <w:rFonts w:hint="eastAsia"/>
          <w:b/>
          <w:sz w:val="24"/>
        </w:rPr>
        <w:t>图：</w:t>
      </w:r>
    </w:p>
    <w:p w:rsidR="0000061E" w:rsidRDefault="0000061E" w:rsidP="0000061E">
      <w:pPr>
        <w:spacing w:line="360" w:lineRule="auto"/>
        <w:jc w:val="center"/>
        <w:rPr>
          <w:sz w:val="24"/>
        </w:rPr>
      </w:pPr>
      <w:r>
        <w:object w:dxaOrig="10470" w:dyaOrig="12352">
          <v:shape id="_x0000_i1027" type="#_x0000_t75" style="width:415pt;height:489.75pt" o:ole="">
            <v:imagedata r:id="rId12" o:title=""/>
          </v:shape>
          <o:OLEObject Type="Embed" ProgID="Visio.Drawing.11" ShapeID="_x0000_i1027" DrawAspect="Content" ObjectID="_1438673729" r:id="rId13"/>
        </w:object>
      </w:r>
    </w:p>
    <w:p w:rsidR="0000061E" w:rsidRDefault="0000061E" w:rsidP="0000061E">
      <w:pPr>
        <w:spacing w:line="360" w:lineRule="auto"/>
        <w:rPr>
          <w:sz w:val="24"/>
        </w:rPr>
      </w:pPr>
      <w:r>
        <w:rPr>
          <w:rFonts w:hint="eastAsia"/>
          <w:sz w:val="24"/>
        </w:rPr>
        <w:t>整个处理过程如下：</w:t>
      </w:r>
    </w:p>
    <w:p w:rsidR="0000061E" w:rsidRPr="00141140" w:rsidRDefault="0000061E" w:rsidP="0000061E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Pr="00141140">
        <w:rPr>
          <w:rFonts w:hint="eastAsia"/>
          <w:sz w:val="24"/>
        </w:rPr>
        <w:t>统一接口服务</w:t>
      </w:r>
      <w:r>
        <w:rPr>
          <w:rFonts w:hint="eastAsia"/>
          <w:sz w:val="24"/>
        </w:rPr>
        <w:t>发送文件通知给</w:t>
      </w:r>
      <w:r w:rsidRPr="00141140">
        <w:rPr>
          <w:rFonts w:hint="eastAsia"/>
          <w:sz w:val="24"/>
        </w:rPr>
        <w:t>深交所</w:t>
      </w:r>
    </w:p>
    <w:p w:rsidR="0000061E" w:rsidRPr="00141140" w:rsidRDefault="0000061E" w:rsidP="0000061E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）、等待深交所处理</w:t>
      </w:r>
      <w:r w:rsidRPr="00141140">
        <w:rPr>
          <w:rFonts w:hint="eastAsia"/>
          <w:sz w:val="24"/>
        </w:rPr>
        <w:t xml:space="preserve"> </w:t>
      </w:r>
    </w:p>
    <w:p w:rsidR="0000061E" w:rsidRDefault="0000061E" w:rsidP="00141140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）、接收到回签处理通知，</w:t>
      </w:r>
      <w:r w:rsidR="00A825A4">
        <w:rPr>
          <w:rFonts w:hint="eastAsia"/>
          <w:sz w:val="24"/>
        </w:rPr>
        <w:t>通</w:t>
      </w:r>
      <w:r>
        <w:rPr>
          <w:rFonts w:hint="eastAsia"/>
          <w:sz w:val="24"/>
        </w:rPr>
        <w:t>知业务流程处理</w:t>
      </w:r>
      <w:r w:rsidRPr="00141140">
        <w:rPr>
          <w:rFonts w:hint="eastAsia"/>
          <w:sz w:val="24"/>
        </w:rPr>
        <w:t xml:space="preserve"> </w:t>
      </w:r>
    </w:p>
    <w:p w:rsidR="0000061E" w:rsidRPr="0000061E" w:rsidRDefault="0000061E" w:rsidP="00141140">
      <w:pPr>
        <w:spacing w:line="360" w:lineRule="auto"/>
        <w:rPr>
          <w:sz w:val="24"/>
        </w:rPr>
      </w:pPr>
    </w:p>
    <w:p w:rsidR="002D3EED" w:rsidRPr="00A825A4" w:rsidRDefault="00A825A4" w:rsidP="002D3EED">
      <w:pPr>
        <w:spacing w:line="360" w:lineRule="auto"/>
        <w:rPr>
          <w:b/>
          <w:sz w:val="24"/>
        </w:rPr>
      </w:pPr>
      <w:r w:rsidRPr="00A825A4">
        <w:rPr>
          <w:rFonts w:hint="eastAsia"/>
          <w:b/>
          <w:sz w:val="24"/>
        </w:rPr>
        <w:t>这种模型体现到具体</w:t>
      </w:r>
      <w:r w:rsidR="00485BFB" w:rsidRPr="00A825A4">
        <w:rPr>
          <w:rFonts w:hint="eastAsia"/>
          <w:b/>
          <w:sz w:val="24"/>
        </w:rPr>
        <w:t>业务</w:t>
      </w:r>
      <w:r w:rsidRPr="00A825A4">
        <w:rPr>
          <w:rFonts w:hint="eastAsia"/>
          <w:b/>
          <w:sz w:val="24"/>
        </w:rPr>
        <w:t>中，其</w:t>
      </w:r>
      <w:r w:rsidR="00485BFB" w:rsidRPr="00A825A4">
        <w:rPr>
          <w:rFonts w:hint="eastAsia"/>
          <w:b/>
          <w:sz w:val="24"/>
        </w:rPr>
        <w:t>交互过程</w:t>
      </w:r>
      <w:r w:rsidRPr="00A825A4">
        <w:rPr>
          <w:rFonts w:hint="eastAsia"/>
          <w:b/>
          <w:sz w:val="24"/>
        </w:rPr>
        <w:t>如下：</w:t>
      </w:r>
    </w:p>
    <w:p w:rsidR="002D3EED" w:rsidRDefault="00485BFB" w:rsidP="00485BFB">
      <w:pPr>
        <w:spacing w:line="360" w:lineRule="auto"/>
        <w:ind w:firstLine="420"/>
        <w:rPr>
          <w:sz w:val="24"/>
        </w:rPr>
      </w:pPr>
      <w:r w:rsidRPr="00485BFB">
        <w:rPr>
          <w:rFonts w:hint="eastAsia"/>
          <w:sz w:val="24"/>
        </w:rPr>
        <w:t>结算公司需要向深交所发送各类通知表、审批表。对于通知表，要求交易所业务部门签收；对于审批表，要求</w:t>
      </w:r>
      <w:r w:rsidR="002D0199">
        <w:rPr>
          <w:rFonts w:hint="eastAsia"/>
          <w:sz w:val="24"/>
        </w:rPr>
        <w:t>深交所</w:t>
      </w:r>
      <w:r w:rsidRPr="00485BFB">
        <w:rPr>
          <w:rFonts w:hint="eastAsia"/>
          <w:sz w:val="24"/>
        </w:rPr>
        <w:t>业务部门给出“同意</w:t>
      </w:r>
      <w:r w:rsidRPr="00485BFB">
        <w:rPr>
          <w:rFonts w:hint="eastAsia"/>
          <w:sz w:val="24"/>
        </w:rPr>
        <w:t>/</w:t>
      </w:r>
      <w:r w:rsidRPr="00485BFB">
        <w:rPr>
          <w:rFonts w:hint="eastAsia"/>
          <w:sz w:val="24"/>
        </w:rPr>
        <w:t>不同意</w:t>
      </w:r>
      <w:r w:rsidR="005C4E3E">
        <w:rPr>
          <w:rFonts w:hint="eastAsia"/>
          <w:sz w:val="24"/>
        </w:rPr>
        <w:t>/</w:t>
      </w:r>
      <w:r w:rsidR="005C4E3E">
        <w:rPr>
          <w:rFonts w:hint="eastAsia"/>
          <w:sz w:val="24"/>
        </w:rPr>
        <w:t>其他审批</w:t>
      </w:r>
      <w:r w:rsidR="005C4E3E">
        <w:rPr>
          <w:rFonts w:hint="eastAsia"/>
          <w:sz w:val="24"/>
        </w:rPr>
        <w:lastRenderedPageBreak/>
        <w:t>决定选项</w:t>
      </w:r>
      <w:r w:rsidRPr="00485BFB">
        <w:rPr>
          <w:rFonts w:hint="eastAsia"/>
          <w:sz w:val="24"/>
        </w:rPr>
        <w:t>”的审批意见。此业务场景在系统上交互过程如下图所示：</w:t>
      </w:r>
    </w:p>
    <w:p w:rsidR="006E3560" w:rsidRDefault="006E3560" w:rsidP="002D3EED">
      <w:pPr>
        <w:spacing w:line="360" w:lineRule="auto"/>
        <w:rPr>
          <w:sz w:val="24"/>
        </w:rPr>
      </w:pPr>
      <w:r>
        <w:object w:dxaOrig="8880" w:dyaOrig="5565">
          <v:shape id="_x0000_i1028" type="#_x0000_t75" style="width:444.25pt;height:278.5pt;mso-position-horizontal:center" o:ole="" o:allowoverlap="f">
            <v:imagedata r:id="rId14" o:title=""/>
          </v:shape>
          <o:OLEObject Type="Embed" ProgID="Visio.Drawing.11" ShapeID="_x0000_i1028" DrawAspect="Content" ObjectID="_1438673730" r:id="rId15"/>
        </w:object>
      </w:r>
    </w:p>
    <w:p w:rsidR="006E3560" w:rsidRPr="006E3560" w:rsidRDefault="006E3560" w:rsidP="006E3560">
      <w:pPr>
        <w:spacing w:line="360" w:lineRule="auto"/>
        <w:rPr>
          <w:sz w:val="24"/>
        </w:rPr>
      </w:pPr>
      <w:r w:rsidRPr="006E3560">
        <w:rPr>
          <w:rFonts w:hint="eastAsia"/>
          <w:sz w:val="24"/>
        </w:rPr>
        <w:t>结算公司发送给交易所的签收审批单</w:t>
      </w:r>
      <w:r>
        <w:rPr>
          <w:rFonts w:hint="eastAsia"/>
          <w:sz w:val="24"/>
        </w:rPr>
        <w:t>与</w:t>
      </w:r>
      <w:r w:rsidRPr="006E3560">
        <w:rPr>
          <w:rFonts w:hint="eastAsia"/>
          <w:sz w:val="24"/>
        </w:rPr>
        <w:t>交易所发送给结算公司的文件通知模式</w:t>
      </w:r>
      <w:r>
        <w:rPr>
          <w:rFonts w:hint="eastAsia"/>
          <w:sz w:val="24"/>
        </w:rPr>
        <w:t>是一样的</w:t>
      </w:r>
      <w:r w:rsidRPr="006E3560">
        <w:rPr>
          <w:rFonts w:hint="eastAsia"/>
          <w:sz w:val="24"/>
        </w:rPr>
        <w:t>，</w:t>
      </w:r>
      <w:r w:rsidR="00CF5626" w:rsidRPr="00CF5626">
        <w:rPr>
          <w:rFonts w:hint="eastAsia"/>
          <w:sz w:val="24"/>
        </w:rPr>
        <w:t>业务处理方式</w:t>
      </w:r>
      <w:r w:rsidRPr="006E3560">
        <w:rPr>
          <w:rFonts w:hint="eastAsia"/>
          <w:sz w:val="24"/>
        </w:rPr>
        <w:t>分三种类型：</w:t>
      </w:r>
    </w:p>
    <w:p w:rsidR="006E3560" w:rsidRPr="006E3560" w:rsidRDefault="006E3560" w:rsidP="006E3560">
      <w:pPr>
        <w:spacing w:line="360" w:lineRule="auto"/>
        <w:rPr>
          <w:sz w:val="24"/>
        </w:rPr>
      </w:pPr>
      <w:r w:rsidRPr="006E3560">
        <w:rPr>
          <w:rFonts w:hint="eastAsia"/>
          <w:sz w:val="24"/>
        </w:rPr>
        <w:t>1</w:t>
      </w:r>
      <w:r>
        <w:rPr>
          <w:rFonts w:hint="eastAsia"/>
          <w:sz w:val="24"/>
        </w:rPr>
        <w:t>）、</w:t>
      </w:r>
      <w:r w:rsidRPr="006E3560">
        <w:rPr>
          <w:rFonts w:hint="eastAsia"/>
          <w:sz w:val="24"/>
        </w:rPr>
        <w:t>发送签收单给交易所，只要部门确认收到，返回确认指令后，这边的流程根据具体业务需求可以等待回签指令才能继续后续操作，也可以不等交易所的回签，这边流程流转不受任何影响。</w:t>
      </w:r>
    </w:p>
    <w:p w:rsidR="006E3560" w:rsidRPr="006E3560" w:rsidRDefault="006E3560" w:rsidP="006E3560">
      <w:p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</w:t>
      </w:r>
      <w:r w:rsidRPr="006E3560">
        <w:rPr>
          <w:rFonts w:hint="eastAsia"/>
          <w:sz w:val="24"/>
        </w:rPr>
        <w:t>发送审批单给交易所，需要部门确认是否正确，还需等待审批结果，会影响这边流程的流转状态。</w:t>
      </w:r>
    </w:p>
    <w:p w:rsidR="006E3560" w:rsidRDefault="006E3560" w:rsidP="006E3560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  <w:r w:rsidR="00B34FAE" w:rsidRPr="006E3560">
        <w:rPr>
          <w:rFonts w:hint="eastAsia"/>
          <w:sz w:val="24"/>
        </w:rPr>
        <w:t>发送</w:t>
      </w:r>
      <w:r w:rsidR="00B34FAE">
        <w:rPr>
          <w:rFonts w:hint="eastAsia"/>
          <w:sz w:val="24"/>
        </w:rPr>
        <w:t>作废</w:t>
      </w:r>
      <w:r w:rsidR="00B34FAE" w:rsidRPr="006E3560">
        <w:rPr>
          <w:rFonts w:hint="eastAsia"/>
          <w:sz w:val="24"/>
        </w:rPr>
        <w:t>单给交易所</w:t>
      </w:r>
      <w:r w:rsidR="00B34FAE">
        <w:rPr>
          <w:rFonts w:hint="eastAsia"/>
          <w:sz w:val="24"/>
        </w:rPr>
        <w:t>，</w:t>
      </w:r>
      <w:r w:rsidR="00CF5626" w:rsidRPr="00CF5626">
        <w:rPr>
          <w:rFonts w:hint="eastAsia"/>
          <w:sz w:val="24"/>
        </w:rPr>
        <w:t>表示这单业务作废，部门需要确认收到即可</w:t>
      </w:r>
      <w:r w:rsidR="00CF5626">
        <w:rPr>
          <w:rFonts w:hint="eastAsia"/>
          <w:sz w:val="24"/>
        </w:rPr>
        <w:t>；</w:t>
      </w:r>
      <w:r w:rsidRPr="006E3560">
        <w:rPr>
          <w:rFonts w:hint="eastAsia"/>
          <w:sz w:val="24"/>
        </w:rPr>
        <w:t>当通信中断了或程序发生异常导致交易所没有收到请求，这时需提供重新发送签收数据功能。可以先发笔作废之前的信息单过去，表示这单业务作废了，然后再重新发笔签收单给交易所。</w:t>
      </w:r>
    </w:p>
    <w:p w:rsidR="006E3560" w:rsidRDefault="006E3560" w:rsidP="002D3EED">
      <w:pPr>
        <w:spacing w:line="360" w:lineRule="auto"/>
        <w:rPr>
          <w:sz w:val="24"/>
        </w:rPr>
      </w:pPr>
    </w:p>
    <w:p w:rsidR="00566059" w:rsidRPr="00FD3398" w:rsidRDefault="00F953A4" w:rsidP="002D3EED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 w:rsidRPr="00FD3398">
        <w:rPr>
          <w:rFonts w:ascii="黑体" w:eastAsia="黑体" w:hAnsi="黑体" w:hint="eastAsia"/>
          <w:b/>
          <w:sz w:val="28"/>
          <w:szCs w:val="28"/>
        </w:rPr>
        <w:t>4</w:t>
      </w:r>
      <w:r w:rsidR="002D0199" w:rsidRPr="00FD3398">
        <w:rPr>
          <w:rFonts w:ascii="黑体" w:eastAsia="黑体" w:hAnsi="黑体" w:hint="eastAsia"/>
          <w:b/>
          <w:sz w:val="28"/>
          <w:szCs w:val="28"/>
        </w:rPr>
        <w:t>.</w:t>
      </w:r>
      <w:r w:rsidR="00540167" w:rsidRPr="00FD3398">
        <w:rPr>
          <w:rFonts w:ascii="黑体" w:eastAsia="黑体" w:hAnsi="黑体" w:hint="eastAsia"/>
          <w:b/>
          <w:sz w:val="28"/>
          <w:szCs w:val="28"/>
        </w:rPr>
        <w:t>模型的</w:t>
      </w:r>
      <w:r w:rsidR="00F279EB" w:rsidRPr="00FD3398">
        <w:rPr>
          <w:rFonts w:ascii="黑体" w:eastAsia="黑体" w:hAnsi="黑体" w:hint="eastAsia"/>
          <w:b/>
          <w:sz w:val="28"/>
          <w:szCs w:val="28"/>
        </w:rPr>
        <w:t>接口定义</w:t>
      </w:r>
    </w:p>
    <w:p w:rsidR="00540167" w:rsidRPr="00540167" w:rsidRDefault="00540167" w:rsidP="002D3EED">
      <w:pPr>
        <w:spacing w:line="360" w:lineRule="auto"/>
        <w:rPr>
          <w:b/>
          <w:sz w:val="24"/>
        </w:rPr>
      </w:pPr>
      <w:r w:rsidRPr="00540167">
        <w:rPr>
          <w:rFonts w:hint="eastAsia"/>
          <w:b/>
          <w:sz w:val="24"/>
        </w:rPr>
        <w:t>业务通知指令接口定义：</w:t>
      </w:r>
    </w:p>
    <w:p w:rsidR="00777D41" w:rsidRPr="00777D41" w:rsidRDefault="00F279EB" w:rsidP="00777D41">
      <w:pPr>
        <w:pStyle w:val="a5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868257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EB" w:rsidRPr="00540167" w:rsidRDefault="00F279EB" w:rsidP="00540167">
      <w:pPr>
        <w:spacing w:line="360" w:lineRule="auto"/>
        <w:rPr>
          <w:sz w:val="24"/>
        </w:rPr>
      </w:pPr>
      <w:r w:rsidRPr="00540167">
        <w:rPr>
          <w:rFonts w:hint="eastAsia"/>
          <w:sz w:val="24"/>
        </w:rPr>
        <w:t>业务通知指令的主要信息包括业务实例</w:t>
      </w:r>
      <w:r w:rsidRPr="00540167">
        <w:rPr>
          <w:rFonts w:hint="eastAsia"/>
          <w:sz w:val="24"/>
        </w:rPr>
        <w:t>ID</w:t>
      </w:r>
      <w:r w:rsidRPr="00540167">
        <w:rPr>
          <w:rFonts w:hint="eastAsia"/>
          <w:sz w:val="24"/>
        </w:rPr>
        <w:t>（</w:t>
      </w:r>
      <w:r w:rsidRPr="00540167">
        <w:rPr>
          <w:rFonts w:hint="eastAsia"/>
          <w:sz w:val="24"/>
        </w:rPr>
        <w:t>BizInstanceID</w:t>
      </w:r>
      <w:r w:rsidRPr="00540167">
        <w:rPr>
          <w:rFonts w:hint="eastAsia"/>
          <w:sz w:val="24"/>
        </w:rPr>
        <w:t>）、业务名称（</w:t>
      </w:r>
      <w:r w:rsidRPr="00540167">
        <w:rPr>
          <w:rFonts w:hint="eastAsia"/>
          <w:sz w:val="24"/>
        </w:rPr>
        <w:t>BizName</w:t>
      </w:r>
      <w:r w:rsidRPr="00540167">
        <w:rPr>
          <w:rFonts w:hint="eastAsia"/>
          <w:sz w:val="24"/>
        </w:rPr>
        <w:t>）、业务描述（</w:t>
      </w:r>
      <w:r w:rsidRPr="00540167">
        <w:rPr>
          <w:rFonts w:hint="eastAsia"/>
          <w:sz w:val="24"/>
        </w:rPr>
        <w:t>BizDescript</w:t>
      </w:r>
      <w:r w:rsidRPr="00540167">
        <w:rPr>
          <w:rFonts w:hint="eastAsia"/>
          <w:sz w:val="24"/>
        </w:rPr>
        <w:t>）、发送人、发送时间、发送部门、要求回签时间（</w:t>
      </w:r>
      <w:r w:rsidRPr="00540167">
        <w:rPr>
          <w:rFonts w:hint="eastAsia"/>
          <w:sz w:val="24"/>
        </w:rPr>
        <w:t>FeedbackRequireDuration</w:t>
      </w:r>
      <w:r w:rsidRPr="00540167">
        <w:rPr>
          <w:rFonts w:hint="eastAsia"/>
          <w:sz w:val="24"/>
        </w:rPr>
        <w:t>）、每个部门需要签收的通知文件（</w:t>
      </w:r>
      <w:r w:rsidRPr="00540167">
        <w:rPr>
          <w:rFonts w:hint="eastAsia"/>
          <w:sz w:val="24"/>
        </w:rPr>
        <w:t>Deparment</w:t>
      </w:r>
      <w:r w:rsidRPr="00540167">
        <w:rPr>
          <w:rFonts w:hint="eastAsia"/>
          <w:sz w:val="24"/>
        </w:rPr>
        <w:t>）和数据文件（</w:t>
      </w:r>
      <w:r w:rsidRPr="00540167">
        <w:rPr>
          <w:rFonts w:hint="eastAsia"/>
          <w:sz w:val="24"/>
        </w:rPr>
        <w:t>DataFiles</w:t>
      </w:r>
      <w:r w:rsidR="00540167" w:rsidRPr="00540167">
        <w:rPr>
          <w:rFonts w:hint="eastAsia"/>
          <w:sz w:val="24"/>
        </w:rPr>
        <w:t>）；其中</w:t>
      </w:r>
      <w:r w:rsidR="00540167" w:rsidRPr="00540167">
        <w:rPr>
          <w:rFonts w:hint="eastAsia"/>
          <w:sz w:val="24"/>
        </w:rPr>
        <w:t>ApproveOptions</w:t>
      </w:r>
      <w:r w:rsidR="00540167" w:rsidRPr="00540167">
        <w:rPr>
          <w:rFonts w:hint="eastAsia"/>
          <w:sz w:val="24"/>
        </w:rPr>
        <w:t>节点（可选），指定接收方的审批结果指令</w:t>
      </w:r>
      <w:r w:rsidR="00540167" w:rsidRPr="00540167">
        <w:rPr>
          <w:rFonts w:hint="eastAsia"/>
          <w:sz w:val="24"/>
        </w:rPr>
        <w:t>ApproveResult</w:t>
      </w:r>
      <w:r w:rsidR="00540167" w:rsidRPr="00540167">
        <w:rPr>
          <w:rFonts w:hint="eastAsia"/>
          <w:sz w:val="24"/>
        </w:rPr>
        <w:t>值仅能从中选择。</w:t>
      </w:r>
      <w:r w:rsidRPr="00540167">
        <w:rPr>
          <w:rFonts w:hint="eastAsia"/>
          <w:sz w:val="24"/>
        </w:rPr>
        <w:t>每个部门可能签收多个“通知文件”，要求打包签收，其中</w:t>
      </w:r>
      <w:r w:rsidRPr="00540167">
        <w:rPr>
          <w:rFonts w:hint="eastAsia"/>
          <w:sz w:val="24"/>
        </w:rPr>
        <w:t>TaskID</w:t>
      </w:r>
      <w:r w:rsidRPr="00540167">
        <w:rPr>
          <w:rFonts w:hint="eastAsia"/>
          <w:sz w:val="24"/>
        </w:rPr>
        <w:t>是该签收任务的</w:t>
      </w:r>
      <w:r w:rsidRPr="00540167">
        <w:rPr>
          <w:rFonts w:hint="eastAsia"/>
          <w:sz w:val="24"/>
        </w:rPr>
        <w:t>ID</w:t>
      </w:r>
      <w:r w:rsidRPr="00540167">
        <w:rPr>
          <w:rFonts w:hint="eastAsia"/>
          <w:sz w:val="24"/>
        </w:rPr>
        <w:t>，回签指令</w:t>
      </w:r>
      <w:r w:rsidRPr="00540167">
        <w:rPr>
          <w:rFonts w:hint="eastAsia"/>
          <w:sz w:val="24"/>
        </w:rPr>
        <w:t>/</w:t>
      </w:r>
      <w:r w:rsidRPr="00540167">
        <w:rPr>
          <w:rFonts w:hint="eastAsia"/>
          <w:sz w:val="24"/>
        </w:rPr>
        <w:t>审批结果指令中回传该</w:t>
      </w:r>
      <w:r w:rsidRPr="00540167">
        <w:rPr>
          <w:rFonts w:hint="eastAsia"/>
          <w:sz w:val="24"/>
        </w:rPr>
        <w:t>TaskID</w:t>
      </w:r>
      <w:r w:rsidRPr="00540167">
        <w:rPr>
          <w:rFonts w:hint="eastAsia"/>
          <w:sz w:val="24"/>
        </w:rPr>
        <w:t>，</w:t>
      </w:r>
      <w:r w:rsidRPr="00540167">
        <w:rPr>
          <w:rFonts w:hint="eastAsia"/>
          <w:sz w:val="24"/>
        </w:rPr>
        <w:t>TaskID</w:t>
      </w:r>
      <w:r w:rsidRPr="00540167">
        <w:rPr>
          <w:rFonts w:hint="eastAsia"/>
          <w:sz w:val="24"/>
        </w:rPr>
        <w:t>保持全局唯一；</w:t>
      </w:r>
      <w:r w:rsidRPr="00540167">
        <w:rPr>
          <w:rFonts w:hint="eastAsia"/>
          <w:sz w:val="24"/>
        </w:rPr>
        <w:t>NoticeType</w:t>
      </w:r>
      <w:r w:rsidRPr="00540167">
        <w:rPr>
          <w:rFonts w:hint="eastAsia"/>
          <w:sz w:val="24"/>
        </w:rPr>
        <w:t>元素表示该任务是要求审批还是签收，以及是否为作废声明。同时可以附带结构化的数据文件（</w:t>
      </w:r>
      <w:r w:rsidRPr="00540167">
        <w:rPr>
          <w:rFonts w:hint="eastAsia"/>
          <w:sz w:val="24"/>
        </w:rPr>
        <w:t>DataFiles</w:t>
      </w:r>
      <w:r w:rsidRPr="00540167">
        <w:rPr>
          <w:rFonts w:hint="eastAsia"/>
          <w:sz w:val="24"/>
        </w:rPr>
        <w:t>），根据不同的业务再进行定义。</w:t>
      </w:r>
    </w:p>
    <w:p w:rsidR="009F23AE" w:rsidRPr="009F23AE" w:rsidRDefault="009F23AE" w:rsidP="00036841">
      <w:pPr>
        <w:numPr>
          <w:ilvl w:val="0"/>
          <w:numId w:val="3"/>
        </w:numPr>
        <w:spacing w:line="360" w:lineRule="auto"/>
        <w:rPr>
          <w:sz w:val="24"/>
        </w:rPr>
      </w:pPr>
      <w:r w:rsidRPr="009F23AE">
        <w:rPr>
          <w:rFonts w:hint="eastAsia"/>
          <w:sz w:val="24"/>
        </w:rPr>
        <w:t>DataFiles</w:t>
      </w:r>
      <w:r w:rsidRPr="009F23AE">
        <w:rPr>
          <w:rFonts w:hint="eastAsia"/>
          <w:sz w:val="24"/>
        </w:rPr>
        <w:t>规范：</w:t>
      </w:r>
    </w:p>
    <w:p w:rsidR="009F23AE" w:rsidRPr="009F23AE" w:rsidRDefault="009F23AE" w:rsidP="00036841">
      <w:pPr>
        <w:spacing w:line="360" w:lineRule="auto"/>
        <w:ind w:firstLine="420"/>
        <w:rPr>
          <w:sz w:val="24"/>
        </w:rPr>
      </w:pPr>
      <w:r w:rsidRPr="009F23AE">
        <w:rPr>
          <w:rFonts w:hint="eastAsia"/>
          <w:sz w:val="24"/>
        </w:rPr>
        <w:t>1</w:t>
      </w:r>
      <w:r w:rsidR="002D0199">
        <w:rPr>
          <w:rFonts w:hint="eastAsia"/>
          <w:sz w:val="24"/>
        </w:rPr>
        <w:t>）</w:t>
      </w:r>
      <w:r w:rsidRPr="009F23AE">
        <w:rPr>
          <w:rFonts w:hint="eastAsia"/>
          <w:sz w:val="24"/>
        </w:rPr>
        <w:t>、若为结构化数据文件，其命名规则为审批、签收文件名（</w:t>
      </w:r>
      <w:r w:rsidRPr="009F23AE">
        <w:rPr>
          <w:rFonts w:hint="eastAsia"/>
          <w:sz w:val="24"/>
        </w:rPr>
        <w:t>FileID</w:t>
      </w:r>
      <w:r w:rsidRPr="009F23AE">
        <w:rPr>
          <w:rFonts w:hint="eastAsia"/>
          <w:sz w:val="24"/>
        </w:rPr>
        <w:t>）</w:t>
      </w:r>
      <w:r w:rsidRPr="009F23AE">
        <w:rPr>
          <w:rFonts w:hint="eastAsia"/>
          <w:sz w:val="24"/>
        </w:rPr>
        <w:t>+.XML</w:t>
      </w:r>
      <w:r w:rsidRPr="009F23AE">
        <w:rPr>
          <w:rFonts w:hint="eastAsia"/>
          <w:sz w:val="24"/>
        </w:rPr>
        <w:t>；否则为普通附件文件</w:t>
      </w:r>
      <w:r w:rsidR="002D0199">
        <w:rPr>
          <w:rFonts w:hint="eastAsia"/>
          <w:sz w:val="24"/>
        </w:rPr>
        <w:t>。</w:t>
      </w:r>
    </w:p>
    <w:p w:rsidR="009F23AE" w:rsidRPr="009F23AE" w:rsidRDefault="009F23AE" w:rsidP="00036841">
      <w:pPr>
        <w:spacing w:line="360" w:lineRule="auto"/>
        <w:ind w:firstLine="420"/>
        <w:rPr>
          <w:sz w:val="24"/>
        </w:rPr>
      </w:pPr>
      <w:r w:rsidRPr="009F23AE">
        <w:rPr>
          <w:rFonts w:hint="eastAsia"/>
          <w:sz w:val="24"/>
        </w:rPr>
        <w:t>2</w:t>
      </w:r>
      <w:r w:rsidR="002D0199">
        <w:rPr>
          <w:rFonts w:hint="eastAsia"/>
          <w:sz w:val="24"/>
        </w:rPr>
        <w:t>）</w:t>
      </w:r>
      <w:r w:rsidRPr="009F23AE">
        <w:rPr>
          <w:rFonts w:hint="eastAsia"/>
          <w:sz w:val="24"/>
        </w:rPr>
        <w:t>、一个审批或签收文件对应一个结构化数据文件</w:t>
      </w:r>
      <w:r w:rsidR="002D0199">
        <w:rPr>
          <w:rFonts w:hint="eastAsia"/>
          <w:sz w:val="24"/>
        </w:rPr>
        <w:t>。</w:t>
      </w:r>
    </w:p>
    <w:p w:rsidR="00F279EB" w:rsidRPr="009F23AE" w:rsidRDefault="00F279EB" w:rsidP="00540167">
      <w:pPr>
        <w:spacing w:line="360" w:lineRule="auto"/>
        <w:rPr>
          <w:sz w:val="24"/>
        </w:rPr>
      </w:pPr>
    </w:p>
    <w:p w:rsidR="00540167" w:rsidRPr="00540167" w:rsidRDefault="009F23AE" w:rsidP="0054016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结构化数据文件</w:t>
      </w:r>
      <w:r w:rsidR="00501B52">
        <w:rPr>
          <w:rFonts w:hint="eastAsia"/>
          <w:b/>
          <w:sz w:val="24"/>
        </w:rPr>
        <w:t>规范</w:t>
      </w:r>
      <w:r w:rsidR="00540167" w:rsidRPr="00540167">
        <w:rPr>
          <w:rFonts w:hint="eastAsia"/>
          <w:b/>
          <w:sz w:val="24"/>
        </w:rPr>
        <w:t>：</w:t>
      </w:r>
    </w:p>
    <w:p w:rsidR="00501B52" w:rsidRDefault="00501B52" w:rsidP="00501B52">
      <w:pPr>
        <w:spacing w:line="360" w:lineRule="auto"/>
        <w:ind w:firstLine="420"/>
        <w:rPr>
          <w:sz w:val="24"/>
        </w:rPr>
      </w:pPr>
      <w:r w:rsidRPr="00501B52">
        <w:rPr>
          <w:rFonts w:hint="eastAsia"/>
          <w:sz w:val="24"/>
        </w:rPr>
        <w:t>基本原则是循环节点不能与单一节点处于同一级，即不能出现形如</w:t>
      </w:r>
      <w:r>
        <w:rPr>
          <w:noProof/>
        </w:rPr>
        <w:drawing>
          <wp:inline distT="0" distB="0" distL="0" distR="0">
            <wp:extent cx="1647825" cy="7334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1B52">
        <w:rPr>
          <w:rFonts w:hint="eastAsia"/>
          <w:sz w:val="24"/>
        </w:rPr>
        <w:t xml:space="preserve"> </w:t>
      </w:r>
      <w:r w:rsidRPr="00501B52">
        <w:rPr>
          <w:rFonts w:hint="eastAsia"/>
          <w:sz w:val="24"/>
        </w:rPr>
        <w:t>这样的结构。结构化数据文件的基本结构如下：</w:t>
      </w:r>
    </w:p>
    <w:p w:rsidR="00501B52" w:rsidRPr="00501B52" w:rsidRDefault="00501B52" w:rsidP="00501B52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063490" cy="1984375"/>
            <wp:effectExtent l="1905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67" w:rsidRPr="00540167" w:rsidRDefault="00501B52" w:rsidP="00501B52">
      <w:pPr>
        <w:spacing w:line="360" w:lineRule="auto"/>
        <w:rPr>
          <w:sz w:val="24"/>
        </w:rPr>
      </w:pPr>
      <w:r w:rsidRPr="00501B52">
        <w:rPr>
          <w:rFonts w:hint="eastAsia"/>
          <w:sz w:val="24"/>
        </w:rPr>
        <w:t>分</w:t>
      </w:r>
      <w:r>
        <w:rPr>
          <w:rFonts w:hint="eastAsia"/>
          <w:sz w:val="24"/>
        </w:rPr>
        <w:t>三</w:t>
      </w:r>
      <w:r w:rsidRPr="00501B52">
        <w:rPr>
          <w:rFonts w:hint="eastAsia"/>
          <w:sz w:val="24"/>
        </w:rPr>
        <w:t>部分：基础数据</w:t>
      </w:r>
      <w:r w:rsidRPr="00501B52">
        <w:rPr>
          <w:rFonts w:hint="eastAsia"/>
          <w:sz w:val="24"/>
        </w:rPr>
        <w:t>+</w:t>
      </w:r>
      <w:r w:rsidRPr="00501B52">
        <w:rPr>
          <w:rFonts w:hint="eastAsia"/>
          <w:sz w:val="24"/>
        </w:rPr>
        <w:t>业务数据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数据文件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可选</w:t>
      </w:r>
      <w:r>
        <w:rPr>
          <w:rFonts w:hint="eastAsia"/>
          <w:sz w:val="24"/>
        </w:rPr>
        <w:t>)</w:t>
      </w:r>
      <w:r w:rsidRPr="00501B52">
        <w:rPr>
          <w:rFonts w:hint="eastAsia"/>
          <w:sz w:val="24"/>
        </w:rPr>
        <w:t>，根据不同的业务，双方再进行定义。</w:t>
      </w:r>
      <w:r w:rsidR="006E259F" w:rsidRPr="006E259F">
        <w:rPr>
          <w:rFonts w:hint="eastAsia"/>
          <w:b/>
          <w:sz w:val="24"/>
        </w:rPr>
        <w:t>扩展性非常强，几乎可以实现绝大部分业务的数据结构化。</w:t>
      </w:r>
    </w:p>
    <w:p w:rsidR="00F279EB" w:rsidRDefault="00F279EB" w:rsidP="00540167">
      <w:pPr>
        <w:spacing w:line="360" w:lineRule="auto"/>
        <w:rPr>
          <w:sz w:val="24"/>
        </w:rPr>
      </w:pPr>
    </w:p>
    <w:p w:rsidR="00BD4BCD" w:rsidRPr="00A22726" w:rsidRDefault="00BD4BCD" w:rsidP="00540167">
      <w:pPr>
        <w:spacing w:line="360" w:lineRule="auto"/>
        <w:rPr>
          <w:b/>
          <w:sz w:val="24"/>
        </w:rPr>
      </w:pPr>
      <w:r w:rsidRPr="00A22726">
        <w:rPr>
          <w:rFonts w:hint="eastAsia"/>
          <w:b/>
          <w:sz w:val="24"/>
        </w:rPr>
        <w:t>回签指令接口定义：</w:t>
      </w:r>
    </w:p>
    <w:p w:rsidR="00BD4BCD" w:rsidRDefault="00A22726" w:rsidP="00540167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763402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BCD" w:rsidRDefault="00A22726" w:rsidP="00540167">
      <w:pPr>
        <w:spacing w:line="360" w:lineRule="auto"/>
        <w:rPr>
          <w:sz w:val="24"/>
        </w:rPr>
      </w:pPr>
      <w:r w:rsidRPr="00A22726">
        <w:rPr>
          <w:rFonts w:hint="eastAsia"/>
          <w:sz w:val="24"/>
        </w:rPr>
        <w:t>回签指令中记录针对每个部门的签收任务（</w:t>
      </w:r>
      <w:r w:rsidRPr="00A22726">
        <w:rPr>
          <w:rFonts w:hint="eastAsia"/>
          <w:sz w:val="24"/>
        </w:rPr>
        <w:t>Department</w:t>
      </w:r>
      <w:r w:rsidRPr="00A22726">
        <w:rPr>
          <w:rFonts w:hint="eastAsia"/>
          <w:sz w:val="24"/>
        </w:rPr>
        <w:t>），</w:t>
      </w:r>
      <w:r w:rsidRPr="00A22726">
        <w:rPr>
          <w:rFonts w:hint="eastAsia"/>
          <w:sz w:val="24"/>
        </w:rPr>
        <w:t>TaskID</w:t>
      </w:r>
      <w:r w:rsidRPr="00A22726">
        <w:rPr>
          <w:rFonts w:hint="eastAsia"/>
          <w:sz w:val="24"/>
        </w:rPr>
        <w:t>对应通知指令中的</w:t>
      </w:r>
      <w:r w:rsidRPr="00A22726">
        <w:rPr>
          <w:rFonts w:hint="eastAsia"/>
          <w:sz w:val="24"/>
        </w:rPr>
        <w:t>TaskID</w:t>
      </w:r>
      <w:r w:rsidRPr="00A22726">
        <w:rPr>
          <w:rFonts w:hint="eastAsia"/>
          <w:sz w:val="24"/>
        </w:rPr>
        <w:t>，并包括签收人、签收部门、签收人联系电话、签收时间</w:t>
      </w:r>
      <w:r>
        <w:rPr>
          <w:rFonts w:hint="eastAsia"/>
          <w:sz w:val="24"/>
        </w:rPr>
        <w:t>、签收意见备注</w:t>
      </w:r>
      <w:r w:rsidRPr="00A22726">
        <w:rPr>
          <w:rFonts w:hint="eastAsia"/>
          <w:sz w:val="24"/>
        </w:rPr>
        <w:t>等信息</w:t>
      </w:r>
      <w:r>
        <w:rPr>
          <w:rFonts w:hint="eastAsia"/>
          <w:sz w:val="24"/>
        </w:rPr>
        <w:t>；</w:t>
      </w:r>
      <w:r w:rsidRPr="00A22726">
        <w:rPr>
          <w:rFonts w:hint="eastAsia"/>
          <w:sz w:val="24"/>
        </w:rPr>
        <w:t>为了扩展性，回签指令</w:t>
      </w:r>
      <w:r w:rsidR="00455A92">
        <w:rPr>
          <w:rFonts w:hint="eastAsia"/>
          <w:sz w:val="24"/>
        </w:rPr>
        <w:t>时也可以传送文件数据，因</w:t>
      </w:r>
      <w:r w:rsidRPr="00A22726">
        <w:rPr>
          <w:rFonts w:hint="eastAsia"/>
          <w:sz w:val="24"/>
        </w:rPr>
        <w:t>增加</w:t>
      </w:r>
      <w:r w:rsidRPr="00A22726">
        <w:rPr>
          <w:rFonts w:hint="eastAsia"/>
          <w:sz w:val="24"/>
        </w:rPr>
        <w:t>DataFiles</w:t>
      </w:r>
      <w:r w:rsidRPr="00A22726">
        <w:rPr>
          <w:rFonts w:hint="eastAsia"/>
          <w:sz w:val="24"/>
        </w:rPr>
        <w:t>节点</w:t>
      </w:r>
      <w:r>
        <w:rPr>
          <w:rFonts w:hint="eastAsia"/>
          <w:sz w:val="24"/>
        </w:rPr>
        <w:t>。</w:t>
      </w:r>
    </w:p>
    <w:p w:rsidR="00A22726" w:rsidRDefault="00A22726" w:rsidP="00540167">
      <w:pPr>
        <w:spacing w:line="360" w:lineRule="auto"/>
        <w:rPr>
          <w:sz w:val="24"/>
        </w:rPr>
      </w:pPr>
    </w:p>
    <w:p w:rsidR="00455A92" w:rsidRPr="00455A92" w:rsidRDefault="00455A92" w:rsidP="00540167">
      <w:pPr>
        <w:spacing w:line="360" w:lineRule="auto"/>
        <w:rPr>
          <w:b/>
          <w:sz w:val="24"/>
        </w:rPr>
      </w:pPr>
      <w:r w:rsidRPr="00455A92">
        <w:rPr>
          <w:rFonts w:hint="eastAsia"/>
          <w:b/>
          <w:sz w:val="24"/>
        </w:rPr>
        <w:t>审批结果指令接口定义：</w:t>
      </w:r>
    </w:p>
    <w:p w:rsidR="006E259F" w:rsidRDefault="00455A92" w:rsidP="00540167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272150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A92" w:rsidRDefault="00455A92" w:rsidP="00540167">
      <w:pPr>
        <w:spacing w:line="360" w:lineRule="auto"/>
        <w:rPr>
          <w:sz w:val="24"/>
        </w:rPr>
      </w:pPr>
      <w:r>
        <w:rPr>
          <w:rFonts w:hint="eastAsia"/>
          <w:sz w:val="24"/>
        </w:rPr>
        <w:t>审批结果</w:t>
      </w:r>
      <w:r w:rsidRPr="00455A92">
        <w:rPr>
          <w:rFonts w:hint="eastAsia"/>
          <w:sz w:val="24"/>
        </w:rPr>
        <w:t>指令中记录针对每个部门的签收任务（</w:t>
      </w:r>
      <w:r w:rsidRPr="00455A92">
        <w:rPr>
          <w:rFonts w:hint="eastAsia"/>
          <w:sz w:val="24"/>
        </w:rPr>
        <w:t>Department</w:t>
      </w:r>
      <w:r w:rsidRPr="00455A92">
        <w:rPr>
          <w:rFonts w:hint="eastAsia"/>
          <w:sz w:val="24"/>
        </w:rPr>
        <w:t>），</w:t>
      </w:r>
      <w:r w:rsidRPr="00455A92">
        <w:rPr>
          <w:rFonts w:hint="eastAsia"/>
          <w:sz w:val="24"/>
        </w:rPr>
        <w:t>TaskID</w:t>
      </w:r>
      <w:r w:rsidRPr="00455A92">
        <w:rPr>
          <w:rFonts w:hint="eastAsia"/>
          <w:sz w:val="24"/>
        </w:rPr>
        <w:t>对应通知指令中的</w:t>
      </w:r>
      <w:r w:rsidRPr="00455A92">
        <w:rPr>
          <w:rFonts w:hint="eastAsia"/>
          <w:sz w:val="24"/>
        </w:rPr>
        <w:t>TaskID</w:t>
      </w:r>
      <w:r w:rsidRPr="00455A92">
        <w:rPr>
          <w:rFonts w:hint="eastAsia"/>
          <w:sz w:val="24"/>
        </w:rPr>
        <w:t>，并包括审批人、审批部门、审批人联系电话、审批时间等信息。</w:t>
      </w:r>
      <w:r w:rsidRPr="00455A92">
        <w:rPr>
          <w:rFonts w:hint="eastAsia"/>
          <w:sz w:val="24"/>
        </w:rPr>
        <w:t>ApproveResult</w:t>
      </w:r>
      <w:r w:rsidRPr="00455A92">
        <w:rPr>
          <w:rFonts w:hint="eastAsia"/>
          <w:sz w:val="24"/>
        </w:rPr>
        <w:t>表示审批结果，</w:t>
      </w:r>
      <w:r>
        <w:rPr>
          <w:rFonts w:hint="eastAsia"/>
          <w:sz w:val="24"/>
        </w:rPr>
        <w:t>选项值来源于业务通知指令中的</w:t>
      </w:r>
      <w:r w:rsidRPr="00540167">
        <w:rPr>
          <w:rFonts w:hint="eastAsia"/>
          <w:sz w:val="24"/>
        </w:rPr>
        <w:t>ApproveOptions</w:t>
      </w:r>
      <w:r>
        <w:rPr>
          <w:rFonts w:hint="eastAsia"/>
          <w:sz w:val="24"/>
        </w:rPr>
        <w:t>节点中规定的</w:t>
      </w:r>
      <w:r w:rsidRPr="00540167">
        <w:rPr>
          <w:rFonts w:hint="eastAsia"/>
          <w:sz w:val="24"/>
        </w:rPr>
        <w:t>值</w:t>
      </w:r>
      <w:r w:rsidRPr="00455A92">
        <w:rPr>
          <w:rFonts w:hint="eastAsia"/>
          <w:sz w:val="24"/>
        </w:rPr>
        <w:t>。</w:t>
      </w:r>
      <w:r w:rsidRPr="00455A92">
        <w:rPr>
          <w:rFonts w:hint="eastAsia"/>
          <w:sz w:val="24"/>
        </w:rPr>
        <w:t>ApproveMemo</w:t>
      </w:r>
      <w:r>
        <w:rPr>
          <w:rFonts w:hint="eastAsia"/>
          <w:sz w:val="24"/>
        </w:rPr>
        <w:t>表示审批意见备注；</w:t>
      </w:r>
      <w:r w:rsidRPr="00A22726">
        <w:rPr>
          <w:rFonts w:hint="eastAsia"/>
          <w:sz w:val="24"/>
        </w:rPr>
        <w:t>为了扩展性，</w:t>
      </w:r>
      <w:r>
        <w:rPr>
          <w:rFonts w:hint="eastAsia"/>
          <w:sz w:val="24"/>
        </w:rPr>
        <w:t>审批</w:t>
      </w:r>
      <w:r w:rsidRPr="00A22726">
        <w:rPr>
          <w:rFonts w:hint="eastAsia"/>
          <w:sz w:val="24"/>
        </w:rPr>
        <w:t>指令</w:t>
      </w:r>
      <w:r>
        <w:rPr>
          <w:rFonts w:hint="eastAsia"/>
          <w:sz w:val="24"/>
        </w:rPr>
        <w:t>时也可以传送文件数据，因</w:t>
      </w:r>
      <w:r w:rsidRPr="00A22726">
        <w:rPr>
          <w:rFonts w:hint="eastAsia"/>
          <w:sz w:val="24"/>
        </w:rPr>
        <w:t>增加</w:t>
      </w:r>
      <w:r w:rsidRPr="00A22726">
        <w:rPr>
          <w:rFonts w:hint="eastAsia"/>
          <w:sz w:val="24"/>
        </w:rPr>
        <w:t>DataFiles</w:t>
      </w:r>
      <w:r w:rsidRPr="00A22726">
        <w:rPr>
          <w:rFonts w:hint="eastAsia"/>
          <w:sz w:val="24"/>
        </w:rPr>
        <w:t>节点</w:t>
      </w:r>
      <w:r>
        <w:rPr>
          <w:rFonts w:hint="eastAsia"/>
          <w:sz w:val="24"/>
        </w:rPr>
        <w:t>。</w:t>
      </w:r>
    </w:p>
    <w:p w:rsidR="00455A92" w:rsidRDefault="00455A92" w:rsidP="00540167">
      <w:pPr>
        <w:spacing w:line="360" w:lineRule="auto"/>
        <w:rPr>
          <w:sz w:val="24"/>
        </w:rPr>
      </w:pPr>
    </w:p>
    <w:p w:rsidR="003455AC" w:rsidRPr="003455AC" w:rsidRDefault="003455AC" w:rsidP="003455A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2D0199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结构化数据</w:t>
      </w:r>
      <w:r w:rsidRPr="003455AC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的功能结构</w:t>
      </w:r>
    </w:p>
    <w:p w:rsidR="003455AC" w:rsidRPr="002D0199" w:rsidRDefault="00A17EE9" w:rsidP="00540167">
      <w:pPr>
        <w:spacing w:line="360" w:lineRule="auto"/>
        <w:rPr>
          <w:b/>
          <w:sz w:val="24"/>
        </w:rPr>
      </w:pPr>
      <w:r w:rsidRPr="002D0199">
        <w:rPr>
          <w:rFonts w:hint="eastAsia"/>
          <w:b/>
          <w:sz w:val="24"/>
        </w:rPr>
        <w:t>核心功能图：</w:t>
      </w:r>
    </w:p>
    <w:p w:rsidR="003455AC" w:rsidRDefault="003455AC" w:rsidP="00540167">
      <w:pPr>
        <w:spacing w:line="360" w:lineRule="auto"/>
        <w:rPr>
          <w:sz w:val="24"/>
        </w:rPr>
      </w:pPr>
      <w:r w:rsidRPr="003455AC">
        <w:rPr>
          <w:noProof/>
          <w:sz w:val="24"/>
        </w:rPr>
        <w:drawing>
          <wp:inline distT="0" distB="0" distL="0" distR="0">
            <wp:extent cx="5274310" cy="2958863"/>
            <wp:effectExtent l="1905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4929222"/>
                      <a:chOff x="142844" y="1428736"/>
                      <a:chExt cx="8786874" cy="4929222"/>
                    </a:xfrm>
                  </a:grpSpPr>
                  <a:sp>
                    <a:nvSpPr>
                      <a:cNvPr id="98" name="矩形 97"/>
                      <a:cNvSpPr/>
                    </a:nvSpPr>
                    <a:spPr bwMode="auto">
                      <a:xfrm>
                        <a:off x="1285852" y="1428736"/>
                        <a:ext cx="7643866" cy="4929222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2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5643570" y="1643050"/>
                        <a:ext cx="2214578" cy="17859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0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928926" y="1643050"/>
                        <a:ext cx="2357454" cy="1714512"/>
                      </a:xfrm>
                      <a:prstGeom prst="roundRect">
                        <a:avLst>
                          <a:gd name="adj" fmla="val 7584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vert="eaVert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1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3071802" y="2714620"/>
                        <a:ext cx="990600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结构化数据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3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4143372" y="2714620"/>
                        <a:ext cx="1000132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非结构文件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4" name="TextBox 83"/>
                      <a:cNvSpPr txBox="1"/>
                    </a:nvSpPr>
                    <a:spPr>
                      <a:xfrm>
                        <a:off x="3428992" y="2071678"/>
                        <a:ext cx="192882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b="1" dirty="0" smtClean="0"/>
                            <a:t>收集数据接口</a:t>
                          </a:r>
                          <a:endParaRPr lang="zh-CN" altLang="en-US" sz="1400" b="1" dirty="0"/>
                        </a:p>
                      </a:txBody>
                      <a:useSpRect/>
                    </a:txSp>
                  </a:sp>
                  <a:sp>
                    <a:nvSpPr>
                      <a:cNvPr id="86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42844" y="1571612"/>
                        <a:ext cx="914400" cy="471490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深交所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7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85720" y="2285992"/>
                        <a:ext cx="714380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en-US" altLang="zh-CN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DEP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428728" y="1643050"/>
                        <a:ext cx="1071570" cy="1714512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结算公司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571604" y="2285992"/>
                        <a:ext cx="714380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en-US" altLang="zh-CN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DEP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6286512" y="3929066"/>
                        <a:ext cx="1428760" cy="192882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匹配对应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的业务流程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3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4714876" y="4000504"/>
                        <a:ext cx="1285884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启动业务流程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4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3000364" y="4000504"/>
                        <a:ext cx="1428760" cy="78581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流程处理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5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214546" y="5357826"/>
                        <a:ext cx="1428760" cy="78581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风险控制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3929058" y="5357826"/>
                        <a:ext cx="1500198" cy="78581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en-US" altLang="zh-CN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AS400</a:t>
                          </a: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处理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右弧形箭头 100"/>
                      <a:cNvSpPr/>
                    </a:nvSpPr>
                    <a:spPr bwMode="auto">
                      <a:xfrm>
                        <a:off x="7715272" y="3286124"/>
                        <a:ext cx="731520" cy="1216152"/>
                      </a:xfrm>
                      <a:prstGeom prst="curved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" name="左箭头 102"/>
                      <a:cNvSpPr/>
                    </a:nvSpPr>
                    <a:spPr bwMode="auto">
                      <a:xfrm>
                        <a:off x="6000760" y="4357694"/>
                        <a:ext cx="285752" cy="142876"/>
                      </a:xfrm>
                      <a:prstGeom prst="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左箭头 104"/>
                      <a:cNvSpPr/>
                    </a:nvSpPr>
                    <a:spPr bwMode="auto">
                      <a:xfrm>
                        <a:off x="4429124" y="4357694"/>
                        <a:ext cx="285752" cy="142876"/>
                      </a:xfrm>
                      <a:prstGeom prst="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5786446" y="2714620"/>
                        <a:ext cx="928694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结构化数据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8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6786578" y="2714620"/>
                        <a:ext cx="1000132" cy="381000"/>
                      </a:xfrm>
                      <a:prstGeom prst="roundRect">
                        <a:avLst>
                          <a:gd name="adj" fmla="val 4011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100" b="0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非结构文件</a:t>
                          </a:r>
                          <a:endParaRPr lang="zh-CN" altLang="zh-CN" sz="1100" b="0" dirty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9" name="下箭头 108"/>
                      <a:cNvSpPr/>
                    </a:nvSpPr>
                    <a:spPr bwMode="auto">
                      <a:xfrm>
                        <a:off x="4000496" y="4786322"/>
                        <a:ext cx="214314" cy="571504"/>
                      </a:xfrm>
                      <a:prstGeom prst="down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0" name="下箭头 109"/>
                      <a:cNvSpPr/>
                    </a:nvSpPr>
                    <a:spPr bwMode="auto">
                      <a:xfrm>
                        <a:off x="3143240" y="4786322"/>
                        <a:ext cx="214314" cy="571504"/>
                      </a:xfrm>
                      <a:prstGeom prst="down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2" name="右箭头 111"/>
                      <a:cNvSpPr/>
                    </a:nvSpPr>
                    <a:spPr bwMode="auto">
                      <a:xfrm>
                        <a:off x="2500298" y="2428868"/>
                        <a:ext cx="428628" cy="142876"/>
                      </a:xfrm>
                      <a:prstGeom prst="righ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3" name="圆角矩形 112"/>
                      <a:cNvSpPr/>
                    </a:nvSpPr>
                    <a:spPr bwMode="auto">
                      <a:xfrm>
                        <a:off x="8286776" y="1857364"/>
                        <a:ext cx="571504" cy="1500198"/>
                      </a:xfrm>
                      <a:prstGeom prst="roundRect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右箭头 114"/>
                      <a:cNvSpPr/>
                    </a:nvSpPr>
                    <a:spPr bwMode="auto">
                      <a:xfrm>
                        <a:off x="5286380" y="2428868"/>
                        <a:ext cx="357190" cy="142876"/>
                      </a:xfrm>
                      <a:prstGeom prst="righ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6" name="右箭头 115"/>
                      <a:cNvSpPr/>
                    </a:nvSpPr>
                    <a:spPr bwMode="auto">
                      <a:xfrm>
                        <a:off x="7858148" y="2214554"/>
                        <a:ext cx="428628" cy="142876"/>
                      </a:xfrm>
                      <a:prstGeom prst="righ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8" name="TextBox 117"/>
                      <a:cNvSpPr txBox="1"/>
                    </a:nvSpPr>
                    <a:spPr>
                      <a:xfrm>
                        <a:off x="8429652" y="2214554"/>
                        <a:ext cx="28575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F</a:t>
                          </a:r>
                        </a:p>
                        <a:p>
                          <a:r>
                            <a:rPr lang="en-US" altLang="zh-CN" dirty="0" smtClean="0"/>
                            <a:t>TP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19" name="左箭头 118"/>
                      <a:cNvSpPr/>
                    </a:nvSpPr>
                    <a:spPr bwMode="auto">
                      <a:xfrm>
                        <a:off x="7858148" y="2857496"/>
                        <a:ext cx="428628" cy="142876"/>
                      </a:xfrm>
                      <a:prstGeom prst="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上箭头 119"/>
                      <a:cNvSpPr/>
                    </a:nvSpPr>
                    <a:spPr bwMode="auto">
                      <a:xfrm>
                        <a:off x="4286248" y="4786322"/>
                        <a:ext cx="214314" cy="571504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1" name="上箭头 120"/>
                      <a:cNvSpPr/>
                    </a:nvSpPr>
                    <a:spPr bwMode="auto">
                      <a:xfrm>
                        <a:off x="3428992" y="4786322"/>
                        <a:ext cx="214314" cy="571504"/>
                      </a:xfrm>
                      <a:prstGeom prst="up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2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428728" y="4000504"/>
                        <a:ext cx="1285884" cy="78581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完成签收指令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3" name="右箭头 122"/>
                      <a:cNvSpPr/>
                    </a:nvSpPr>
                    <a:spPr bwMode="auto">
                      <a:xfrm>
                        <a:off x="1000100" y="2214554"/>
                        <a:ext cx="428628" cy="484632"/>
                      </a:xfrm>
                      <a:prstGeom prst="righ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4" name="左箭头 123"/>
                      <a:cNvSpPr/>
                    </a:nvSpPr>
                    <a:spPr bwMode="auto">
                      <a:xfrm>
                        <a:off x="1000100" y="4214818"/>
                        <a:ext cx="428628" cy="484632"/>
                      </a:xfrm>
                      <a:prstGeom prst="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6" name="左箭头 125"/>
                      <a:cNvSpPr/>
                    </a:nvSpPr>
                    <a:spPr bwMode="auto">
                      <a:xfrm>
                        <a:off x="2714612" y="4357694"/>
                        <a:ext cx="285752" cy="142876"/>
                      </a:xfrm>
                      <a:prstGeom prst="leftArrow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indent="0" algn="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zh-CN" altLang="en-US" sz="1800" b="1" i="0" u="none" strike="noStrike" cap="none" normalizeH="0" baseline="-2500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charset="0"/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5786446" y="2071678"/>
                        <a:ext cx="192882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base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数据解析器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455AC" w:rsidRDefault="003455AC" w:rsidP="00540167">
      <w:pPr>
        <w:spacing w:line="360" w:lineRule="auto"/>
        <w:rPr>
          <w:sz w:val="24"/>
        </w:rPr>
      </w:pPr>
    </w:p>
    <w:p w:rsidR="00C00485" w:rsidRDefault="00C00485" w:rsidP="00540167">
      <w:pPr>
        <w:spacing w:line="360" w:lineRule="auto"/>
        <w:rPr>
          <w:b/>
          <w:sz w:val="24"/>
        </w:rPr>
      </w:pPr>
    </w:p>
    <w:p w:rsidR="002D0199" w:rsidRDefault="00FD3398" w:rsidP="00540167">
      <w:pPr>
        <w:spacing w:line="360" w:lineRule="auto"/>
        <w:rPr>
          <w:b/>
          <w:sz w:val="24"/>
        </w:rPr>
      </w:pPr>
      <w:r w:rsidRPr="00C00485">
        <w:rPr>
          <w:rFonts w:hint="eastAsia"/>
          <w:b/>
          <w:sz w:val="24"/>
        </w:rPr>
        <w:lastRenderedPageBreak/>
        <w:t>结构化数据接口的处理过程图</w:t>
      </w:r>
      <w:r w:rsidR="00C00485" w:rsidRPr="00C00485">
        <w:rPr>
          <w:rFonts w:hint="eastAsia"/>
          <w:b/>
          <w:sz w:val="24"/>
        </w:rPr>
        <w:t>：</w:t>
      </w:r>
    </w:p>
    <w:p w:rsidR="00C00485" w:rsidRDefault="00153892" w:rsidP="00540167">
      <w:pPr>
        <w:spacing w:line="360" w:lineRule="auto"/>
        <w:rPr>
          <w:b/>
          <w:sz w:val="24"/>
        </w:rPr>
      </w:pPr>
      <w:r w:rsidRPr="00153892">
        <w:rPr>
          <w:b/>
          <w:noProof/>
          <w:sz w:val="24"/>
        </w:rPr>
        <w:drawing>
          <wp:inline distT="0" distB="0" distL="0" distR="0">
            <wp:extent cx="5274310" cy="2109724"/>
            <wp:effectExtent l="19050" t="0" r="2540" b="0"/>
            <wp:docPr id="5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3000396"/>
                      <a:chOff x="785786" y="1643050"/>
                      <a:chExt cx="7500990" cy="3000396"/>
                    </a:xfrm>
                  </a:grpSpPr>
                  <a:sp>
                    <a:nvSpPr>
                      <a:cNvPr id="37" name="矩形 36"/>
                      <a:cNvSpPr/>
                    </a:nvSpPr>
                    <a:spPr>
                      <a:xfrm>
                        <a:off x="785786" y="1643050"/>
                        <a:ext cx="7500990" cy="300039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000100" y="2000240"/>
                        <a:ext cx="928694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开始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500298" y="2000240"/>
                        <a:ext cx="1500198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获取服务注册信息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4429124" y="2000240"/>
                        <a:ext cx="1571636" cy="928694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从</a:t>
                          </a:r>
                          <a:r>
                            <a:rPr lang="en-US" altLang="zh-CN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FTP</a:t>
                          </a: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上取附件并进行附件处理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6429388" y="2000240"/>
                        <a:ext cx="1643074" cy="928694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读取结构化数据文件并根据业务配置解析成</a:t>
                          </a:r>
                          <a:r>
                            <a:rPr lang="en-US" altLang="zh-CN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SDO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6429388" y="3500438"/>
                        <a:ext cx="1714512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启动相应的文件通知签收业务流程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7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4429124" y="3500438"/>
                        <a:ext cx="1643074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生成结构化数据单号并存入数据库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500298" y="3500438"/>
                        <a:ext cx="1428760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写入接口日志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1000100" y="3500438"/>
                        <a:ext cx="928694" cy="85725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结束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0" name="右箭头 29"/>
                      <a:cNvSpPr/>
                    </a:nvSpPr>
                    <a:spPr>
                      <a:xfrm>
                        <a:off x="1928794" y="2214554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右箭头 30"/>
                      <a:cNvSpPr/>
                    </a:nvSpPr>
                    <a:spPr>
                      <a:xfrm>
                        <a:off x="3857620" y="2214554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右箭头 31"/>
                      <a:cNvSpPr/>
                    </a:nvSpPr>
                    <a:spPr>
                      <a:xfrm>
                        <a:off x="5929322" y="2214554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右箭头 32"/>
                      <a:cNvSpPr/>
                    </a:nvSpPr>
                    <a:spPr>
                      <a:xfrm rot="5400000">
                        <a:off x="6929454" y="3000372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右箭头 33"/>
                      <a:cNvSpPr/>
                    </a:nvSpPr>
                    <a:spPr>
                      <a:xfrm rot="10800000">
                        <a:off x="5929322" y="3714752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右箭头 34"/>
                      <a:cNvSpPr/>
                    </a:nvSpPr>
                    <a:spPr>
                      <a:xfrm rot="10800000">
                        <a:off x="3857620" y="3714752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右箭头 35"/>
                      <a:cNvSpPr/>
                    </a:nvSpPr>
                    <a:spPr>
                      <a:xfrm rot="10800000">
                        <a:off x="1857356" y="3714752"/>
                        <a:ext cx="64294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00485" w:rsidRPr="00C00485" w:rsidRDefault="00C00485" w:rsidP="00540167">
      <w:pPr>
        <w:spacing w:line="360" w:lineRule="auto"/>
        <w:rPr>
          <w:b/>
          <w:sz w:val="24"/>
        </w:rPr>
      </w:pPr>
    </w:p>
    <w:p w:rsidR="00A17EE9" w:rsidRPr="002D0199" w:rsidRDefault="00A17EE9" w:rsidP="00540167">
      <w:pPr>
        <w:spacing w:line="360" w:lineRule="auto"/>
        <w:rPr>
          <w:b/>
          <w:sz w:val="24"/>
        </w:rPr>
      </w:pPr>
      <w:r w:rsidRPr="002D0199">
        <w:rPr>
          <w:rFonts w:hint="eastAsia"/>
          <w:b/>
          <w:sz w:val="24"/>
        </w:rPr>
        <w:t>结构化数据对接到业务流程功能图：</w:t>
      </w:r>
    </w:p>
    <w:p w:rsidR="00A17EE9" w:rsidRDefault="00A17EE9" w:rsidP="00540167">
      <w:pPr>
        <w:spacing w:line="360" w:lineRule="auto"/>
        <w:rPr>
          <w:sz w:val="24"/>
        </w:rPr>
      </w:pPr>
      <w:r w:rsidRPr="00A17EE9">
        <w:rPr>
          <w:noProof/>
          <w:sz w:val="24"/>
        </w:rPr>
        <w:drawing>
          <wp:inline distT="0" distB="0" distL="0" distR="0">
            <wp:extent cx="5274310" cy="4375724"/>
            <wp:effectExtent l="19050" t="0" r="254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86544" cy="5214974"/>
                      <a:chOff x="1285852" y="1000108"/>
                      <a:chExt cx="6286544" cy="5214974"/>
                    </a:xfrm>
                  </a:grpSpPr>
                  <a:sp>
                    <a:nvSpPr>
                      <a:cNvPr id="54" name="矩形 53"/>
                      <a:cNvSpPr/>
                    </a:nvSpPr>
                    <a:spPr>
                      <a:xfrm>
                        <a:off x="1285852" y="1000108"/>
                        <a:ext cx="6286544" cy="521497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2357422" y="1214422"/>
                        <a:ext cx="2143140" cy="3000396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签收流程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AutoShape 19"/>
                      <a:cNvSpPr>
                        <a:spLocks noChangeArrowheads="1"/>
                      </a:cNvSpPr>
                    </a:nvSpPr>
                    <a:spPr bwMode="auto">
                      <a:xfrm>
                        <a:off x="5214942" y="1214422"/>
                        <a:ext cx="2214578" cy="2928958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1" fontAlgn="base" hangingPunct="1">
                            <a:defRPr/>
                          </a:pPr>
                          <a:r>
                            <a:rPr lang="zh-CN" altLang="en-US" sz="1400" b="1" dirty="0" smtClean="0">
                              <a:solidFill>
                                <a:srgbClr val="000000"/>
                              </a:solidFill>
                              <a:latin typeface="微软雅黑" pitchFamily="34" charset="-122"/>
                            </a:rPr>
                            <a:t>对接的业务流程</a:t>
                          </a:r>
                          <a:endParaRPr lang="en-US" altLang="zh-CN" sz="1400" b="1" dirty="0" smtClean="0">
                            <a:solidFill>
                              <a:srgbClr val="000000"/>
                            </a:solidFill>
                            <a:latin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右箭头 38"/>
                      <a:cNvSpPr/>
                    </a:nvSpPr>
                    <a:spPr>
                      <a:xfrm>
                        <a:off x="1357290" y="2571744"/>
                        <a:ext cx="1000132" cy="428628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1285852" y="2285992"/>
                        <a:ext cx="121444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200" dirty="0" smtClean="0"/>
                            <a:t>交易所传来文件通知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2857488" y="3286124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zh-CN" sz="1400" dirty="0" smtClean="0"/>
                        </a:p>
                        <a:p>
                          <a:pPr algn="ctr"/>
                          <a:r>
                            <a:rPr lang="zh-CN" altLang="en-US" sz="1400" dirty="0" smtClean="0"/>
                            <a:t>获取结构化数据</a:t>
                          </a:r>
                        </a:p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6" name="矩形 45"/>
                      <a:cNvSpPr/>
                    </a:nvSpPr>
                    <a:spPr>
                      <a:xfrm>
                        <a:off x="2428860" y="4500570"/>
                        <a:ext cx="5000660" cy="28575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DB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矩形 47"/>
                      <a:cNvSpPr/>
                    </a:nvSpPr>
                    <a:spPr>
                      <a:xfrm>
                        <a:off x="2857488" y="2071678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启动对接业务流程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右箭头 48"/>
                      <a:cNvSpPr/>
                    </a:nvSpPr>
                    <a:spPr>
                      <a:xfrm>
                        <a:off x="3929058" y="2285992"/>
                        <a:ext cx="1857388" cy="214314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矩形 49"/>
                      <a:cNvSpPr/>
                    </a:nvSpPr>
                    <a:spPr>
                      <a:xfrm>
                        <a:off x="5857884" y="2071678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预填业务数据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矩形 50"/>
                      <a:cNvSpPr/>
                    </a:nvSpPr>
                    <a:spPr>
                      <a:xfrm>
                        <a:off x="5857884" y="3286124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业务逻辑处理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上箭头 51"/>
                      <a:cNvSpPr/>
                    </a:nvSpPr>
                    <a:spPr>
                      <a:xfrm>
                        <a:off x="6286512" y="3929066"/>
                        <a:ext cx="142876" cy="571504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下箭头 52"/>
                      <a:cNvSpPr/>
                    </a:nvSpPr>
                    <a:spPr>
                      <a:xfrm>
                        <a:off x="6286512" y="2786058"/>
                        <a:ext cx="142876" cy="500066"/>
                      </a:xfrm>
                      <a:prstGeom prst="down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2357422" y="5000636"/>
                        <a:ext cx="5143536" cy="8572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b="1" dirty="0" smtClean="0"/>
                            <a:t>结构化数据接口</a:t>
                          </a:r>
                          <a:endParaRPr lang="zh-CN" altLang="en-US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矩形 17"/>
                      <a:cNvSpPr/>
                    </a:nvSpPr>
                    <a:spPr>
                      <a:xfrm>
                        <a:off x="5929322" y="5143512"/>
                        <a:ext cx="1000132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 altLang="zh-CN" sz="1400" dirty="0" smtClean="0"/>
                        </a:p>
                        <a:p>
                          <a:pPr algn="ctr"/>
                          <a:r>
                            <a:rPr lang="zh-CN" altLang="en-US" sz="1400" dirty="0" smtClean="0"/>
                            <a:t>解析结构化数据</a:t>
                          </a:r>
                        </a:p>
                        <a:p>
                          <a:pPr algn="ctr"/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上箭头 18"/>
                      <a:cNvSpPr/>
                    </a:nvSpPr>
                    <a:spPr>
                      <a:xfrm>
                        <a:off x="6286512" y="4786322"/>
                        <a:ext cx="142876" cy="357190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上箭头 19"/>
                      <a:cNvSpPr/>
                    </a:nvSpPr>
                    <a:spPr>
                      <a:xfrm>
                        <a:off x="3286116" y="3929066"/>
                        <a:ext cx="142876" cy="571504"/>
                      </a:xfrm>
                      <a:prstGeom prst="up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A17EE9" w:rsidRDefault="00A17EE9" w:rsidP="00540167">
      <w:pPr>
        <w:spacing w:line="360" w:lineRule="auto"/>
        <w:rPr>
          <w:sz w:val="24"/>
        </w:rPr>
      </w:pPr>
      <w:r>
        <w:rPr>
          <w:rFonts w:hint="eastAsia"/>
          <w:sz w:val="24"/>
        </w:rPr>
        <w:t>整个对接处理过程如下：</w:t>
      </w:r>
    </w:p>
    <w:p w:rsidR="00A17EE9" w:rsidRDefault="00A17EE9" w:rsidP="00A17EE9">
      <w:pPr>
        <w:spacing w:line="360" w:lineRule="auto"/>
        <w:ind w:firstLine="360"/>
        <w:rPr>
          <w:sz w:val="24"/>
        </w:rPr>
      </w:pPr>
      <w:r w:rsidRPr="00A17EE9">
        <w:rPr>
          <w:rFonts w:hint="eastAsia"/>
          <w:sz w:val="24"/>
        </w:rPr>
        <w:t>当签收流程收到交易所的文件通知时，对结构化数据进行解析，放到一个</w:t>
      </w:r>
      <w:r>
        <w:rPr>
          <w:rFonts w:hint="eastAsia"/>
          <w:sz w:val="24"/>
        </w:rPr>
        <w:t>设计好的结构化数据</w:t>
      </w:r>
      <w:r w:rsidRPr="00A17EE9">
        <w:rPr>
          <w:rFonts w:hint="eastAsia"/>
          <w:sz w:val="24"/>
        </w:rPr>
        <w:t>表中，各个业务流程需要数据</w:t>
      </w:r>
      <w:r>
        <w:rPr>
          <w:rFonts w:hint="eastAsia"/>
          <w:sz w:val="24"/>
        </w:rPr>
        <w:t>时可以</w:t>
      </w:r>
      <w:r w:rsidRPr="00A17EE9">
        <w:rPr>
          <w:rFonts w:hint="eastAsia"/>
          <w:sz w:val="24"/>
        </w:rPr>
        <w:t>自己去</w:t>
      </w:r>
      <w:r>
        <w:rPr>
          <w:rFonts w:hint="eastAsia"/>
          <w:sz w:val="24"/>
        </w:rPr>
        <w:t>提</w:t>
      </w:r>
      <w:r w:rsidRPr="00A17EE9">
        <w:rPr>
          <w:rFonts w:hint="eastAsia"/>
          <w:sz w:val="24"/>
        </w:rPr>
        <w:t>取，同时签收流程</w:t>
      </w:r>
      <w:r>
        <w:rPr>
          <w:rFonts w:hint="eastAsia"/>
          <w:sz w:val="24"/>
        </w:rPr>
        <w:t>也可实现将数据主动推送到业务流程中，并将</w:t>
      </w:r>
      <w:r w:rsidRPr="00A17EE9">
        <w:rPr>
          <w:rFonts w:hint="eastAsia"/>
          <w:sz w:val="24"/>
        </w:rPr>
        <w:t>数据预填，有</w:t>
      </w:r>
      <w:r>
        <w:rPr>
          <w:rFonts w:hint="eastAsia"/>
          <w:sz w:val="24"/>
        </w:rPr>
        <w:t>疑问</w:t>
      </w:r>
      <w:r w:rsidRPr="00A17EE9">
        <w:rPr>
          <w:rFonts w:hint="eastAsia"/>
          <w:sz w:val="24"/>
        </w:rPr>
        <w:t>可以再进行修</w:t>
      </w:r>
      <w:r w:rsidRPr="00A17EE9">
        <w:rPr>
          <w:rFonts w:hint="eastAsia"/>
          <w:sz w:val="24"/>
        </w:rPr>
        <w:lastRenderedPageBreak/>
        <w:t>改</w:t>
      </w:r>
      <w:r>
        <w:rPr>
          <w:rFonts w:hint="eastAsia"/>
          <w:sz w:val="24"/>
        </w:rPr>
        <w:t>，从而实现了结构化数据的对接。</w:t>
      </w:r>
    </w:p>
    <w:p w:rsidR="002D0199" w:rsidRDefault="002D0199" w:rsidP="002D0199">
      <w:pPr>
        <w:spacing w:line="360" w:lineRule="auto"/>
        <w:rPr>
          <w:sz w:val="24"/>
        </w:rPr>
      </w:pPr>
    </w:p>
    <w:p w:rsidR="001666A9" w:rsidRPr="002D0199" w:rsidRDefault="002D0199" w:rsidP="002D0199">
      <w:pPr>
        <w:spacing w:line="360" w:lineRule="auto"/>
        <w:rPr>
          <w:sz w:val="30"/>
          <w:szCs w:val="30"/>
        </w:rPr>
      </w:pPr>
      <w:r w:rsidRPr="002D0199">
        <w:rPr>
          <w:rFonts w:hint="eastAsia"/>
          <w:sz w:val="30"/>
          <w:szCs w:val="30"/>
        </w:rPr>
        <w:t>【</w:t>
      </w:r>
      <w:r w:rsidR="00760907" w:rsidRPr="002D0199">
        <w:rPr>
          <w:rFonts w:hint="eastAsia"/>
          <w:sz w:val="30"/>
          <w:szCs w:val="30"/>
        </w:rPr>
        <w:t>模型未来</w:t>
      </w:r>
      <w:r w:rsidR="001666A9" w:rsidRPr="002D0199">
        <w:rPr>
          <w:rFonts w:hint="eastAsia"/>
          <w:sz w:val="30"/>
          <w:szCs w:val="30"/>
        </w:rPr>
        <w:t>的发展</w:t>
      </w:r>
      <w:r w:rsidRPr="002D0199">
        <w:rPr>
          <w:rFonts w:hint="eastAsia"/>
          <w:sz w:val="30"/>
          <w:szCs w:val="30"/>
        </w:rPr>
        <w:t>】</w:t>
      </w:r>
    </w:p>
    <w:p w:rsidR="00BD5BF1" w:rsidRPr="002D0199" w:rsidRDefault="007B23BA" w:rsidP="002D0199">
      <w:pPr>
        <w:spacing w:line="360" w:lineRule="auto"/>
        <w:ind w:firstLine="360"/>
        <w:rPr>
          <w:sz w:val="24"/>
        </w:rPr>
      </w:pPr>
      <w:r w:rsidRPr="002D0199">
        <w:rPr>
          <w:rFonts w:hint="eastAsia"/>
          <w:sz w:val="24"/>
        </w:rPr>
        <w:t>这个模型可以推广到金融机构与银行之前的电子数据交互或</w:t>
      </w:r>
      <w:r w:rsidR="002D0199">
        <w:rPr>
          <w:rFonts w:hint="eastAsia"/>
          <w:sz w:val="24"/>
        </w:rPr>
        <w:t>企业</w:t>
      </w:r>
      <w:r w:rsidRPr="002D0199">
        <w:rPr>
          <w:rFonts w:hint="eastAsia"/>
          <w:sz w:val="24"/>
        </w:rPr>
        <w:t>与协作</w:t>
      </w:r>
      <w:r w:rsidR="002D0199">
        <w:rPr>
          <w:rFonts w:hint="eastAsia"/>
          <w:sz w:val="24"/>
        </w:rPr>
        <w:t>企业</w:t>
      </w:r>
      <w:r w:rsidRPr="002D0199">
        <w:rPr>
          <w:rFonts w:hint="eastAsia"/>
          <w:sz w:val="24"/>
        </w:rPr>
        <w:t>之间有业务交换的场景都可参考这种方案</w:t>
      </w:r>
      <w:r w:rsidR="002D0199">
        <w:rPr>
          <w:rFonts w:hint="eastAsia"/>
          <w:sz w:val="24"/>
        </w:rPr>
        <w:t>；</w:t>
      </w:r>
      <w:r w:rsidRPr="002D0199">
        <w:rPr>
          <w:rFonts w:hint="eastAsia"/>
          <w:sz w:val="24"/>
        </w:rPr>
        <w:t>只要双方</w:t>
      </w:r>
      <w:r w:rsidR="002D0199">
        <w:rPr>
          <w:rFonts w:hint="eastAsia"/>
          <w:sz w:val="24"/>
        </w:rPr>
        <w:t>约定</w:t>
      </w:r>
      <w:r w:rsidRPr="002D0199">
        <w:rPr>
          <w:rFonts w:hint="eastAsia"/>
          <w:sz w:val="24"/>
        </w:rPr>
        <w:t>好指令接口定义的格式、</w:t>
      </w:r>
      <w:r w:rsidR="004B5642" w:rsidRPr="002D0199">
        <w:rPr>
          <w:rFonts w:hint="eastAsia"/>
          <w:sz w:val="24"/>
        </w:rPr>
        <w:t>有可共享的</w:t>
      </w:r>
      <w:r w:rsidR="004B5642" w:rsidRPr="002D0199">
        <w:rPr>
          <w:rFonts w:hint="eastAsia"/>
          <w:sz w:val="24"/>
        </w:rPr>
        <w:t>FTP</w:t>
      </w:r>
      <w:r w:rsidR="004B5642" w:rsidRPr="002D0199">
        <w:rPr>
          <w:rFonts w:hint="eastAsia"/>
          <w:sz w:val="24"/>
        </w:rPr>
        <w:t>服务器、有通信网关</w:t>
      </w:r>
      <w:r w:rsidR="00205C64" w:rsidRPr="002D0199">
        <w:rPr>
          <w:rFonts w:hint="eastAsia"/>
          <w:sz w:val="24"/>
        </w:rPr>
        <w:t>即可，比较方便简单的解决了跨单位协作的问题。</w:t>
      </w:r>
    </w:p>
    <w:p w:rsidR="004743AA" w:rsidRPr="00233E14" w:rsidRDefault="00BD5BF1" w:rsidP="00233E14">
      <w:pPr>
        <w:pStyle w:val="a5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可让多个</w:t>
      </w:r>
      <w:r w:rsidR="002D0199">
        <w:rPr>
          <w:rFonts w:hint="eastAsia"/>
          <w:sz w:val="24"/>
        </w:rPr>
        <w:t>企业之间</w:t>
      </w:r>
      <w:r>
        <w:rPr>
          <w:rFonts w:hint="eastAsia"/>
          <w:sz w:val="24"/>
        </w:rPr>
        <w:t>能</w:t>
      </w:r>
      <w:r w:rsidRPr="00BD5BF1">
        <w:rPr>
          <w:rFonts w:hint="eastAsia"/>
          <w:sz w:val="24"/>
        </w:rPr>
        <w:t>携手共进</w:t>
      </w:r>
      <w:r>
        <w:rPr>
          <w:rFonts w:hint="eastAsia"/>
          <w:sz w:val="24"/>
        </w:rPr>
        <w:t>，</w:t>
      </w:r>
      <w:r w:rsidRPr="00BD5BF1">
        <w:rPr>
          <w:rFonts w:hint="eastAsia"/>
          <w:sz w:val="24"/>
        </w:rPr>
        <w:t>开创多层次资本市场</w:t>
      </w:r>
      <w:r>
        <w:rPr>
          <w:rFonts w:hint="eastAsia"/>
          <w:sz w:val="24"/>
        </w:rPr>
        <w:t>的</w:t>
      </w:r>
      <w:r w:rsidRPr="00BD5BF1">
        <w:rPr>
          <w:rFonts w:hint="eastAsia"/>
          <w:sz w:val="24"/>
        </w:rPr>
        <w:t>繁荣发展之路</w:t>
      </w:r>
      <w:r>
        <w:rPr>
          <w:rFonts w:hint="eastAsia"/>
          <w:sz w:val="24"/>
        </w:rPr>
        <w:t>。</w:t>
      </w:r>
    </w:p>
    <w:sectPr w:rsidR="004743AA" w:rsidRPr="00233E14" w:rsidSect="00012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45C" w:rsidRDefault="00BD645C" w:rsidP="002B6FAA">
      <w:r>
        <w:separator/>
      </w:r>
    </w:p>
  </w:endnote>
  <w:endnote w:type="continuationSeparator" w:id="1">
    <w:p w:rsidR="00BD645C" w:rsidRDefault="00BD645C" w:rsidP="002B6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45C" w:rsidRDefault="00BD645C" w:rsidP="002B6FAA">
      <w:r>
        <w:separator/>
      </w:r>
    </w:p>
  </w:footnote>
  <w:footnote w:type="continuationSeparator" w:id="1">
    <w:p w:rsidR="00BD645C" w:rsidRDefault="00BD645C" w:rsidP="002B6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95B"/>
    <w:multiLevelType w:val="hybridMultilevel"/>
    <w:tmpl w:val="D10A1DCC"/>
    <w:lvl w:ilvl="0" w:tplc="1736B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81660"/>
    <w:multiLevelType w:val="hybridMultilevel"/>
    <w:tmpl w:val="8138D0F6"/>
    <w:lvl w:ilvl="0" w:tplc="2954C47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2926497"/>
    <w:multiLevelType w:val="hybridMultilevel"/>
    <w:tmpl w:val="F81266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FAA"/>
    <w:rsid w:val="0000061E"/>
    <w:rsid w:val="000129B6"/>
    <w:rsid w:val="0003658E"/>
    <w:rsid w:val="00036841"/>
    <w:rsid w:val="00141140"/>
    <w:rsid w:val="00153892"/>
    <w:rsid w:val="001666A9"/>
    <w:rsid w:val="001B0077"/>
    <w:rsid w:val="001F4EB5"/>
    <w:rsid w:val="00205C64"/>
    <w:rsid w:val="00233E14"/>
    <w:rsid w:val="00271732"/>
    <w:rsid w:val="00292218"/>
    <w:rsid w:val="002B6FAA"/>
    <w:rsid w:val="002D0199"/>
    <w:rsid w:val="002D3EED"/>
    <w:rsid w:val="002E2A25"/>
    <w:rsid w:val="0033079C"/>
    <w:rsid w:val="00332683"/>
    <w:rsid w:val="00344AD1"/>
    <w:rsid w:val="003455AC"/>
    <w:rsid w:val="00376FF8"/>
    <w:rsid w:val="0038173F"/>
    <w:rsid w:val="003D464B"/>
    <w:rsid w:val="003F0E9D"/>
    <w:rsid w:val="003F60FD"/>
    <w:rsid w:val="00431E40"/>
    <w:rsid w:val="0044076E"/>
    <w:rsid w:val="00455A92"/>
    <w:rsid w:val="0045709F"/>
    <w:rsid w:val="004743AA"/>
    <w:rsid w:val="00485BFB"/>
    <w:rsid w:val="00486843"/>
    <w:rsid w:val="004B5642"/>
    <w:rsid w:val="004B5878"/>
    <w:rsid w:val="004D1051"/>
    <w:rsid w:val="004D6EDE"/>
    <w:rsid w:val="00501B52"/>
    <w:rsid w:val="0051478B"/>
    <w:rsid w:val="00536AD2"/>
    <w:rsid w:val="00540167"/>
    <w:rsid w:val="00566059"/>
    <w:rsid w:val="005B1C3B"/>
    <w:rsid w:val="005C4E3E"/>
    <w:rsid w:val="006150DC"/>
    <w:rsid w:val="0067224A"/>
    <w:rsid w:val="006927B1"/>
    <w:rsid w:val="006D3565"/>
    <w:rsid w:val="006E259F"/>
    <w:rsid w:val="006E3560"/>
    <w:rsid w:val="00760907"/>
    <w:rsid w:val="00777D41"/>
    <w:rsid w:val="007A0243"/>
    <w:rsid w:val="007B23BA"/>
    <w:rsid w:val="007E6CA5"/>
    <w:rsid w:val="007F6F27"/>
    <w:rsid w:val="00822038"/>
    <w:rsid w:val="008D55D7"/>
    <w:rsid w:val="009912B5"/>
    <w:rsid w:val="009F23AE"/>
    <w:rsid w:val="009F4C09"/>
    <w:rsid w:val="00A15378"/>
    <w:rsid w:val="00A17EE9"/>
    <w:rsid w:val="00A22726"/>
    <w:rsid w:val="00A825A4"/>
    <w:rsid w:val="00A83D63"/>
    <w:rsid w:val="00AC4494"/>
    <w:rsid w:val="00AF70EF"/>
    <w:rsid w:val="00B34FAE"/>
    <w:rsid w:val="00B62FB6"/>
    <w:rsid w:val="00B71362"/>
    <w:rsid w:val="00B814E9"/>
    <w:rsid w:val="00B85F1F"/>
    <w:rsid w:val="00BB1849"/>
    <w:rsid w:val="00BC68B4"/>
    <w:rsid w:val="00BD4BCD"/>
    <w:rsid w:val="00BD5BF1"/>
    <w:rsid w:val="00BD645C"/>
    <w:rsid w:val="00C00485"/>
    <w:rsid w:val="00C02F66"/>
    <w:rsid w:val="00CA0021"/>
    <w:rsid w:val="00CB0927"/>
    <w:rsid w:val="00CF5626"/>
    <w:rsid w:val="00D31463"/>
    <w:rsid w:val="00D83814"/>
    <w:rsid w:val="00DA2037"/>
    <w:rsid w:val="00ED730A"/>
    <w:rsid w:val="00F01C4E"/>
    <w:rsid w:val="00F279EB"/>
    <w:rsid w:val="00F32C7D"/>
    <w:rsid w:val="00F70C80"/>
    <w:rsid w:val="00F83534"/>
    <w:rsid w:val="00F85DAA"/>
    <w:rsid w:val="00F953A4"/>
    <w:rsid w:val="00FD3398"/>
    <w:rsid w:val="00FD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F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FAA"/>
    <w:rPr>
      <w:sz w:val="18"/>
      <w:szCs w:val="18"/>
    </w:rPr>
  </w:style>
  <w:style w:type="paragraph" w:styleId="a5">
    <w:name w:val="List Paragraph"/>
    <w:basedOn w:val="a"/>
    <w:uiPriority w:val="34"/>
    <w:qFormat/>
    <w:rsid w:val="00AC449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06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061E"/>
    <w:rPr>
      <w:rFonts w:ascii="Times New Roman" w:eastAsia="宋体" w:hAnsi="Times New Roman" w:cs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D521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D521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4424">
          <w:marLeft w:val="30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bpm001</dc:creator>
  <cp:keywords/>
  <dc:description/>
  <cp:lastModifiedBy>stars</cp:lastModifiedBy>
  <cp:revision>77</cp:revision>
  <dcterms:created xsi:type="dcterms:W3CDTF">2013-08-08T06:32:00Z</dcterms:created>
  <dcterms:modified xsi:type="dcterms:W3CDTF">2013-08-22T02:49:00Z</dcterms:modified>
</cp:coreProperties>
</file>