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0"/>
          <w:szCs w:val="20"/>
          <w:rtl w:val="0"/>
        </w:rPr>
        <w:t xml:space="preserve">IT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Weekly System Health Report — Week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2"/>
          <w:szCs w:val="22"/>
          <w:rtl w:val="0"/>
        </w:rPr>
        <w:t xml:space="preserve">Reporting period: 31 March 2026 to 6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Three Critical-severity incidents were logged this week, with the VPN gateway and primary orders database accounting for the longest combined disruption. Helpdesk volume rose 18 percent week-over-week, driven mainly by remote-access complaints.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Incidents Logged This Week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2200"/>
        <w:gridCol w:w="2200"/>
        <w:gridCol w:w="1200"/>
        <w:gridCol w:w="2660"/>
        <w:tblGridChange w:id="0">
          <w:tblGrid>
            <w:gridCol w:w="1100"/>
            <w:gridCol w:w="2200"/>
            <w:gridCol w:w="2200"/>
            <w:gridCol w:w="1200"/>
            <w:gridCol w:w="2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Incident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 / Affected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INC-1402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AuthenticationVPN gateway vpn-01.crest.internal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Authentication timeouts during peak login windows (08:00 to 09:30 UTC). 142 users affected over two days.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INC-1407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DatabasePrimary orders database ORDERS-DB-PROD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Replication lag to standby reached 480 seconds on 2 April. Read replicas served stale data for approximately 45 minutes.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INC-1411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StorageDepartmental NAS nas-store-03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Disk utilisation crossed 92 percent. Write performance degraded for the finance share.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d7d3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INC-1415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ApplicationPrint queue server prt-srv-01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Print queue stuck on the third floor. Cleared after service restart.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70ad4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Resolved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Closing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The VPN team has opened a vendor support ticket and is collecting authentication logs for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Database replication lag is being investigated as a possible network throughput issue between the primary and standby sites.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Capacity planning for nas-store-03 has been escalated to the storage lead.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3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sz w:val="18"/>
          <w:szCs w:val="18"/>
          <w:rtl w:val="0"/>
        </w:rPr>
        <w:t xml:space="preserve">— End of weekly report —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fu2PaOWUBjyt4qO1iQJ4HRIlug==">CgMxLjA4AHIhMXRZSnl5YUxOalBuX2xlNVBFZnBxSVctb2hWQUt4amlf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