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Holdings 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Weekly System Health Report — Week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Reporting period: 14 April 2026 to 20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issues did not recur this week. Database replication lag returned on the orders system. Mail relay backlog and a new core network symptom emerged.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Incidents Logged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2200"/>
        <w:gridCol w:w="1200"/>
        <w:gridCol w:w="2660"/>
        <w:tblGridChange w:id="0">
          <w:tblGrid>
            <w:gridCol w:w="1100"/>
            <w:gridCol w:w="2200"/>
            <w:gridCol w:w="2200"/>
            <w:gridCol w:w="1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/ Affected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DatabasePrimary orders database ORDERS-DB-PROD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Replication lag spiked to 620 seconds on 16 April during overnight batch window. Standby fell behind for 90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ApplicationMail relay mail-relay-02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Outbound queue backlog repeated on 17 April. 5,800 messages delayed. Anti-spam scanning latency suspected.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NetworkCore switch core-switch-fw01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Intermittent packet drops on uplink ports 23 and 24. 0.6 percent drop rate sustained across business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Closing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Database team has requested a maintenance window to upgrade replication channel bandwidth.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Mail relay investigation has narrowed to anti-spam scanner throughput. Vendor review scheduled.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Core switch packet drops are being correlated with a recent firmware update. Rollback under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18"/>
          <w:szCs w:val="18"/>
          <w:rtl w:val="0"/>
        </w:rPr>
        <w:t xml:space="preserve">— End of weekly report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NsbohUrQAnvjh/8KJPkGPOr2g==">CgMxLjA4AHIhMU40SFYzVldaemtWOUhIeUdjX3M0NkprZnNoN1VZU2Yz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