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Holdings 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Weekly System Health Report — Week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Reporting period: 21 April 2026 to 27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authentication failures returned. Database replication lag persists. A new low-priority symptom appeared on the internal wiki.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Incidents Logged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2200"/>
        <w:gridCol w:w="1200"/>
        <w:gridCol w:w="2660"/>
        <w:tblGridChange w:id="0">
          <w:tblGrid>
            <w:gridCol w:w="1100"/>
            <w:gridCol w:w="2200"/>
            <w:gridCol w:w="2200"/>
            <w:gridCol w:w="1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/ Affected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AuthenticationVPN gateway vpn-01.crest.internal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Third recurrence of morning authentication timeouts. 95 users affected on 22 April. Pattern now confirmed across three weeks.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DatabasePrimary orders database ORDERS-DB-PROD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Replication lag exceeded 300 seconds twice this week. Read traffic temporarily re-routed to primary.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NetworkCore switch core-switch-fw01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Packet drops continued on the same uplink ports. Drop rate now averaging 0.9 percent.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ApplicationInternal wiki wiki.crest.internal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Search index rebuild taking longer than usual. No user-facing outage.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70ad4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Closing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vendor has accepted the case as a Priority 1. Replacement appliance is being 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Database replication upgrade window has been provisionally scheduled for week 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Network team has approved firmware rollback on core-switch-fw01 for the weekend maintenance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18"/>
          <w:szCs w:val="18"/>
          <w:rtl w:val="0"/>
        </w:rPr>
        <w:t xml:space="preserve">— End of weekly report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5piH46260nDeFYz6UIgiE+WDVQ==">CgMxLjA4AHIhMUl3R2todjVQWS1FVkY5ODlReVVUVXFYZGpVVWUzZEtm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