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Holdings 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Weekly System Health Report — Week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Reporting period: 28 April 2026 to 4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gateway replacement deferred to next week. Mail relay backlog appeared a third time. NAS capacity issue persists. Core switch packet drops continue pending the rollback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Incidents Logged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2200"/>
        <w:gridCol w:w="1200"/>
        <w:gridCol w:w="2660"/>
        <w:tblGridChange w:id="0">
          <w:tblGrid>
            <w:gridCol w:w="1100"/>
            <w:gridCol w:w="2200"/>
            <w:gridCol w:w="2200"/>
            <w:gridCol w:w="1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/ Affected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ApplicationMail relay mail-relay-02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Outbound queue reached 7,100 messages on 29 April. Third occurrence in five weeks. Delivery delay up to 50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INC-1807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StorageDepartmental NAS nas-store-03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Disk utilisation steady at 95 percent. Finance reporting team raised a complaint about month-end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NetworkCore switch core-switch-fw01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Packet drops persisted ahead of the planned rollback. Drop rate now 1.1 percent.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Closing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Mail relay anti-spam scanner upgrade has been confirmed by the vendor and is targeted for week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NAS hardware refresh proposal has been submitted for budget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Core switch firmware rollback completed Sunday morning. Monitoring through week 19 will confirm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18"/>
          <w:szCs w:val="18"/>
          <w:rtl w:val="0"/>
        </w:rPr>
        <w:t xml:space="preserve">— End of weekly report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aUrp2C+7PoQOpmmiX2/ddo/zw==">CgMxLjA4AHIhMXJleDVLb1gxU0hhTTRYRGhvQjNhU3IwM0RmLWZNa1Nv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