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C7293"/>
          <w:sz w:val="18"/>
          <w:szCs w:val="18"/>
        </w:rPr>
        <w:t xml:space="preserve">STAGE INITIAL IE / MEF1 — LIFOU 2026 · ASA · WËTRESIJ · FFESSM</w:t>
      </w:r>
    </w:p>
    <w:p>
      <w:pPr>
        <w:spacing w:after="100"/>
      </w:pPr>
      <w:r>
        <w:rPr>
          <w:rFonts w:ascii="Cambria" w:cs="Cambria" w:eastAsia="Cambria" w:hAnsi="Cambria"/>
          <w:b/>
          <w:bCs/>
          <w:color w:val="065A82"/>
          <w:sz w:val="40"/>
          <w:szCs w:val="40"/>
        </w:rPr>
        <w:t xml:space="preserve">Manuel du Moniteur d'apnée (2004)</w:t>
      </w:r>
    </w:p>
    <w:p>
      <w:pPr>
        <w:spacing w:after="260"/>
      </w:pPr>
      <w:r>
        <w:rPr>
          <w:rFonts w:ascii="Cambria" w:cs="Cambria" w:eastAsia="Cambria" w:hAnsi="Cambria"/>
          <w:color w:val="1F3347"/>
          <w:sz w:val="28"/>
          <w:szCs w:val="28"/>
        </w:rPr>
        <w:t xml:space="preserve">Addendum d'actualisation — ce qui a changé depuis 2004</w:t>
      </w:r>
    </w:p>
    <w:p>
      <w:pPr>
        <w:spacing w:after="120" w:line="300"/>
      </w:pPr>
      <w:r>
        <w:rPr>
          <w:color w:val="1F3347"/>
          <w:sz w:val="22"/>
          <w:szCs w:val="22"/>
        </w:rPr>
        <w:t xml:space="preserve">Le « Manuel du Moniteur d'apnée stagiaire » (Clua, Andreani et coll., septembre 2004) reste une référence précieuse pour la pédagogie et la culture apnée. Mais l'architecture fédérale des brevets et plusieurs règles ont été profondément refondues depuis — notamment lors de la réforme des cursus validée par le Comité Directeur National en 2019 (effective au 15 septembre 2019) et par les mises à jour successives des manuels de formation de la Commission Nationale d'Apnée. Ce document liste les principales actualisations à connaître pour le stage. </w:t>
      </w:r>
      <w:r>
        <w:rPr>
          <w:b/>
          <w:bCs/>
          <w:color w:val="1F3347"/>
          <w:sz w:val="22"/>
          <w:szCs w:val="22"/>
        </w:rPr>
        <w:t xml:space="preserve">Il complète le manuel de 2004, il ne le remplace pas — et les manuels officiels en vigueur sur apnee.ffessm.fr restent l'unique référence d'examen.</w:t>
      </w:r>
    </w:p>
    <w:p>
      <w:pPr>
        <w:pStyle w:val="Heading1"/>
        <w:spacing w:after="160" w:before="360"/>
      </w:pPr>
      <w:r>
        <w:rPr>
          <w:b/>
          <w:bCs/>
          <w:color w:val="065A82"/>
        </w:rPr>
        <w:t xml:space="preserve">1. La refonte des cursus apnéistes (2019)</w:t>
      </w:r>
    </w:p>
    <w:p>
      <w:pPr>
        <w:spacing w:after="120" w:line="300"/>
      </w:pPr>
      <w:r>
        <w:rPr>
          <w:color w:val="1F3347"/>
          <w:sz w:val="22"/>
          <w:szCs w:val="22"/>
        </w:rPr>
        <w:t xml:space="preserve">Les « niveaux d'apnée 1 à 4 » décrits dans le manuel de 2004 n'existent plus sous cette forme. Le cursus actuel distingue la piscine de l'eau libre et s'aligne sur les brevets internationaux CMAS :</w:t>
      </w:r>
    </w:p>
    <w:tbl>
      <w:tblPr>
        <w:tblW w:type="dxa" w:w="9500"/>
        <w:tblBorders>
          <w:top w:val="single" w:color="C9D8E4" w:sz="4"/>
          <w:left w:val="single" w:color="C9D8E4" w:sz="4"/>
          <w:bottom w:val="single" w:color="C9D8E4" w:sz="4"/>
          <w:right w:val="single" w:color="C9D8E4" w:sz="4"/>
          <w:insideH w:val="single" w:color="C9D8E4" w:sz="4"/>
          <w:insideV w:val="single" w:color="C9D8E4" w:sz="4"/>
        </w:tblBorders>
      </w:tblPr>
      <w:tblGrid>
        <w:gridCol w:w="2900"/>
        <w:gridCol w:w="3300"/>
        <w:gridCol w:w="3300"/>
      </w:tblGrid>
      <w:tr>
        <w:tc>
          <w:tcPr>
            <w:tcW w:type="dxa" w:w="2900"/>
            <w:shd w:fill="065A82" w:val="clear"/>
            <w:tcMar>
              <w:top w:type="dxa" w:w="80"/>
              <w:left w:type="dxa" w:w="120"/>
              <w:bottom w:type="dxa" w:w="80"/>
              <w:right w:type="dxa" w:w="120"/>
            </w:tcMar>
          </w:tcPr>
          <w:p>
            <w:r>
              <w:rPr>
                <w:b/>
                <w:bCs/>
                <w:color w:val="FFFFFF"/>
                <w:sz w:val="20"/>
                <w:szCs w:val="20"/>
              </w:rPr>
              <w:t xml:space="preserve">Filière</w:t>
            </w:r>
          </w:p>
        </w:tc>
        <w:tc>
          <w:tcPr>
            <w:tcW w:type="dxa" w:w="3300"/>
            <w:shd w:fill="065A82" w:val="clear"/>
            <w:tcMar>
              <w:top w:type="dxa" w:w="80"/>
              <w:left w:type="dxa" w:w="120"/>
              <w:bottom w:type="dxa" w:w="80"/>
              <w:right w:type="dxa" w:w="120"/>
            </w:tcMar>
          </w:tcPr>
          <w:p>
            <w:r>
              <w:rPr>
                <w:b/>
                <w:bCs/>
                <w:color w:val="FFFFFF"/>
                <w:sz w:val="20"/>
                <w:szCs w:val="20"/>
              </w:rPr>
              <w:t xml:space="preserve">Cursus actuel</w:t>
            </w:r>
          </w:p>
        </w:tc>
        <w:tc>
          <w:tcPr>
            <w:tcW w:type="dxa" w:w="3300"/>
            <w:shd w:fill="065A82" w:val="clear"/>
            <w:tcMar>
              <w:top w:type="dxa" w:w="80"/>
              <w:left w:type="dxa" w:w="120"/>
              <w:bottom w:type="dxa" w:w="80"/>
              <w:right w:type="dxa" w:w="120"/>
            </w:tcMar>
          </w:tcPr>
          <w:p>
            <w:r>
              <w:rPr>
                <w:b/>
                <w:bCs/>
                <w:color w:val="FFFFFF"/>
                <w:sz w:val="20"/>
                <w:szCs w:val="20"/>
              </w:rPr>
              <w:t xml:space="preserve">Correspondance 2004 (indicative)</w:t>
            </w:r>
          </w:p>
        </w:tc>
      </w:tr>
      <w:tr>
        <w:tc>
          <w:tcPr>
            <w:tcW w:type="dxa" w:w="2900"/>
            <w:tcMar>
              <w:top w:type="dxa" w:w="80"/>
              <w:left w:type="dxa" w:w="120"/>
              <w:bottom w:type="dxa" w:w="80"/>
              <w:right w:type="dxa" w:w="120"/>
            </w:tcMar>
          </w:tcPr>
          <w:p>
            <w:r>
              <w:rPr>
                <w:b w:val="false"/>
                <w:bCs w:val="false"/>
                <w:color w:val="1F3347"/>
                <w:sz w:val="20"/>
                <w:szCs w:val="20"/>
              </w:rPr>
              <w:t xml:space="preserve">Piscine</w:t>
            </w:r>
          </w:p>
        </w:tc>
        <w:tc>
          <w:tcPr>
            <w:tcW w:type="dxa" w:w="3300"/>
            <w:tcMar>
              <w:top w:type="dxa" w:w="80"/>
              <w:left w:type="dxa" w:w="120"/>
              <w:bottom w:type="dxa" w:w="80"/>
              <w:right w:type="dxa" w:w="120"/>
            </w:tcMar>
          </w:tcPr>
          <w:p>
            <w:r>
              <w:rPr>
                <w:b w:val="false"/>
                <w:bCs w:val="false"/>
                <w:color w:val="1F3347"/>
                <w:sz w:val="20"/>
                <w:szCs w:val="20"/>
              </w:rPr>
              <w:t xml:space="preserve">Pass' Apnéiste → Apnéiste 1★ CMAS → Apnéiste Confirmé 2★ CMAS</w:t>
            </w:r>
          </w:p>
        </w:tc>
        <w:tc>
          <w:tcPr>
            <w:tcW w:type="dxa" w:w="3300"/>
            <w:tcMar>
              <w:top w:type="dxa" w:w="80"/>
              <w:left w:type="dxa" w:w="120"/>
              <w:bottom w:type="dxa" w:w="80"/>
              <w:right w:type="dxa" w:w="120"/>
            </w:tcMar>
          </w:tcPr>
          <w:p>
            <w:r>
              <w:rPr>
                <w:b w:val="false"/>
                <w:bCs w:val="false"/>
                <w:color w:val="1F3347"/>
                <w:sz w:val="20"/>
                <w:szCs w:val="20"/>
              </w:rPr>
              <w:t xml:space="preserve">Ex-niveaux « piscine » 1 et 2</w:t>
            </w:r>
          </w:p>
        </w:tc>
      </w:tr>
      <w:tr>
        <w:tc>
          <w:tcPr>
            <w:tcW w:type="dxa" w:w="2900"/>
            <w:tcMar>
              <w:top w:type="dxa" w:w="80"/>
              <w:left w:type="dxa" w:w="120"/>
              <w:bottom w:type="dxa" w:w="80"/>
              <w:right w:type="dxa" w:w="120"/>
            </w:tcMar>
          </w:tcPr>
          <w:p>
            <w:r>
              <w:rPr>
                <w:b w:val="false"/>
                <w:bCs w:val="false"/>
                <w:color w:val="1F3347"/>
                <w:sz w:val="20"/>
                <w:szCs w:val="20"/>
              </w:rPr>
              <w:t xml:space="preserve">Eau libre</w:t>
            </w:r>
          </w:p>
        </w:tc>
        <w:tc>
          <w:tcPr>
            <w:tcW w:type="dxa" w:w="3300"/>
            <w:tcMar>
              <w:top w:type="dxa" w:w="80"/>
              <w:left w:type="dxa" w:w="120"/>
              <w:bottom w:type="dxa" w:w="80"/>
              <w:right w:type="dxa" w:w="120"/>
            </w:tcMar>
          </w:tcPr>
          <w:p>
            <w:r>
              <w:rPr>
                <w:b w:val="false"/>
                <w:bCs w:val="false"/>
                <w:color w:val="1F3347"/>
                <w:sz w:val="20"/>
                <w:szCs w:val="20"/>
              </w:rPr>
              <w:t xml:space="preserve">Pass' Plongeur Libre → Apnéiste Eau Libre 1★ → Apnéiste Confirmé Eau Libre 2★ → Apnéiste Expert Eau Libre 3★ CMAS</w:t>
            </w:r>
          </w:p>
        </w:tc>
        <w:tc>
          <w:tcPr>
            <w:tcW w:type="dxa" w:w="3300"/>
            <w:tcMar>
              <w:top w:type="dxa" w:w="80"/>
              <w:left w:type="dxa" w:w="120"/>
              <w:bottom w:type="dxa" w:w="80"/>
              <w:right w:type="dxa" w:w="120"/>
            </w:tcMar>
          </w:tcPr>
          <w:p>
            <w:r>
              <w:rPr>
                <w:b w:val="false"/>
                <w:bCs w:val="false"/>
                <w:color w:val="1F3347"/>
                <w:sz w:val="20"/>
                <w:szCs w:val="20"/>
              </w:rPr>
              <w:t xml:space="preserve">Ex-niveaux 1 à 4 « milieu naturel »</w:t>
            </w:r>
          </w:p>
        </w:tc>
      </w:tr>
      <w:tr>
        <w:tc>
          <w:tcPr>
            <w:tcW w:type="dxa" w:w="2900"/>
            <w:tcMar>
              <w:top w:type="dxa" w:w="80"/>
              <w:left w:type="dxa" w:w="120"/>
              <w:bottom w:type="dxa" w:w="80"/>
              <w:right w:type="dxa" w:w="120"/>
            </w:tcMar>
          </w:tcPr>
          <w:p>
            <w:r>
              <w:rPr>
                <w:b w:val="false"/>
                <w:bCs w:val="false"/>
                <w:color w:val="1F3347"/>
                <w:sz w:val="20"/>
                <w:szCs w:val="20"/>
              </w:rPr>
              <w:t xml:space="preserve">Jeunes</w:t>
            </w:r>
          </w:p>
        </w:tc>
        <w:tc>
          <w:tcPr>
            <w:tcW w:type="dxa" w:w="3300"/>
            <w:tcMar>
              <w:top w:type="dxa" w:w="80"/>
              <w:left w:type="dxa" w:w="120"/>
              <w:bottom w:type="dxa" w:w="80"/>
              <w:right w:type="dxa" w:w="120"/>
            </w:tcMar>
          </w:tcPr>
          <w:p>
            <w:r>
              <w:rPr>
                <w:b w:val="false"/>
                <w:bCs w:val="false"/>
                <w:color w:val="1F3347"/>
                <w:sz w:val="20"/>
                <w:szCs w:val="20"/>
              </w:rPr>
              <w:t xml:space="preserve">Étoiles de mer (&lt; 8 ans) · Dauphins (8 ans et +)</w:t>
            </w:r>
          </w:p>
        </w:tc>
        <w:tc>
          <w:tcPr>
            <w:tcW w:type="dxa" w:w="3300"/>
            <w:tcMar>
              <w:top w:type="dxa" w:w="80"/>
              <w:left w:type="dxa" w:w="120"/>
              <w:bottom w:type="dxa" w:w="80"/>
              <w:right w:type="dxa" w:w="120"/>
            </w:tcMar>
          </w:tcPr>
          <w:p>
            <w:r>
              <w:rPr>
                <w:b w:val="false"/>
                <w:bCs w:val="false"/>
                <w:color w:val="1F3347"/>
                <w:sz w:val="20"/>
                <w:szCs w:val="20"/>
              </w:rPr>
              <w:t xml:space="preserve">Inexistant en 2004</w:t>
            </w:r>
          </w:p>
        </w:tc>
      </w:tr>
    </w:tbl>
    <w:p>
      <w:pPr>
        <w:spacing w:after="120" w:line="300"/>
      </w:pPr>
      <w:r>
        <w:rPr>
          <w:color w:val="1F3347"/>
          <w:sz w:val="22"/>
          <w:szCs w:val="22"/>
        </w:rPr>
        <w:t xml:space="preserve">Conséquence pédagogique directe pour vos séances : chaque brevet actuel est défini par un référentiel de compétences par unités d'enseignement (manuels « Apnéiste » V7/V8), et non plus par une liste de performances chiffrées uniquement. </w:t>
      </w:r>
      <w:r>
        <w:rPr>
          <w:b/>
          <w:bCs/>
          <w:color w:val="1F3347"/>
          <w:sz w:val="22"/>
          <w:szCs w:val="22"/>
        </w:rPr>
        <w:t xml:space="preserve">Les progressions que vous construisez au stage doivent viser ces compétences.</w:t>
      </w:r>
    </w:p>
    <w:p>
      <w:pPr>
        <w:pStyle w:val="Heading1"/>
        <w:spacing w:after="160" w:before="360"/>
      </w:pPr>
      <w:r>
        <w:rPr>
          <w:b/>
          <w:bCs/>
          <w:color w:val="065A82"/>
        </w:rPr>
        <w:t xml:space="preserve">2. Les cursus d'encadrement actuels</w:t>
      </w:r>
    </w:p>
    <w:p>
      <w:pPr>
        <w:spacing w:after="120" w:line="300"/>
      </w:pPr>
      <w:r>
        <w:rPr>
          <w:color w:val="1F3347"/>
          <w:sz w:val="22"/>
          <w:szCs w:val="22"/>
        </w:rPr>
        <w:t xml:space="preserve">La filière cadre est désormais : IE1 → IE2 → MEF1 → MEF2 (+ statut de Moniteur Associé pour l'intégration des moniteurs CMAS étrangers). Points clés :</w:t>
      </w:r>
    </w:p>
    <w:p>
      <w:pPr>
        <w:pStyle w:val="ListParagraph"/>
        <w:numPr>
          <w:ilvl w:val="0"/>
          <w:numId w:val="2"/>
        </w:numPr>
        <w:spacing w:after="80" w:line="290"/>
      </w:pPr>
      <w:r>
        <w:rPr>
          <w:b/>
          <w:bCs/>
          <w:color w:val="1F3347"/>
          <w:sz w:val="22"/>
          <w:szCs w:val="22"/>
        </w:rPr>
        <w:t xml:space="preserve">IE1 (Initiateur-Entraîneur 1) : </w:t>
      </w:r>
      <w:r>
        <w:rPr>
          <w:color w:val="1F3347"/>
          <w:sz w:val="22"/>
          <w:szCs w:val="22"/>
        </w:rPr>
        <w:t xml:space="preserve">enseigne dans l'espace proche (jusqu'à 6 m), peut être directeur de bassin en piscine ou de séance en milieu naturel (groupes limités, 8 apnéistes max hors encadrement en milieu naturel), guide de randonnée subaquatique, valide Pass'Apnéiste et Pass'Plongeur Libre.</w:t>
      </w:r>
    </w:p>
    <w:p>
      <w:pPr>
        <w:pStyle w:val="ListParagraph"/>
        <w:numPr>
          <w:ilvl w:val="0"/>
          <w:numId w:val="2"/>
        </w:numPr>
        <w:spacing w:after="80" w:line="290"/>
      </w:pPr>
      <w:r>
        <w:rPr>
          <w:b/>
          <w:bCs/>
          <w:color w:val="1F3347"/>
          <w:sz w:val="22"/>
          <w:szCs w:val="22"/>
        </w:rPr>
        <w:t xml:space="preserve">IE2 (Initiateur-Entraîneur 2) : </w:t>
      </w:r>
      <w:r>
        <w:rPr>
          <w:color w:val="1F3347"/>
          <w:sz w:val="22"/>
          <w:szCs w:val="22"/>
        </w:rPr>
        <w:t xml:space="preserve">prérogatives élargies en profondeur et en validation par rapport à l'IE1 (voir manuel IE en vigueur).</w:t>
      </w:r>
    </w:p>
    <w:p>
      <w:pPr>
        <w:pStyle w:val="ListParagraph"/>
        <w:numPr>
          <w:ilvl w:val="0"/>
          <w:numId w:val="2"/>
        </w:numPr>
        <w:spacing w:after="80" w:line="290"/>
      </w:pPr>
      <w:r>
        <w:rPr>
          <w:b/>
          <w:bCs/>
          <w:color w:val="1F3347"/>
          <w:sz w:val="22"/>
          <w:szCs w:val="22"/>
        </w:rPr>
        <w:t xml:space="preserve">MEF1 : </w:t>
      </w:r>
      <w:r>
        <w:rPr>
          <w:color w:val="1F3347"/>
          <w:sz w:val="22"/>
          <w:szCs w:val="22"/>
        </w:rPr>
        <w:t xml:space="preserve">moniteur fédéral 1er degré — enseigne et valide sur l'essentiel du cursus apnéiste, participe aux jurys, forme les initiateurs.</w:t>
      </w:r>
    </w:p>
    <w:p>
      <w:pPr>
        <w:pStyle w:val="ListParagraph"/>
        <w:numPr>
          <w:ilvl w:val="0"/>
          <w:numId w:val="2"/>
        </w:numPr>
        <w:spacing w:after="80" w:line="290"/>
      </w:pPr>
      <w:r>
        <w:rPr>
          <w:b/>
          <w:bCs/>
          <w:color w:val="1F3347"/>
          <w:sz w:val="22"/>
          <w:szCs w:val="22"/>
        </w:rPr>
        <w:t xml:space="preserve">MEF2 : </w:t>
      </w:r>
      <w:r>
        <w:rPr>
          <w:color w:val="1F3347"/>
          <w:sz w:val="22"/>
          <w:szCs w:val="22"/>
        </w:rPr>
        <w:t xml:space="preserve">moniteur fédéral 2e degré — formateur de cadres : forme et évalue les IE et MEF1, conçoit les formations, responsabilités de jury étendues.</w:t>
      </w:r>
    </w:p>
    <w:p>
      <w:pPr>
        <w:pStyle w:val="ListParagraph"/>
        <w:numPr>
          <w:ilvl w:val="0"/>
          <w:numId w:val="2"/>
        </w:numPr>
        <w:spacing w:after="80" w:line="290"/>
      </w:pPr>
      <w:r>
        <w:rPr>
          <w:b/>
          <w:bCs/>
          <w:color w:val="1F3347"/>
          <w:sz w:val="22"/>
          <w:szCs w:val="22"/>
        </w:rPr>
        <w:t xml:space="preserve">Équivalences : </w:t>
      </w:r>
      <w:r>
        <w:rPr>
          <w:color w:val="1F3347"/>
          <w:sz w:val="22"/>
          <w:szCs w:val="22"/>
        </w:rPr>
        <w:t xml:space="preserve">les cadres de la commission Technique (à partir de E1) bénéficient de passerelles vers l'IE1 ; des passerelles AIDA ↔ FFESSM existent également pour les brevets d'apnéistes — nouveautés absentes du manuel de 2004.</w:t>
      </w:r>
    </w:p>
    <w:p>
      <w:pPr>
        <w:pStyle w:val="Heading1"/>
        <w:spacing w:after="160" w:before="360"/>
      </w:pPr>
      <w:r>
        <w:rPr>
          <w:b/>
          <w:bCs/>
          <w:color w:val="065A82"/>
        </w:rPr>
        <w:t xml:space="preserve">3. Le RIFA Apnée (RIFAA) : désormais incontournable</w:t>
      </w:r>
    </w:p>
    <w:p>
      <w:pPr>
        <w:spacing w:after="120" w:line="300"/>
      </w:pPr>
      <w:r>
        <w:rPr>
          <w:color w:val="1F3347"/>
          <w:sz w:val="22"/>
          <w:szCs w:val="22"/>
        </w:rPr>
        <w:t xml:space="preserve">Le manuel de 2004 mentionnait le secourisme ; aujourd'hui le RIFAA (Réactions et Intervention Face aux Accidents subaquatiques, spécialité Apnée) est structuré en 7 capacités et il est :</w:t>
      </w:r>
    </w:p>
    <w:p>
      <w:pPr>
        <w:pStyle w:val="ListParagraph"/>
        <w:numPr>
          <w:ilvl w:val="0"/>
          <w:numId w:val="2"/>
        </w:numPr>
        <w:spacing w:after="80" w:line="290"/>
      </w:pPr>
      <w:r>
        <w:rPr>
          <w:color w:val="1F3347"/>
          <w:sz w:val="22"/>
          <w:szCs w:val="22"/>
        </w:rPr>
        <w:t xml:space="preserve">Facultatif pour les brevets d'entrée (Pass, apnéiste piscine/eau libre 1★) ;</w:t>
      </w:r>
    </w:p>
    <w:p>
      <w:pPr>
        <w:pStyle w:val="ListParagraph"/>
        <w:numPr>
          <w:ilvl w:val="0"/>
          <w:numId w:val="2"/>
        </w:numPr>
        <w:spacing w:after="80" w:line="290"/>
      </w:pPr>
      <w:r>
        <w:rPr>
          <w:b/>
          <w:bCs/>
          <w:color w:val="1F3347"/>
          <w:sz w:val="22"/>
          <w:szCs w:val="22"/>
        </w:rPr>
        <w:t xml:space="preserve">Obligatoire pour l'Apnéiste Confirmé, l'Apnéiste Expert, et TOUS les niveaux de cadres (IE1, IE2, MEF1, MEF2)</w:t>
      </w:r>
      <w:r>
        <w:rPr>
          <w:color w:val="1F3347"/>
          <w:sz w:val="22"/>
          <w:szCs w:val="22"/>
        </w:rPr>
        <w:t xml:space="preserve"> — la carte de cadre n'est délivrée qu'avec le RIFAA validé.</w:t>
      </w:r>
    </w:p>
    <w:p>
      <w:pPr>
        <w:spacing w:after="120" w:line="300"/>
      </w:pPr>
      <w:r>
        <w:rPr>
          <w:color w:val="1F3347"/>
          <w:sz w:val="22"/>
          <w:szCs w:val="22"/>
        </w:rPr>
        <w:t xml:space="preserve">Les 7 capacités : communication/surveillance, sauvetage et sortie de l'eau, sécurisation du groupe, coordination de l'intervention, évaluation de la victime, gestes d'urgence (RCP, oxygène 15 L/min selon les standards nationaux), alerte des secours (VHF, CROSS). À faire vivre en scénarios simulés, piscine et milieu naturel.</w:t>
      </w:r>
    </w:p>
    <w:p>
      <w:pPr>
        <w:pStyle w:val="Heading1"/>
        <w:spacing w:after="160" w:before="360"/>
      </w:pPr>
      <w:r>
        <w:rPr>
          <w:b/>
          <w:bCs/>
          <w:color w:val="065A82"/>
        </w:rPr>
        <w:t xml:space="preserve">4. Santé et cadre de pratique</w:t>
      </w:r>
    </w:p>
    <w:p>
      <w:pPr>
        <w:pStyle w:val="ListParagraph"/>
        <w:numPr>
          <w:ilvl w:val="0"/>
          <w:numId w:val="2"/>
        </w:numPr>
        <w:spacing w:after="80" w:line="290"/>
      </w:pPr>
      <w:r>
        <w:rPr>
          <w:color w:val="1F3347"/>
          <w:sz w:val="22"/>
          <w:szCs w:val="22"/>
        </w:rPr>
        <w:t xml:space="preserve">Les règles de délivrance de la licence et de certificat médical ont évolué à plusieurs reprises depuis 2004 (questionnaire de santé, certificat exigé selon l'âge, la discipline et la profondeur de pratique — la pratique profonde et la compétition restent plus exigeantes). Vérifiez systématiquement les règles médicales fédérales de la saison en cours avant le stage.</w:t>
      </w:r>
    </w:p>
    <w:p>
      <w:pPr>
        <w:pStyle w:val="ListParagraph"/>
        <w:numPr>
          <w:ilvl w:val="0"/>
          <w:numId w:val="2"/>
        </w:numPr>
        <w:spacing w:after="80" w:line="290"/>
      </w:pPr>
      <w:r>
        <w:rPr>
          <w:color w:val="1F3347"/>
          <w:sz w:val="22"/>
          <w:szCs w:val="22"/>
        </w:rPr>
        <w:t xml:space="preserve">La sécurité « moderne » enseignée au stage (surveillance rapprochée de la remontée et des 30 secondes en surface, récupération ≥ 2× le temps d'apnée, proscription de l'hyperventilation, protocole de sortie) est aujourd'hui explicitement au cœur des référentiels — vos supports « Physiologie &amp; accidents » et « Facteurs de la performance » sont alignés sur cette doctrine.</w:t>
      </w:r>
    </w:p>
    <w:p>
      <w:pPr>
        <w:pStyle w:val="ListParagraph"/>
        <w:numPr>
          <w:ilvl w:val="0"/>
          <w:numId w:val="2"/>
        </w:numPr>
        <w:spacing w:after="80" w:line="290"/>
      </w:pPr>
      <w:r>
        <w:rPr>
          <w:color w:val="1F3347"/>
          <w:sz w:val="22"/>
          <w:szCs w:val="22"/>
        </w:rPr>
        <w:t xml:space="preserve">La connaissance des accidents « redécouverts » depuis 2004 est attendue des cadres : œdème pulmonaire d'immersion, taravana, syncope hypoxique et son continuum (PCM/samba). Voir le support de cours du stage.</w:t>
      </w:r>
    </w:p>
    <w:p>
      <w:pPr>
        <w:pStyle w:val="Heading1"/>
        <w:spacing w:after="160" w:before="360"/>
      </w:pPr>
      <w:r>
        <w:rPr>
          <w:b/>
          <w:bCs/>
          <w:color w:val="065A82"/>
        </w:rPr>
        <w:t xml:space="preserve">5. Où trouver les textes en vigueur</w:t>
      </w:r>
    </w:p>
    <w:p>
      <w:pPr>
        <w:pStyle w:val="ListParagraph"/>
        <w:numPr>
          <w:ilvl w:val="0"/>
          <w:numId w:val="2"/>
        </w:numPr>
        <w:spacing w:after="80" w:line="290"/>
      </w:pPr>
      <w:r>
        <w:rPr>
          <w:color w:val="1F3347"/>
          <w:sz w:val="22"/>
          <w:szCs w:val="22"/>
        </w:rPr>
        <w:t xml:space="preserve">Les niveaux en apnée (manuels officiels par brevet, synoptique des cursus) : </w:t>
      </w:r>
      <w:r>
        <w:rPr>
          <w:b/>
          <w:bCs/>
          <w:color w:val="065A82"/>
          <w:sz w:val="22"/>
          <w:szCs w:val="22"/>
        </w:rPr>
        <w:t xml:space="preserve">apnee.ffessm.fr/les-niveaux-en-apnee</w:t>
      </w:r>
    </w:p>
    <w:p>
      <w:pPr>
        <w:pStyle w:val="ListParagraph"/>
        <w:numPr>
          <w:ilvl w:val="0"/>
          <w:numId w:val="2"/>
        </w:numPr>
        <w:spacing w:after="80" w:line="290"/>
      </w:pPr>
      <w:r>
        <w:rPr>
          <w:color w:val="1F3347"/>
          <w:sz w:val="22"/>
          <w:szCs w:val="22"/>
        </w:rPr>
        <w:t xml:space="preserve">RIFA Apnée : </w:t>
      </w:r>
      <w:r>
        <w:rPr>
          <w:b/>
          <w:bCs/>
          <w:color w:val="065A82"/>
          <w:sz w:val="22"/>
          <w:szCs w:val="22"/>
        </w:rPr>
        <w:t xml:space="preserve">apnee.ffessm.fr/rifa-apnee</w:t>
      </w:r>
    </w:p>
    <w:p>
      <w:pPr>
        <w:pStyle w:val="ListParagraph"/>
        <w:numPr>
          <w:ilvl w:val="0"/>
          <w:numId w:val="2"/>
        </w:numPr>
        <w:spacing w:after="80" w:line="290"/>
      </w:pPr>
      <w:r>
        <w:rPr>
          <w:color w:val="1F3347"/>
          <w:sz w:val="22"/>
          <w:szCs w:val="22"/>
        </w:rPr>
        <w:t xml:space="preserve">Examens IE et MEF1 (bordereaux et feuilles de notes) : </w:t>
      </w:r>
      <w:r>
        <w:rPr>
          <w:b/>
          <w:bCs/>
          <w:color w:val="065A82"/>
          <w:sz w:val="22"/>
          <w:szCs w:val="22"/>
        </w:rPr>
        <w:t xml:space="preserve">apnee.ffessm.fr/examen-ie-et-mef1</w:t>
      </w:r>
    </w:p>
    <w:p>
      <w:pPr>
        <w:pStyle w:val="ListParagraph"/>
        <w:numPr>
          <w:ilvl w:val="0"/>
          <w:numId w:val="2"/>
        </w:numPr>
        <w:spacing w:after="80" w:line="290"/>
      </w:pPr>
      <w:r>
        <w:rPr>
          <w:color w:val="1F3347"/>
          <w:sz w:val="22"/>
          <w:szCs w:val="22"/>
        </w:rPr>
        <w:t xml:space="preserve">Récapitulatif officiel des modifications 2019 : </w:t>
      </w:r>
      <w:r>
        <w:rPr>
          <w:b/>
          <w:bCs/>
          <w:color w:val="065A82"/>
          <w:sz w:val="22"/>
          <w:szCs w:val="22"/>
        </w:rPr>
        <w:t xml:space="preserve">document PDF sur apnee.ffessm.fr (rubrique actualités « Nouveaux manuels de formation »)</w:t>
      </w:r>
    </w:p>
    <w:p>
      <w:pPr>
        <w:shd w:fill="DCEBF5" w:val="clear"/>
        <w:spacing w:after="0" w:before="300"/>
      </w:pPr>
      <w:r>
        <w:rPr>
          <w:i/>
          <w:iCs/>
          <w:color w:val="9C3A10"/>
          <w:sz w:val="19"/>
          <w:szCs w:val="19"/>
        </w:rPr>
        <w:t xml:space="preserve">Avertissement — ce document est une synthèse pédagogique préparée pour le stage de Lifou (août 2026) à partir des pages publiques du site fédéral consultées le 9 août 2026. En cas d'écart entre ce résumé et les manuels de formation officiels de la Commission Nationale d'Apnée, les manuels officiels font foi. Merci de signaler toute évolution aux responsables du stage (G. KAUMA, IRA · A. PUJAPUJANE, MEF2).</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2026-08-09T01:56:25.493Z</dcterms:created>
  <dcterms:modified xsi:type="dcterms:W3CDTF">2026-08-09T01:56:25.496Z</dcterms:modified>
</cp:coreProperties>
</file>

<file path=docProps/custom.xml><?xml version="1.0" encoding="utf-8"?>
<Properties xmlns="http://schemas.openxmlformats.org/officeDocument/2006/custom-properties" xmlns:vt="http://schemas.openxmlformats.org/officeDocument/2006/docPropsVTypes"/>
</file>