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left"/>
        <w:rPr/>
      </w:pPr>
      <w:r>
        <w:rPr/>
        <w:t xml:space="preserve">🏦 </w:t>
      </w:r>
      <w:r>
        <w:rPr/>
        <w:t>Portal de Comparação de Produtos Financeiros – Wise</w:t>
        <w:noBreakHyphen/>
        <w:t>Flow Compare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Visão geral:</w:t>
      </w:r>
      <w:r>
        <w:rPr/>
        <w:br/>
        <w:t xml:space="preserve">Um portal online (website + versão mobile responsiva) que agrega e compara produtos financeiros de diferentes instituições em Angola: </w:t>
      </w:r>
      <w:r>
        <w:rPr>
          <w:rStyle w:val="StrongEmphasis"/>
        </w:rPr>
        <w:t>contas bancárias, cartões de crédito/débito, créditos pessoais, crédito habitação, seguros (vida, saúde, automóvel) e microcrédito</w:t>
      </w:r>
      <w:r>
        <w:rPr/>
        <w:t>. Qualquer pessoa ou PME pode pesquisar, filtrar e simular o produto mais adequado ao seu perfil, sem custos iniciais.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🎯 </w:t>
      </w:r>
      <w:r>
        <w:rPr/>
        <w:t>Público</w:t>
        <w:noBreakHyphen/>
        <w:t>alvo e problema resolvido</w:t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09"/>
        <w:gridCol w:w="3748"/>
        <w:gridCol w:w="3981"/>
      </w:tblGrid>
      <w:tr>
        <w:trPr>
          <w:tblHeader w:val="true"/>
        </w:trPr>
        <w:tc>
          <w:tcPr>
            <w:tcW w:w="190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Público</w:t>
            </w:r>
          </w:p>
        </w:tc>
        <w:tc>
          <w:tcPr>
            <w:tcW w:w="374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Problema</w:t>
            </w:r>
          </w:p>
        </w:tc>
        <w:tc>
          <w:tcPr>
            <w:tcW w:w="398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Solução do portal</w:t>
            </w:r>
          </w:p>
        </w:tc>
      </w:tr>
      <w:tr>
        <w:trPr/>
        <w:tc>
          <w:tcPr>
            <w:tcW w:w="19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Emphasis"/>
              </w:rPr>
              <w:t>Particulares</w:t>
            </w:r>
          </w:p>
        </w:tc>
        <w:tc>
          <w:tcPr>
            <w:tcW w:w="37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Dificuldade em comparar taxas de juro, comissões, prazos entre vários bancos.</w:t>
            </w:r>
          </w:p>
        </w:tc>
        <w:tc>
          <w:tcPr>
            <w:tcW w:w="39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Comparação lado a lado, com cálculo automático do custo total (TAEG, spread, comissões).</w:t>
            </w:r>
          </w:p>
        </w:tc>
      </w:tr>
      <w:tr>
        <w:trPr/>
        <w:tc>
          <w:tcPr>
            <w:tcW w:w="19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Emphasis"/>
              </w:rPr>
              <w:t>PME</w:t>
            </w:r>
          </w:p>
        </w:tc>
        <w:tc>
          <w:tcPr>
            <w:tcW w:w="37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Falta de tempo para pedir propostas a múltiplas entidades.</w:t>
            </w:r>
          </w:p>
        </w:tc>
        <w:tc>
          <w:tcPr>
            <w:tcW w:w="39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Formulário único que gera simulações em várias instituições parceiras.</w:t>
            </w:r>
          </w:p>
        </w:tc>
      </w:tr>
      <w:tr>
        <w:trPr/>
        <w:tc>
          <w:tcPr>
            <w:tcW w:w="19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Emphasis"/>
              </w:rPr>
              <w:t>Cooperativas / associações</w:t>
            </w:r>
          </w:p>
        </w:tc>
        <w:tc>
          <w:tcPr>
            <w:tcW w:w="37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Desconhecimento de produtos de microcrédito adequados.</w:t>
            </w:r>
          </w:p>
        </w:tc>
        <w:tc>
          <w:tcPr>
            <w:tcW w:w="39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Filtro por “microcrédito”, “sem garantia”, “baixo valor”.</w:t>
            </w:r>
          </w:p>
        </w:tc>
      </w:tr>
      <w:tr>
        <w:trPr/>
        <w:tc>
          <w:tcPr>
            <w:tcW w:w="19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Emphasis"/>
              </w:rPr>
              <w:t>Investidores/consultores</w:t>
            </w:r>
          </w:p>
        </w:tc>
        <w:tc>
          <w:tcPr>
            <w:tcW w:w="37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Necessidade de comparar taxas de depósitos a prazo ou fundos de investimento.</w:t>
            </w:r>
          </w:p>
        </w:tc>
        <w:tc>
          <w:tcPr>
            <w:tcW w:w="39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Secção de investimentos com rentabilidade líquida e risco associado.</w:t>
            </w:r>
          </w:p>
        </w:tc>
      </w:tr>
    </w:tbl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⚙️ </w:t>
      </w:r>
      <w:r>
        <w:rPr/>
        <w:t>Funcionalidades principais</w:t>
      </w:r>
    </w:p>
    <w:p>
      <w:pPr>
        <w:pStyle w:val="Heading4"/>
        <w:bidi w:val="0"/>
        <w:jc w:val="left"/>
        <w:rPr/>
      </w:pPr>
      <w:r>
        <w:rPr>
          <w:rStyle w:val="StrongEmphasis"/>
          <w:b/>
        </w:rPr>
        <w:t>Para o utilizador comum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Pesquisa e filtros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Tipo de produto: Conta corrente, Conta poupança, Cartão de crédito, Crédito pessoal, Crédito habitação, Seguro, Microcrédito.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Filtros específicos: taxa de juro (mín/máx), comissão de manutenção (0 Kz), prazo (meses), montante pretendido, moeda (Kz, USD, EUR).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Ordenação por “melhor taxa”, “menor custo total”, “popularidade”.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Comparação lado a lado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Máximo 4 produtos simultâneos.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Tabela com atributos-chave:</w:t>
      </w:r>
    </w:p>
    <w:p>
      <w:pPr>
        <w:pStyle w:val="TextBody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ind w:left="2127" w:hanging="283"/>
        <w:jc w:val="left"/>
        <w:rPr/>
      </w:pPr>
      <w:r>
        <w:rPr>
          <w:rStyle w:val="StrongEmphasis"/>
        </w:rPr>
        <w:t>Para crédito:</w:t>
      </w:r>
      <w:r>
        <w:rPr/>
        <w:t xml:space="preserve"> montante, TAEG, spread, comissão de avaliação, seguro obrigatório, prazo, prestação mensal, custo total.</w:t>
      </w:r>
    </w:p>
    <w:p>
      <w:pPr>
        <w:pStyle w:val="TextBody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ind w:left="2127" w:hanging="283"/>
        <w:jc w:val="left"/>
        <w:rPr/>
      </w:pPr>
      <w:r>
        <w:rPr>
          <w:rStyle w:val="StrongEmphasis"/>
        </w:rPr>
        <w:t>Para conta:</w:t>
      </w:r>
      <w:r>
        <w:rPr/>
        <w:t xml:space="preserve"> manutenção, cartão associado, rede de multicaixas, transferências SEPA, aplicação móvel.</w:t>
      </w:r>
    </w:p>
    <w:p>
      <w:pPr>
        <w:pStyle w:val="TextBody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ind w:left="2127" w:hanging="283"/>
        <w:jc w:val="left"/>
        <w:rPr/>
      </w:pPr>
      <w:r>
        <w:rPr>
          <w:rStyle w:val="StrongEmphasis"/>
        </w:rPr>
        <w:t>Para seguro:</w:t>
      </w:r>
      <w:r>
        <w:rPr/>
        <w:t xml:space="preserve"> prémio anual, coberturas, franquias, exclusões.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Simulação personalizada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O utilizador insere: rendimento mensal, despesas fixas, montante desejado, prazo pretendido.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O portal calcula:</w:t>
      </w:r>
    </w:p>
    <w:p>
      <w:pPr>
        <w:pStyle w:val="TextBody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ind w:left="2127" w:hanging="283"/>
        <w:jc w:val="left"/>
        <w:rPr/>
      </w:pPr>
      <w:r>
        <w:rPr/>
        <w:t>Prestação estimada com cada produto.</w:t>
      </w:r>
    </w:p>
    <w:p>
      <w:pPr>
        <w:pStyle w:val="TextBody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ind w:left="2127" w:hanging="283"/>
        <w:jc w:val="left"/>
        <w:rPr/>
      </w:pPr>
      <w:r>
        <w:rPr/>
        <w:t>Taxa de esforço (prestação / rendimento líquido).</w:t>
      </w:r>
    </w:p>
    <w:p>
      <w:pPr>
        <w:pStyle w:val="TextBody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ind w:left="2127" w:hanging="283"/>
        <w:jc w:val="left"/>
        <w:rPr/>
      </w:pPr>
      <w:r>
        <w:rPr/>
        <w:t>Alerta se ultrapassar 30% (recomendação de crédito responsável).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Emphasis"/>
        </w:rPr>
        <w:t>Opcional:</w:t>
      </w:r>
      <w:r>
        <w:rPr/>
        <w:t xml:space="preserve"> Se o utilizador tiver conta Wise</w:t>
        <w:noBreakHyphen/>
        <w:t>Flow, pode importar automaticamente os dados reais de renda/despesas.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Guias educativos e simuladores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Simulador de amortização antecipada.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Comparador de rentabilidade de depósitos a prazo vs. fundos de investimento.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Glossário financeiro (TAEG, spread, Euribor, TAN, etc.) adaptado à realidade angolana.</w:t>
      </w:r>
    </w:p>
    <w:p>
      <w:pPr>
        <w:pStyle w:val="Heading4"/>
        <w:bidi w:val="0"/>
        <w:jc w:val="left"/>
        <w:rPr/>
      </w:pPr>
      <w:r>
        <w:rPr>
          <w:rStyle w:val="StrongEmphasis"/>
          <w:b/>
        </w:rPr>
        <w:t>Para as instituições parceiras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Painel de gestão de ofertas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Cada banco/seguradora pode actualizar as suas taxas, comissões e condições em tempo real.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Estatísticas de visualizações e leads gerados.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Leads qualificados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O utilizador, após simular, pode solicitar contacto da instituição.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O portal envia os dados do cliente (anonimizados inicialmente) e a simulação escolhida.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A instituição paga apenas por lead aceite (qualificado).</w:t>
      </w:r>
    </w:p>
    <w:p>
      <w:pPr>
        <w:pStyle w:val="Heading4"/>
        <w:bidi w:val="0"/>
        <w:jc w:val="left"/>
        <w:rPr/>
      </w:pPr>
      <w:r>
        <w:rPr>
          <w:rStyle w:val="StrongEmphasis"/>
          <w:b/>
        </w:rPr>
        <w:t>Para administradores do Wise</w:t>
        <w:noBreakHyphen/>
        <w:t>Flow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Dashboard de KPIs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Número de simulações, produtos mais comparados, taxa de conversão para lead.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Receita por instituição, comissões por lead.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💰 </w:t>
      </w:r>
      <w:r>
        <w:rPr/>
        <w:t>Modelo de monetização</w:t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24"/>
        <w:gridCol w:w="4673"/>
        <w:gridCol w:w="2741"/>
      </w:tblGrid>
      <w:tr>
        <w:trPr>
          <w:tblHeader w:val="true"/>
        </w:trPr>
        <w:tc>
          <w:tcPr>
            <w:tcW w:w="222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Fonte de receita</w:t>
            </w:r>
          </w:p>
        </w:tc>
        <w:tc>
          <w:tcPr>
            <w:tcW w:w="467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Descrição</w:t>
            </w:r>
          </w:p>
        </w:tc>
        <w:tc>
          <w:tcPr>
            <w:tcW w:w="274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Valor estimado</w:t>
            </w:r>
          </w:p>
        </w:tc>
      </w:tr>
      <w:tr>
        <w:trPr/>
        <w:tc>
          <w:tcPr>
            <w:tcW w:w="22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Emphasis"/>
              </w:rPr>
              <w:t>Comissão por lead qualificado</w:t>
            </w:r>
          </w:p>
        </w:tc>
        <w:tc>
          <w:tcPr>
            <w:tcW w:w="46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Por cada contacto de cliente que avança para proposta (ex: simulação de crédito).</w:t>
            </w:r>
          </w:p>
        </w:tc>
        <w:tc>
          <w:tcPr>
            <w:tcW w:w="27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2.000 – 5.000 Kz/lead (dependendo do produto)</w:t>
            </w:r>
          </w:p>
        </w:tc>
      </w:tr>
      <w:tr>
        <w:trPr/>
        <w:tc>
          <w:tcPr>
            <w:tcW w:w="22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Emphasis"/>
              </w:rPr>
              <w:t>Comissão por contrato efectivado</w:t>
            </w:r>
          </w:p>
        </w:tc>
        <w:tc>
          <w:tcPr>
            <w:tcW w:w="46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Percentagem sobre o valor do crédito ou prémio de seguro (1-3%).</w:t>
            </w:r>
          </w:p>
        </w:tc>
        <w:tc>
          <w:tcPr>
            <w:tcW w:w="27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Ex: crédito 1.000.000 Kz → 10.000-30.000 Kz</w:t>
            </w:r>
          </w:p>
        </w:tc>
      </w:tr>
      <w:tr>
        <w:trPr/>
        <w:tc>
          <w:tcPr>
            <w:tcW w:w="22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Emphasis"/>
              </w:rPr>
              <w:t>Plano de destaque</w:t>
            </w:r>
          </w:p>
        </w:tc>
        <w:tc>
          <w:tcPr>
            <w:tcW w:w="46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Instituição paga para aparecer no topo das pesquisas ou com selo “Recomendado”.</w:t>
            </w:r>
          </w:p>
        </w:tc>
        <w:tc>
          <w:tcPr>
            <w:tcW w:w="27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50.000 Kz/mês por categoria</w:t>
            </w:r>
          </w:p>
        </w:tc>
      </w:tr>
      <w:tr>
        <w:trPr/>
        <w:tc>
          <w:tcPr>
            <w:tcW w:w="22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Emphasis"/>
              </w:rPr>
              <w:t>Publicidade</w:t>
            </w:r>
          </w:p>
        </w:tc>
        <w:tc>
          <w:tcPr>
            <w:tcW w:w="46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Banners e links patrocinados (Google Adsense ou directo).</w:t>
            </w:r>
          </w:p>
        </w:tc>
        <w:tc>
          <w:tcPr>
            <w:tcW w:w="27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Variável, a partir de 10.000 Kz/mês</w:t>
            </w:r>
          </w:p>
        </w:tc>
      </w:tr>
      <w:tr>
        <w:trPr/>
        <w:tc>
          <w:tcPr>
            <w:tcW w:w="22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Emphasis"/>
              </w:rPr>
              <w:t>API de dados</w:t>
            </w:r>
          </w:p>
        </w:tc>
        <w:tc>
          <w:tcPr>
            <w:tcW w:w="46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Acesso em tempo real às taxas de mercado para consultores financeiros e softwares terceiros.</w:t>
            </w:r>
          </w:p>
        </w:tc>
        <w:tc>
          <w:tcPr>
            <w:tcW w:w="27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100.000 Kz/mês (planos empresariais)</w:t>
            </w:r>
          </w:p>
        </w:tc>
      </w:tr>
    </w:tbl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🛠️ </w:t>
      </w:r>
      <w:r>
        <w:rPr/>
        <w:t>Arquitectura técnica (simplificada)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Frontend:</w:t>
      </w:r>
      <w:r>
        <w:rPr/>
        <w:t xml:space="preserve"> Laravel Livewire + Tailwind CSS (componente Blade que já domina).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Backend:</w:t>
      </w:r>
      <w:r>
        <w:rPr/>
        <w:t xml:space="preserve"> API REST em Java (Spring Boot) ou Laravel (para manter stack uniforme). Recomendo </w:t>
      </w:r>
      <w:r>
        <w:rPr>
          <w:rStyle w:val="StrongEmphasis"/>
        </w:rPr>
        <w:t>Laravel</w:t>
      </w:r>
      <w:r>
        <w:rPr/>
        <w:t xml:space="preserve"> para acelerar o desenvolvimento do portal.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Base de dados:</w:t>
      </w:r>
      <w:r>
        <w:rPr/>
        <w:t xml:space="preserve"> MySQL/PostgreSQL com tabelas: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SourceText"/>
        </w:rPr>
        <w:t>products</w:t>
      </w:r>
      <w:r>
        <w:rPr/>
        <w:t xml:space="preserve"> (campos genéricos + JSON para atributos específicos de cada tipo)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SourceText"/>
        </w:rPr>
        <w:t>institutions</w:t>
      </w:r>
      <w:r>
        <w:rPr/>
        <w:t xml:space="preserve"> (bancos, seguradoras, cooperativas)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SourceText"/>
        </w:rPr>
        <w:t>rates_history</w:t>
      </w:r>
      <w:r>
        <w:rPr/>
        <w:t xml:space="preserve"> (histórico de taxas para gráficos)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SourceText"/>
        </w:rPr>
        <w:t>leads</w:t>
      </w:r>
      <w:r>
        <w:rPr/>
        <w:t xml:space="preserve"> (registos de contactos solicitados)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Integração com Wise</w:t>
        <w:noBreakHyphen/>
        <w:t>Flow principal:</w:t>
      </w:r>
      <w:r>
        <w:rPr/>
        <w:t xml:space="preserve"> API para buscar dados de renda/despesas (se utilizador consentir).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Segurança:</w:t>
      </w:r>
      <w:r>
        <w:rPr/>
        <w:t xml:space="preserve"> HTTPS, reCAPTCHA nos formulários, validação de emails.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🚀 </w:t>
      </w:r>
      <w:r>
        <w:rPr/>
        <w:t>Roadmap de implementação (MVP em 2 meses)</w:t>
      </w:r>
    </w:p>
    <w:tbl>
      <w:tblPr>
        <w:tblW w:w="838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34"/>
        <w:gridCol w:w="7448"/>
      </w:tblGrid>
      <w:tr>
        <w:trPr>
          <w:tblHeader w:val="true"/>
        </w:trPr>
        <w:tc>
          <w:tcPr>
            <w:tcW w:w="93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Semana</w:t>
            </w:r>
          </w:p>
        </w:tc>
        <w:tc>
          <w:tcPr>
            <w:tcW w:w="744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Tarefa</w:t>
            </w:r>
          </w:p>
        </w:tc>
      </w:tr>
      <w:tr>
        <w:trPr/>
        <w:tc>
          <w:tcPr>
            <w:tcW w:w="9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1-2</w:t>
            </w:r>
          </w:p>
        </w:tc>
        <w:tc>
          <w:tcPr>
            <w:tcW w:w="74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Desenho do modelo de dados e scraper manual para 5 instituições (teste).</w:t>
            </w:r>
          </w:p>
        </w:tc>
      </w:tr>
      <w:tr>
        <w:trPr/>
        <w:tc>
          <w:tcPr>
            <w:tcW w:w="9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3-4</w:t>
            </w:r>
          </w:p>
        </w:tc>
        <w:tc>
          <w:tcPr>
            <w:tcW w:w="74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Desenvolvimento do frontend (páginas de pesquisa e detalhe).</w:t>
            </w:r>
          </w:p>
        </w:tc>
      </w:tr>
      <w:tr>
        <w:trPr/>
        <w:tc>
          <w:tcPr>
            <w:tcW w:w="9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5-6</w:t>
            </w:r>
          </w:p>
        </w:tc>
        <w:tc>
          <w:tcPr>
            <w:tcW w:w="74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Implementação do simulador de crédito (TAEG, prestação, taxa de esforço).</w:t>
            </w:r>
          </w:p>
        </w:tc>
      </w:tr>
      <w:tr>
        <w:trPr/>
        <w:tc>
          <w:tcPr>
            <w:tcW w:w="9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</w:t>
            </w:r>
          </w:p>
        </w:tc>
        <w:tc>
          <w:tcPr>
            <w:tcW w:w="74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Painel de administração e gestão de leads.</w:t>
            </w:r>
          </w:p>
        </w:tc>
      </w:tr>
      <w:tr>
        <w:trPr/>
        <w:tc>
          <w:tcPr>
            <w:tcW w:w="9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</w:t>
            </w:r>
          </w:p>
        </w:tc>
        <w:tc>
          <w:tcPr>
            <w:tcW w:w="74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Lançamento beta com 3 bancos parceiros (acordo gratuito inicial).</w:t>
            </w:r>
          </w:p>
        </w:tc>
      </w:tr>
    </w:tbl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📈 </w:t>
      </w:r>
      <w:r>
        <w:rPr/>
        <w:t>KPIs de sucesso (3 meses após lançamento)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Utilizadores activos mensais:</w:t>
      </w:r>
      <w:r>
        <w:rPr/>
        <w:t xml:space="preserve"> &gt; 5.000.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Número de simulações realizadas:</w:t>
      </w:r>
      <w:r>
        <w:rPr/>
        <w:t xml:space="preserve"> &gt; 10.000.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Leads gerados:</w:t>
      </w:r>
      <w:r>
        <w:rPr/>
        <w:t xml:space="preserve"> &gt; 500.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Receita média por lead:</w:t>
      </w:r>
      <w:r>
        <w:rPr/>
        <w:t xml:space="preserve"> 2.500 Kz.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Tempo de resposta de carregamento:</w:t>
      </w:r>
      <w:r>
        <w:rPr/>
        <w:t xml:space="preserve"> &lt; 2 segundos.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⚠️ </w:t>
      </w:r>
      <w:r>
        <w:rPr/>
        <w:t>Riscos e mitigações</w:t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471"/>
        <w:gridCol w:w="6167"/>
      </w:tblGrid>
      <w:tr>
        <w:trPr>
          <w:tblHeader w:val="true"/>
        </w:trPr>
        <w:tc>
          <w:tcPr>
            <w:tcW w:w="347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Risco</w:t>
            </w:r>
          </w:p>
        </w:tc>
        <w:tc>
          <w:tcPr>
            <w:tcW w:w="616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Mitigação</w:t>
            </w:r>
          </w:p>
        </w:tc>
      </w:tr>
      <w:tr>
        <w:trPr/>
        <w:tc>
          <w:tcPr>
            <w:tcW w:w="34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Emphasis"/>
              </w:rPr>
              <w:t>Dados desactualizados</w:t>
            </w:r>
          </w:p>
        </w:tc>
        <w:tc>
          <w:tcPr>
            <w:tcW w:w="61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Acordo contratual com instituições para actualização semanal; ou crawler automático com validação manual.</w:t>
            </w:r>
          </w:p>
        </w:tc>
      </w:tr>
      <w:tr>
        <w:trPr/>
        <w:tc>
          <w:tcPr>
            <w:tcW w:w="34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Emphasis"/>
              </w:rPr>
              <w:t>Baixa adesão de bancos</w:t>
            </w:r>
          </w:p>
        </w:tc>
        <w:tc>
          <w:tcPr>
            <w:tcW w:w="61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Começar com cooperativas de crédito e microfinanças (mais abertas).</w:t>
            </w:r>
          </w:p>
        </w:tc>
      </w:tr>
      <w:tr>
        <w:trPr/>
        <w:tc>
          <w:tcPr>
            <w:tcW w:w="34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Emphasis"/>
              </w:rPr>
              <w:t>Concorrência (ex: ComparaJá, Doutor Finanças)</w:t>
            </w:r>
          </w:p>
        </w:tc>
        <w:tc>
          <w:tcPr>
            <w:tcW w:w="61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Foco no mercado angolano (produtos locais, moeda, regulamentação BNA).</w:t>
            </w:r>
          </w:p>
        </w:tc>
      </w:tr>
      <w:tr>
        <w:trPr/>
        <w:tc>
          <w:tcPr>
            <w:tcW w:w="34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Emphasis"/>
              </w:rPr>
              <w:t>Utilizadores não qualificados</w:t>
            </w:r>
          </w:p>
        </w:tc>
        <w:tc>
          <w:tcPr>
            <w:tcW w:w="61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Formulários com validação de email e telefone; leads só enviados após confirmação.</w:t>
            </w:r>
          </w:p>
        </w:tc>
      </w:tr>
    </w:tbl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🧩 </w:t>
      </w:r>
      <w:r>
        <w:rPr/>
        <w:t>Integração com o resto do ecossistema Wise</w:t>
        <w:noBreakHyphen/>
        <w:t>Flow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Wise</w:t>
        <w:noBreakHyphen/>
        <w:t>Flow Lite:</w:t>
      </w:r>
      <w:r>
        <w:rPr/>
        <w:t xml:space="preserve"> Oferece acesso gratuito ao portal de comparação como benefício.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Wise</w:t>
        <w:noBreakHyphen/>
        <w:t>Flow completo:</w:t>
      </w:r>
      <w:r>
        <w:rPr/>
        <w:t xml:space="preserve"> Utiliza os dados financeiros do cliente para pré</w:t>
        <w:noBreakHyphen/>
        <w:t>preencher simulações e recomendar produtos.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Dashboard para contabilistas:</w:t>
      </w:r>
      <w:r>
        <w:rPr/>
        <w:t xml:space="preserve"> Permite comparar produtos financeiros para os seus clientes.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Simulador de crédito:</w:t>
      </w:r>
      <w:r>
        <w:rPr/>
        <w:t xml:space="preserve"> Reutiliza o mesmo motor de cálculo do portal.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💎 </w:t>
      </w:r>
      <w:r>
        <w:rPr/>
        <w:t>Conclusão – Porquê investir neste portal?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Gera receita desde o primeiro lead</w:t>
      </w:r>
      <w:r>
        <w:rPr/>
        <w:t xml:space="preserve"> – sem necessidade de subscrição paga.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Atrai tráfego orgânico</w:t>
      </w:r>
      <w:r>
        <w:rPr/>
        <w:t xml:space="preserve"> (pesquisas como “melhor crédito habitação Angola”, “comparar contas bancárias”).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Fornece dados de mercado</w:t>
      </w:r>
      <w:r>
        <w:rPr/>
        <w:t xml:space="preserve"> – pode vender relatórios de tendências de taxas.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Alimenta o funil de vendas</w:t>
      </w:r>
      <w:r>
        <w:rPr/>
        <w:t xml:space="preserve"> do Wise</w:t>
        <w:noBreakHyphen/>
        <w:t>Flow (utilizadores que começam a comparar produtos podem depois contratar o consultor financeiro completo).</w:t>
      </w:r>
    </w:p>
    <w:p>
      <w:pPr>
        <w:pStyle w:val="TextBody"/>
        <w:bidi w:val="0"/>
        <w:jc w:val="left"/>
        <w:rPr/>
      </w:pPr>
      <w:r>
        <w:rPr/>
        <w:t>Com este portal, o Wise</w:t>
        <w:noBreakHyphen/>
        <w:t>Flow deixa de ser apenas uma aplicação B2B/B2C e torna</w:t>
        <w:noBreakHyphen/>
        <w:t xml:space="preserve">se um </w:t>
      </w:r>
      <w:r>
        <w:rPr>
          <w:rStyle w:val="StrongEmphasis"/>
        </w:rPr>
        <w:t>ecossistema de decisão financeira</w:t>
      </w:r>
      <w:r>
        <w:rPr/>
        <w:t xml:space="preserve"> completo, com múltiplas fontes de receita e forte apelo ao utilizador final.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5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7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paragraph" w:styleId="Heading4">
    <w:name w:val="Heading 4"/>
    <w:basedOn w:val="Heading"/>
    <w:next w:val="TextBody"/>
    <w:qFormat/>
    <w:pPr>
      <w:spacing w:before="120" w:after="120"/>
      <w:outlineLvl w:val="3"/>
    </w:pPr>
    <w:rPr>
      <w:rFonts w:ascii="Liberation Serif" w:hAnsi="Liberation Serif" w:eastAsia="Noto Serif CJK SC" w:cs="Lohit Devanagari"/>
      <w:b/>
      <w:bCs/>
      <w:sz w:val="24"/>
      <w:szCs w:val="24"/>
    </w:rPr>
  </w:style>
  <w:style w:type="character" w:styleId="StrongEmphasis">
    <w:name w:val="Strong Emphasis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4</Pages>
  <Words>978</Words>
  <Characters>5856</Characters>
  <CharactersWithSpaces>6663</CharactersWithSpaces>
  <Paragraphs>123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2026-04-19T22:32:11Z</dcterms:created>
  <dc:creator/>
  <dc:description/>
  <dc:language>en-US</dc:language>
  <cp:lastModifiedBy/>
  <dcterms:modified xsi:type="dcterms:W3CDTF">2026-04-19T22:32:48Z</dcterms:modified>
  <cp:revision>1</cp:revision>
  <dc:subject/>
  <dc:title/>
</cp:coreProperties>
</file>