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sz w:val="72"/>
          <w:szCs w:val="72"/>
        </w:rPr>
        <w:t xml:space="preserve">ΒΊΒΛΟΣ ΓΕΝΈΣΕΩΣ</w:t>
      </w:r>
    </w:p>
    <w:p>
      <w:pPr>
        <w:spacing w:before="200" w:after="400"/>
        <w:jc w:val="center"/>
      </w:pPr>
      <w:r>
        <w:rPr>
          <w:rFonts w:ascii="Garamond" w:cs="Garamond" w:eastAsia="Garamond" w:hAnsi="Garamond"/>
          <w:b/>
          <w:bCs/>
          <w:smallCaps/>
          <w:sz w:val="56"/>
          <w:szCs w:val="56"/>
        </w:rPr>
        <w:t xml:space="preserve">THE GENESIS CODEX</w:t>
      </w:r>
    </w:p>
    <w:p>
      <w:pPr>
        <w:spacing w:after="600"/>
        <w:jc w:val="center"/>
      </w:pPr>
      <w:r>
        <w:rPr>
          <w:sz w:val="48"/>
          <w:szCs w:val="48"/>
        </w:rPr>
        <w:t xml:space="preserve">⁂</w:t>
      </w:r>
    </w:p>
    <w:p>
      <w:pPr>
        <w:spacing w:after="200"/>
        <w:jc w:val="center"/>
      </w:pPr>
      <w:r>
        <w:rPr>
          <w:rFonts w:ascii="Garamond" w:cs="Garamond" w:eastAsia="Garamond" w:hAnsi="Garamond"/>
          <w:i/>
          <w:iCs/>
          <w:sz w:val="32"/>
          <w:szCs w:val="32"/>
        </w:rPr>
        <w:t xml:space="preserve">A Comprehensive Orthodox Hexaemeral Framework</w:t>
      </w:r>
    </w:p>
    <w:p>
      <w:pPr>
        <w:spacing w:after="200"/>
        <w:jc w:val="center"/>
      </w:pPr>
      <w:r>
        <w:rPr>
          <w:rFonts w:ascii="Garamond" w:cs="Garamond" w:eastAsia="Garamond" w:hAnsi="Garamond"/>
          <w:i/>
          <w:iCs/>
          <w:sz w:val="32"/>
          <w:szCs w:val="32"/>
        </w:rPr>
        <w:t xml:space="preserve">for the Exegesis of Sacred Scripture</w:t>
      </w:r>
    </w:p>
    <w:p>
      <w:pPr>
        <w:spacing w:after="200"/>
        <w:jc w:val="center"/>
      </w:pPr>
      <w:r>
        <w:rPr>
          <w:rFonts w:ascii="Garamond" w:cs="Garamond" w:eastAsia="Garamond" w:hAnsi="Garamond"/>
          <w:i/>
          <w:iCs/>
          <w:sz w:val="32"/>
          <w:szCs w:val="32"/>
        </w:rPr>
        <w:t xml:space="preserve">in Dialogue with the Complete Spectrum of Human Knowledge</w:t>
      </w:r>
    </w:p>
    <w:p>
      <w:pPr>
        <w:spacing w:before="600" w:after="200"/>
        <w:jc w:val="center"/>
      </w:pPr>
      <w:r>
        <w:rPr>
          <w:sz w:val="36"/>
          <w:szCs w:val="36"/>
        </w:rPr>
        <w:t xml:space="preserve">❧</w:t>
      </w:r>
    </w:p>
    <w:p>
      <w:pPr>
        <w:spacing w:before="400"/>
        <w:jc w:val="center"/>
      </w:pPr>
      <w:r>
        <w:rPr>
          <w:rFonts w:ascii="Garamond" w:cs="Garamond" w:eastAsia="Garamond" w:hAnsi="Garamond"/>
          <w:smallCaps/>
          <w:sz w:val="28"/>
          <w:szCs w:val="28"/>
        </w:rPr>
        <w:t xml:space="preserve">A Lifelong Scholarly and Spiritual Project</w:t>
      </w:r>
    </w:p>
    <w:p>
      <w:r>
        <w:br w:type="page"/>
      </w:r>
    </w:p>
    <w:p>
      <w:pPr>
        <w:spacing w:before="1600"/>
      </w:pPr>
    </w:p>
    <w:p>
      <w:pPr>
        <w:spacing w:before="200" w:after="100"/>
        <w:ind w:left="720" w:right="720"/>
      </w:pPr>
      <w:r>
        <w:rPr>
          <w:rFonts w:ascii="Times New Roman" w:cs="Times New Roman" w:eastAsia="Times New Roman" w:hAnsi="Times New Roman"/>
          <w:i/>
          <w:iCs/>
          <w:sz w:val="24"/>
          <w:szCs w:val="24"/>
        </w:rPr>
        <w:t xml:space="preserve">Ἐν ἀρχῇ ἦν ὁ λόγος, καὶ ὁ λόγος ἦν πρὸς τὸν θεόν, καὶ θεὸς ἦν ὁ λόγος.</w:t>
      </w:r>
    </w:p>
    <w:p>
      <w:pPr>
        <w:spacing w:after="100"/>
        <w:ind w:left="720" w:right="720"/>
      </w:pPr>
      <w:r>
        <w:rPr>
          <w:rFonts w:ascii="Garamond" w:cs="Garamond" w:eastAsia="Garamond" w:hAnsi="Garamond"/>
          <w:sz w:val="22"/>
          <w:szCs w:val="22"/>
        </w:rPr>
        <w:t xml:space="preserve">In the beginning was the Word, and the Word was with God, and the Word was God.</w:t>
      </w:r>
    </w:p>
    <w:p>
      <w:pPr>
        <w:spacing w:after="200"/>
        <w:ind w:left="720" w:right="720"/>
        <w:jc w:val="right"/>
      </w:pPr>
      <w:r>
        <w:rPr>
          <w:rFonts w:ascii="Garamond" w:cs="Garamond" w:eastAsia="Garamond" w:hAnsi="Garamond"/>
          <w:i/>
          <w:iCs/>
          <w:sz w:val="20"/>
          <w:szCs w:val="20"/>
        </w:rPr>
        <w:t xml:space="preserve">— John 1:1</w:t>
      </w:r>
    </w:p>
    <w:p>
      <w:pPr>
        <w:spacing w:before="400"/>
      </w:pPr>
    </w:p>
    <w:p>
      <w:pPr>
        <w:spacing w:before="200" w:after="100"/>
        <w:ind w:left="720" w:right="720"/>
      </w:pPr>
      <w:r>
        <w:rPr>
          <w:rFonts w:ascii="Times New Roman" w:cs="Times New Roman" w:eastAsia="Times New Roman" w:hAnsi="Times New Roman"/>
          <w:i/>
          <w:iCs/>
          <w:sz w:val="24"/>
          <w:szCs w:val="24"/>
        </w:rPr>
        <w:t xml:space="preserve">Πάντα δι' αὐτοῦ ἐγένετο, καὶ χωρὶς αὐτοῦ ἐγένετο οὐδὲ ἕν ὃ γέγονεν.</w:t>
      </w:r>
    </w:p>
    <w:p>
      <w:pPr>
        <w:spacing w:after="100"/>
        <w:ind w:left="720" w:right="720"/>
      </w:pPr>
      <w:r>
        <w:rPr>
          <w:rFonts w:ascii="Garamond" w:cs="Garamond" w:eastAsia="Garamond" w:hAnsi="Garamond"/>
          <w:sz w:val="22"/>
          <w:szCs w:val="22"/>
        </w:rPr>
        <w:t xml:space="preserve">All things were made through him, and without him was not any thing made that was made.</w:t>
      </w:r>
    </w:p>
    <w:p>
      <w:pPr>
        <w:spacing w:after="200"/>
        <w:ind w:left="720" w:right="720"/>
        <w:jc w:val="right"/>
      </w:pPr>
      <w:r>
        <w:rPr>
          <w:rFonts w:ascii="Garamond" w:cs="Garamond" w:eastAsia="Garamond" w:hAnsi="Garamond"/>
          <w:i/>
          <w:iCs/>
          <w:sz w:val="20"/>
          <w:szCs w:val="20"/>
        </w:rPr>
        <w:t xml:space="preserve">— John 1:3</w:t>
      </w:r>
    </w:p>
    <w:p>
      <w:pPr>
        <w:spacing w:before="400"/>
      </w:pPr>
    </w:p>
    <w:p>
      <w:pPr>
        <w:spacing w:before="200" w:after="100"/>
        <w:ind w:left="720" w:right="720"/>
      </w:pPr>
      <w:r>
        <w:rPr>
          <w:rFonts w:ascii="Times New Roman" w:cs="Times New Roman" w:eastAsia="Times New Roman" w:hAnsi="Times New Roman"/>
          <w:i/>
          <w:iCs/>
          <w:sz w:val="24"/>
          <w:szCs w:val="24"/>
        </w:rPr>
        <w:t xml:space="preserve">Ἐν αὐτῷ ζωὴ ἦν, καὶ ἡ ζωὴ ἦν τὸ φῶς τῶν ἀνθρώπων.</w:t>
      </w:r>
    </w:p>
    <w:p>
      <w:pPr>
        <w:spacing w:after="100"/>
        <w:ind w:left="720" w:right="720"/>
      </w:pPr>
      <w:r>
        <w:rPr>
          <w:rFonts w:ascii="Garamond" w:cs="Garamond" w:eastAsia="Garamond" w:hAnsi="Garamond"/>
          <w:sz w:val="22"/>
          <w:szCs w:val="22"/>
        </w:rPr>
        <w:t xml:space="preserve">In him was life, and the life was the light of men.</w:t>
      </w:r>
    </w:p>
    <w:p>
      <w:pPr>
        <w:spacing w:after="200"/>
        <w:ind w:left="720" w:right="720"/>
        <w:jc w:val="right"/>
      </w:pPr>
      <w:r>
        <w:rPr>
          <w:rFonts w:ascii="Garamond" w:cs="Garamond" w:eastAsia="Garamond" w:hAnsi="Garamond"/>
          <w:i/>
          <w:iCs/>
          <w:sz w:val="20"/>
          <w:szCs w:val="20"/>
        </w:rPr>
        <w:t xml:space="preserve">— John 1:4</w:t>
      </w:r>
    </w:p>
    <w:p>
      <w:pPr>
        <w:spacing w:before="800"/>
      </w:pPr>
    </w:p>
    <w:p>
      <w:pPr>
        <w:jc w:val="center"/>
      </w:pPr>
      <w:r>
        <w:rPr>
          <w:rFonts w:ascii="Times New Roman" w:cs="Times New Roman" w:eastAsia="Times New Roman" w:hAnsi="Times New Roman"/>
          <w:i/>
          <w:iCs/>
          <w:sz w:val="28"/>
          <w:szCs w:val="28"/>
        </w:rPr>
        <w:t xml:space="preserve">Δόξα τῷ Θεῷ πάντων ἕνεκεν</w:t>
      </w:r>
    </w:p>
    <w:p>
      <w:pPr>
        <w:spacing w:before="100"/>
        <w:jc w:val="center"/>
      </w:pPr>
      <w:r>
        <w:rPr>
          <w:rFonts w:ascii="Garamond" w:cs="Garamond" w:eastAsia="Garamond" w:hAnsi="Garamond"/>
          <w:i/>
          <w:iCs/>
          <w:sz w:val="24"/>
          <w:szCs w:val="24"/>
        </w:rPr>
        <w:t xml:space="preserve">Glory to God for all things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PREFACE: THE NATURE AND PURPOSE OF THIS WORK</w:t>
      </w:r>
    </w:p>
    <w:p>
      <w:pPr>
        <w:spacing w:before="200"/>
      </w:pPr>
    </w:p>
    <w:p>
      <w:pPr>
        <w:spacing w:after="200" w:line="276"/>
      </w:pPr>
      <w:r>
        <w:rPr>
          <w:rFonts w:ascii="Garamond" w:cs="Garamond" w:eastAsia="Garamond" w:hAnsi="Garamond"/>
          <w:sz w:val="24"/>
          <w:szCs w:val="24"/>
        </w:rPr>
        <w:t xml:space="preserve">This work represents an attempt, necessarily incomplete yet striving toward comprehensiveness, to bring the full resources of Orthodox Christian tradition into dialogue with the complete breadth of human knowledge as it illuminates the Book of Genesis. The undertaking is conceived not as a finished product to be completed in months or years, but as a framework for lifelong study, a structure capable of receiving the accumulated wisdom of a scholarly and spiritual life devoted to understanding the first book of Holy Scripture.</w:t>
      </w:r>
    </w:p>
    <w:p>
      <w:pPr>
        <w:spacing w:after="200" w:line="276"/>
      </w:pPr>
      <w:r>
        <w:rPr>
          <w:rFonts w:ascii="Garamond" w:cs="Garamond" w:eastAsia="Garamond" w:hAnsi="Garamond"/>
          <w:sz w:val="24"/>
          <w:szCs w:val="24"/>
        </w:rPr>
        <w:t xml:space="preserve">The genre chosen for this endeavor is the hexaemeron, that distinctive form of Christian literature inaugurated by St. Basil the Great in the fourth century and continued through the centuries by fathers, theologians, and scholars who recognized that the creation narrative demands engagement with the full scope of natural knowledge. Yet this work extends the hexaemeral tradition beyond its original focus on the six days of creation to encompass the entirety of Genesis, from the primordial "In the beginning" to Joseph's coffin awaiting the exodus from Egypt.</w:t>
      </w:r>
    </w:p>
    <w:p>
      <w:pPr>
        <w:spacing w:after="200" w:line="276"/>
      </w:pPr>
      <w:r>
        <w:rPr>
          <w:rFonts w:ascii="Garamond" w:cs="Garamond" w:eastAsia="Garamond" w:hAnsi="Garamond"/>
          <w:sz w:val="24"/>
          <w:szCs w:val="24"/>
        </w:rPr>
        <w:t xml:space="preserve">The methodology employed here may be characterized as multi perspectival integration under Christological primacy. Every verse of Genesis receives analysis from textual, linguistic, historical, theological, patristic, liturgical, and interdisciplinary perspectives. Yet these perspectives are not juxtaposed in mere eclecticism; they are ordered according to the hierarchy of truth recognized by the Orthodox tradition, with Scripture as primary datum, apostolic and patristic tradition as authoritative interpretation, liturgical use as living context, and the various human sciences as servants of theological understanding.</w:t>
      </w:r>
    </w:p>
    <w:p>
      <w:pPr>
        <w:spacing w:after="200" w:line="276"/>
      </w:pPr>
      <w:r>
        <w:rPr>
          <w:rFonts w:ascii="Garamond" w:cs="Garamond" w:eastAsia="Garamond" w:hAnsi="Garamond"/>
          <w:sz w:val="24"/>
          <w:szCs w:val="24"/>
        </w:rPr>
        <w:t xml:space="preserve">The reader will find here both traditional Orthodox exegesis and engagement with contemporary scholarship, both ancient wisdom and modern discovery. The conviction underlying this synthesis is that all truth is God's truth, that the Logos through whom all things were made has inscribed his rational principles (λόγοι) in every level of created reality, and that therefore genuine knowledge in any domain cannot ultimately contradict but must illuminate the knowledge revealed in Scripture. Where apparent conflicts arise, they are occasions not for the abandonment of either faith or reason but for deeper investigation and more careful distinction.</w:t>
      </w:r>
    </w:p>
    <w:p>
      <w:pPr>
        <w:spacing w:after="200" w:line="276"/>
      </w:pPr>
      <w:r>
        <w:rPr>
          <w:rFonts w:ascii="Garamond" w:cs="Garamond" w:eastAsia="Garamond" w:hAnsi="Garamond"/>
          <w:sz w:val="24"/>
          <w:szCs w:val="24"/>
        </w:rPr>
        <w:t xml:space="preserve">Particular attention is given throughout to connections with advanced mathematics and theoretical physics. This emphasis reflects the conviction that these disciplines, operating at the most fundamental level of created structure, offer analogies and illuminations of theological truth that deserve more attention than they typically receive. The mathematical sections are offered not as proofs of theological doctrines but as conceptual resonances, structural correspondences that may help the contemplative mind perceive something of the rationality inscribed in creation by its Creator.</w:t>
      </w:r>
    </w:p>
    <w:p>
      <w:pPr>
        <w:spacing w:after="200" w:line="276"/>
      </w:pPr>
      <w:r>
        <w:rPr>
          <w:rFonts w:ascii="Garamond" w:cs="Garamond" w:eastAsia="Garamond" w:hAnsi="Garamond"/>
          <w:sz w:val="24"/>
          <w:szCs w:val="24"/>
        </w:rPr>
        <w:t xml:space="preserve">The work is organized into seven major divisions. Division Alpha establishes the prolegomena and methodology, articulating the epistemological foundations, hermeneutical principles, and integrative philosophy that govern the entire project. Division Beta presents the textual foundations, providing detailed analysis of the Septuagint text of Genesis and its relationship to other witnesses. Division Gamma contains the verse by verse commentary on the Primeval History (Genesis 1 through 11), including extensive treatment of the creation narrative, the fall, and the pre Abrahamic generations. Divisions following cover the Patriarchal History and then move to thematic syntheses and interdisciplinary studies.</w:t>
      </w:r>
    </w:p>
    <w:p>
      <w:pPr>
        <w:spacing w:after="200" w:line="276"/>
      </w:pPr>
      <w:r>
        <w:rPr>
          <w:rFonts w:ascii="Garamond" w:cs="Garamond" w:eastAsia="Garamond" w:hAnsi="Garamond"/>
          <w:sz w:val="24"/>
          <w:szCs w:val="24"/>
        </w:rPr>
        <w:t xml:space="preserve">The estimated scope of the complete work, were it ever to be finished, would extend to many thousands of pages and millions of words. This is acknowledged not as an aspiration toward quantity but as a recognition of the inexhaustibility of the subject matter. The Book of Genesis, as the divinely inspired account of beginnings, opens onto every subsequent development in Scripture, theology, philosophy, and science. To study it comprehensively is to study everything in relation to its origin and ground.</w:t>
      </w:r>
    </w:p>
    <w:p>
      <w:pPr>
        <w:spacing w:after="200" w:line="276"/>
      </w:pPr>
      <w:r>
        <w:rPr>
          <w:rFonts w:ascii="Garamond" w:cs="Garamond" w:eastAsia="Garamond" w:hAnsi="Garamond"/>
          <w:sz w:val="24"/>
          <w:szCs w:val="24"/>
        </w:rPr>
        <w:t xml:space="preserve">This work is offered as a contribution to the glory of the Holy Trinity, Father, Son, and Holy Spirit, the God who creates, redeems, and sanctifies. It is offered in humble submission to the Holy Orthodox Church, whose tradition provides both the content and the context for faithful interpretation. And it is offered as a resource for all who desire to grow in understanding of the sacred text that stands at the head of the biblical canon, the book that tells us whence we come and thereby illuminates where we are going.</w:t>
      </w:r>
    </w:p>
    <w:p>
      <w:pPr>
        <w:spacing w:before="400"/>
        <w:jc w:val="right"/>
      </w:pPr>
      <w:r>
        <w:rPr>
          <w:rFonts w:ascii="Times New Roman" w:cs="Times New Roman" w:eastAsia="Times New Roman" w:hAnsi="Times New Roman"/>
          <w:i/>
          <w:iCs/>
          <w:sz w:val="24"/>
          <w:szCs w:val="24"/>
        </w:rPr>
        <w:t xml:space="preserve">Ἐν ἀρχῇ ἐποίησεν ὁ θεὸς τὸν οὐρανὸν καὶ τὴν γῆν.</w:t>
      </w:r>
    </w:p>
    <w:p>
      <w:r>
        <w:br w:type="page"/>
      </w:r>
    </w:p>
    <w:p>
      <w:pPr>
        <w:pStyle w:val="Heading1"/>
      </w:pPr>
      <w:r>
        <w:t xml:space="preserve">DIVISION ALPHA</w:t>
      </w:r>
    </w:p>
    <w:p>
      <w:pPr>
        <w:spacing w:after="400"/>
        <w:jc w:val="center"/>
      </w:pPr>
      <w:r>
        <w:rPr>
          <w:rFonts w:ascii="Garamond" w:cs="Garamond" w:eastAsia="Garamond" w:hAnsi="Garamond"/>
          <w:smallCaps/>
          <w:sz w:val="36"/>
          <w:szCs w:val="36"/>
        </w:rPr>
        <w:t xml:space="preserve">PROLEGOMENA AND METHODOLOGY</w:t>
      </w:r>
    </w:p>
    <w:p>
      <w:r>
        <w:br w:type="page"/>
      </w:r>
    </w:p>
    <w:p>
      <w:pPr>
        <w:pStyle w:val="Heading1"/>
      </w:pPr>
      <w:r>
        <w:t xml:space="preserve">BOOK I: THE PHILOSOPHY OF THE PROJECT</w:t>
      </w:r>
    </w:p>
    <w:p>
      <w:pPr>
        <w:spacing w:after="200" w:line="276"/>
      </w:pPr>
      <w:r>
        <w:rPr>
          <w:rFonts w:ascii="Garamond" w:cs="Garamond" w:eastAsia="Garamond" w:hAnsi="Garamond"/>
          <w:sz w:val="24"/>
          <w:szCs w:val="24"/>
        </w:rPr>
        <w:t xml:space="preserve">Before approaching the sacred text itself, it is necessary to establish with some care the philosophical and methodological foundations upon which the entire enterprise rests. The study of Scripture is not a neutral or presuppositionless activity; it proceeds from within a tradition of faith and understanding, employs particular methods, and aims at specific ends. To articulate these foundations explicitly is not to pretend that they can be demonstrated to the satisfaction of all possible objectors, but rather to be honest about the commitments that shape this work and to invite the reader into sympathetic engagement with its perspective.</w:t>
      </w:r>
    </w:p>
    <w:p>
      <w:r>
        <w:br w:type="page"/>
      </w:r>
    </w:p>
    <w:p>
      <w:pPr>
        <w:pStyle w:val="Heading2"/>
      </w:pPr>
      <w:r>
        <w:t xml:space="preserve">Part One: Epistemological Foundations</w:t>
      </w:r>
    </w:p>
    <w:p>
      <w:pPr>
        <w:spacing w:after="200" w:line="276"/>
      </w:pPr>
      <w:r>
        <w:rPr>
          <w:rFonts w:ascii="Garamond" w:cs="Garamond" w:eastAsia="Garamond" w:hAnsi="Garamond"/>
          <w:sz w:val="24"/>
          <w:szCs w:val="24"/>
        </w:rPr>
        <w:t xml:space="preserve">The question of how we know what we know, and particularly how we know divine things, must be addressed at the outset. Orthodox Christianity possesses a rich epistemological tradition, developed through centuries of theological reflection, that navigates between the Scylla of rationalism and the Charybdis of fideism. This tradition affirms both the reality of divine revelation and the legitimacy of human reason, while carefully distinguishing their proper domains and relationships.</w:t>
      </w:r>
    </w:p>
    <w:p>
      <w:pPr>
        <w:pStyle w:val="Heading3"/>
      </w:pPr>
      <w:r>
        <w:t xml:space="preserve">Chapter 1: The Nature of Sacred Knowledge</w:t>
      </w:r>
    </w:p>
    <w:p>
      <w:pPr>
        <w:spacing w:after="200" w:line="276"/>
      </w:pPr>
      <w:r>
        <w:rPr>
          <w:rFonts w:ascii="Garamond" w:cs="Garamond" w:eastAsia="Garamond" w:hAnsi="Garamond"/>
          <w:sz w:val="24"/>
          <w:szCs w:val="24"/>
        </w:rPr>
        <w:t xml:space="preserve">Sacred knowledge differs from other forms of knowledge not merely in its object but in its mode of acquisition and verification. While human sciences proceed by observation, hypothesis, and experiment, and while philosophy proceeds by rational argumentation, theological knowledge proceeds from divine self disclosure received in faith. Yet these modes are not mutually exclusive; rather, they represent distinct but related approaches to the one truth that has its source in the God who is Truth itself.</w:t>
      </w:r>
    </w:p>
    <w:p>
      <w:pPr>
        <w:pStyle w:val="Heading4"/>
      </w:pPr>
      <w:r>
        <w:t xml:space="preserve">1.1 The Distinction Between θεολογία and οἰκονομία</w:t>
      </w:r>
    </w:p>
    <w:p>
      <w:pPr>
        <w:spacing w:after="200" w:line="276"/>
      </w:pPr>
      <w:r>
        <w:rPr>
          <w:rFonts w:ascii="Garamond" w:cs="Garamond" w:eastAsia="Garamond" w:hAnsi="Garamond"/>
          <w:sz w:val="24"/>
          <w:szCs w:val="24"/>
        </w:rPr>
        <w:t xml:space="preserve">Orthodox theology distinguishes between θεολογία (theologia) in the strict sense, which concerns the inner life of the Holy Trinity, and οἰκονομία (oikonomia), which concerns God's works ad extra, his actions in creation, providence, and redemption. This distinction is fundamental for understanding how we come to know God: not by penetrating into the divine essence, which remains forever inaccessible to created intellect, but by encountering God in his energies and operations.</w:t>
      </w:r>
    </w:p>
    <w:p>
      <w:pPr>
        <w:spacing w:after="200" w:line="276"/>
      </w:pPr>
      <w:r>
        <w:rPr>
          <w:rFonts w:ascii="Garamond" w:cs="Garamond" w:eastAsia="Garamond" w:hAnsi="Garamond"/>
          <w:sz w:val="24"/>
          <w:szCs w:val="24"/>
        </w:rPr>
        <w:t xml:space="preserve">The word θεολογία itself underwent significant development in Christian usage. In pre Christian Greek, it referred to discourse about the gods, particularly the mythological narratives of Homer and Hesiod. The Christian appropriation of the term transformed its meaning, directing it toward the true God and grounding it in divine revelation rather than human invention. By the time of the Cappadocian fathers, θεολογία had come to designate specifically the doctrine of the Trinity, the highest object of Christian contemplation.</w:t>
      </w:r>
    </w:p>
    <w:p>
      <w:pPr>
        <w:spacing w:after="200" w:line="276"/>
      </w:pPr>
      <w:r>
        <w:rPr>
          <w:rFonts w:ascii="Garamond" w:cs="Garamond" w:eastAsia="Garamond" w:hAnsi="Garamond"/>
          <w:sz w:val="24"/>
          <w:szCs w:val="24"/>
        </w:rPr>
        <w:t xml:space="preserve">Οἰκονομία, derived from οἶκος (house) and νόμος (law or management), originally meant household management. Its theological use extends this meaning to God's management of his cosmic household, his providential ordering of all things toward their proper ends. The divine economy encompasses creation, the covenants, the incarnation, the church, and the eschaton. All that God does outside himself is οἰκονομία, the outworking of his eternal purpose in time and space.</w:t>
      </w:r>
    </w:p>
    <w:p>
      <w:pPr>
        <w:pStyle w:val="Heading5"/>
      </w:pPr>
      <w:r>
        <w:t xml:space="preserve">1.1.1 Apophatic and Cataphatic Modes of Theological Discourse</w:t>
      </w:r>
    </w:p>
    <w:p>
      <w:pPr>
        <w:spacing w:after="200" w:line="276"/>
      </w:pPr>
      <w:r>
        <w:rPr>
          <w:rFonts w:ascii="Garamond" w:cs="Garamond" w:eastAsia="Garamond" w:hAnsi="Garamond"/>
          <w:sz w:val="24"/>
          <w:szCs w:val="24"/>
        </w:rPr>
        <w:t xml:space="preserve">Orthodox theology employs two complementary modes of discourse about God: the cataphatic (καταφατικός) or affirmative, and the apophatic (ἀποφατικός) or negative. The cataphatic way proceeds by affirmation, predicating of God the perfections we find in creatures: God is good, wise, powerful, loving. The apophatic way proceeds by negation, denying that our concepts adequately capture the divine reality: God is not good as we understand goodness, not wise as we understand wisdom. Together, these modes preserve both the reality of our knowledge of God and the transcendence that prevents that knowledge from becoming idolatrous.</w:t>
      </w:r>
    </w:p>
    <w:p>
      <w:pPr>
        <w:spacing w:after="200" w:line="276"/>
      </w:pPr>
      <w:r>
        <w:rPr>
          <w:rFonts w:ascii="Garamond" w:cs="Garamond" w:eastAsia="Garamond" w:hAnsi="Garamond"/>
          <w:sz w:val="24"/>
          <w:szCs w:val="24"/>
        </w:rPr>
        <w:t xml:space="preserve">The relationship between these modes is not that of mere juxtaposition or alternation. Rather, the apophatic represents a deeper penetration into the mystery than the cataphatic. We affirm that God is good, then negate that affirmation to indicate that divine goodness exceeds our conception, and finally transcend both affirmation and negation in the silence of contemplative union. This threefold movement, often called the via eminentiae, constitutes the proper rhythm of theological knowing.</w:t>
      </w:r>
    </w:p>
    <w:p>
      <w:pPr>
        <w:pStyle w:val="Heading6"/>
      </w:pPr>
      <w:r>
        <w:t xml:space="preserve">1.1.1.1 The Dionysian Heritage</w:t>
      </w:r>
    </w:p>
    <w:p>
      <w:pPr>
        <w:spacing w:after="200" w:line="276"/>
      </w:pPr>
      <w:r>
        <w:rPr>
          <w:rFonts w:ascii="Garamond" w:cs="Garamond" w:eastAsia="Garamond" w:hAnsi="Garamond"/>
          <w:sz w:val="24"/>
          <w:szCs w:val="24"/>
        </w:rPr>
        <w:t xml:space="preserve">The systematic articulation of apophatic theology in the Christian tradition owes its definitive form to the writings attributed to Dionysius the Areopagite, the Athenian convert of St. Paul mentioned in Acts 17:34. Whether these writings stem from the apostolic Dionysius himself or from a later author writing under his name, their influence on subsequent Orthodox (and indeed Western) theology has been immense. The Dionysian corpus established the framework within which Christian mystical theology would develop for the following millennium and beyond.</w:t>
      </w:r>
    </w:p>
    <w:p>
      <w:pPr>
        <w:spacing w:after="200" w:line="276"/>
      </w:pPr>
      <w:r>
        <w:rPr>
          <w:rFonts w:ascii="Garamond" w:cs="Garamond" w:eastAsia="Garamond" w:hAnsi="Garamond"/>
          <w:sz w:val="24"/>
          <w:szCs w:val="24"/>
        </w:rPr>
        <w:t xml:space="preserve">1.1.1.1.1 Divine Names and Mystical Theology</w:t>
      </w:r>
    </w:p>
    <w:p>
      <w:pPr>
        <w:spacing w:after="160" w:line="276"/>
        <w:ind w:left="720"/>
      </w:pPr>
      <w:r>
        <w:rPr>
          <w:rFonts w:ascii="Garamond" w:cs="Garamond" w:eastAsia="Garamond" w:hAnsi="Garamond"/>
          <w:sz w:val="22"/>
          <w:szCs w:val="22"/>
        </w:rPr>
        <w:t xml:space="preserve">The treatise On the Divine Names (Περὶ θείων ὀνομάτων) examines how God can be named despite his transcendence of all names. Dionysius proceeds by analyzing the various names applied to God in Scripture: Good, Light, Beautiful, Being, Life, Wisdom, Power, and others. Each name reveals something true about God while simultaneously falling infinitely short of the divine reality. The divine names are like rays emanating from an inaccessible sun; they genuinely illuminate but do not exhaust their source.</w:t>
      </w:r>
    </w:p>
    <w:p>
      <w:pPr>
        <w:spacing w:after="160" w:line="276"/>
        <w:ind w:left="720"/>
      </w:pPr>
      <w:r>
        <w:rPr>
          <w:rFonts w:ascii="Garamond" w:cs="Garamond" w:eastAsia="Garamond" w:hAnsi="Garamond"/>
          <w:sz w:val="22"/>
          <w:szCs w:val="22"/>
        </w:rPr>
        <w:t xml:space="preserve">The Mystical Theology (Περὶ μυστικῆς θεολογίας), the shortest yet perhaps most influential of the Dionysian writings, describes the ascent of the soul beyond all affirmation and negation into the "darkness" of divine unknowing. This darkness is not the darkness of ignorance but the superabundant light that blinds the intellect. Moses on Sinai becomes the paradigm: he ascends above the visible creation, passes through the cloud of unknowing, and enters the divine darkness where God dwells.</w:t>
      </w:r>
    </w:p>
    <w:p>
      <w:pPr>
        <w:spacing w:after="200" w:line="276"/>
      </w:pPr>
      <w:r>
        <w:rPr>
          <w:rFonts w:ascii="Garamond" w:cs="Garamond" w:eastAsia="Garamond" w:hAnsi="Garamond"/>
          <w:sz w:val="24"/>
          <w:szCs w:val="24"/>
        </w:rPr>
        <w:t xml:space="preserve">1.1.1.1.2 The Hierarchies as Epistemological Structure</w:t>
      </w:r>
    </w:p>
    <w:p>
      <w:pPr>
        <w:spacing w:after="160" w:line="276"/>
        <w:ind w:left="720"/>
      </w:pPr>
      <w:r>
        <w:rPr>
          <w:rFonts w:ascii="Garamond" w:cs="Garamond" w:eastAsia="Garamond" w:hAnsi="Garamond"/>
          <w:sz w:val="22"/>
          <w:szCs w:val="22"/>
        </w:rPr>
        <w:t xml:space="preserve">The Celestial Hierarchy (Περὶ τῆς οὐρανίας ἱεραρχίας) and The Ecclesiastical Hierarchy (Περὶ τῆς ἐκκλησιαστικῆς ἱεραρχίας) present a vision of reality as structured by descending levels of divine illumination. The celestial hierarchy of angels receives divine light according to their capacity and transmits it downward; the ecclesiastical hierarchy of bishops, priests, and deacons mediates this light to the faithful through scripture, sacrament, and teaching. Knowledge of God is thus inherently mediated, passing through ordered channels established by divine wisdom.</w:t>
      </w:r>
    </w:p>
    <w:p>
      <w:pPr>
        <w:spacing w:after="160" w:line="276"/>
        <w:ind w:left="720"/>
      </w:pPr>
      <w:r>
        <w:rPr>
          <w:rFonts w:ascii="Garamond" w:cs="Garamond" w:eastAsia="Garamond" w:hAnsi="Garamond"/>
          <w:sz w:val="22"/>
          <w:szCs w:val="22"/>
        </w:rPr>
        <w:t xml:space="preserve">This hierarchical epistemology does not imply that lower ranks are cut off from God but rather that each level receives according to its capacity and is raised by its superiors toward greater participation in the divine light. The hierarchy is not a barrier but a ladder, not a wall but a window. Each level is diaphanous, transparent to the light it receives and transmits.</w:t>
      </w:r>
    </w:p>
    <w:p>
      <w:pPr>
        <w:spacing w:after="200" w:line="276"/>
      </w:pPr>
      <w:r>
        <w:rPr>
          <w:rFonts w:ascii="Garamond" w:cs="Garamond" w:eastAsia="Garamond" w:hAnsi="Garamond"/>
          <w:sz w:val="24"/>
          <w:szCs w:val="24"/>
        </w:rPr>
        <w:t xml:space="preserve">1.1.1.1.3 The Darkness Beyond Light</w:t>
      </w:r>
    </w:p>
    <w:p>
      <w:pPr>
        <w:spacing w:after="160" w:line="276"/>
        <w:ind w:left="720"/>
      </w:pPr>
      <w:r>
        <w:rPr>
          <w:rFonts w:ascii="Garamond" w:cs="Garamond" w:eastAsia="Garamond" w:hAnsi="Garamond"/>
          <w:sz w:val="22"/>
          <w:szCs w:val="22"/>
        </w:rPr>
        <w:t xml:space="preserve">The Dionysian darkness (γνόφος) is not mere privation but supereminent presence. It represents the failure of all conceptual categories when confronted with the divine infinity. As the eye is blinded by looking directly at the sun, so the intellect is overwhelmed by the divine reality. This is not a defect in the intellect but a testimony to the divine transcendence.</w:t>
      </w:r>
    </w:p>
    <w:p>
      <w:pPr>
        <w:spacing w:after="160" w:line="276"/>
        <w:ind w:left="720"/>
      </w:pPr>
      <w:r>
        <w:rPr>
          <w:rFonts w:ascii="Garamond" w:cs="Garamond" w:eastAsia="Garamond" w:hAnsi="Garamond"/>
          <w:sz w:val="22"/>
          <w:szCs w:val="22"/>
        </w:rPr>
        <w:t xml:space="preserve">The language of darkness deliberately inverts ordinary valuations. In common speech, light represents knowledge and darkness ignorance. By calling the highest knowledge a darkness, Dionysius signals that it transcends the ordinary categories of knowledge. The mystic who enters this darkness knows in a way that appears as unknowing to those who have not made the ascent.</w:t>
      </w:r>
    </w:p>
    <w:p>
      <w:pPr>
        <w:spacing w:after="200" w:line="276"/>
      </w:pPr>
      <w:r>
        <w:rPr>
          <w:rFonts w:ascii="Garamond" w:cs="Garamond" w:eastAsia="Garamond" w:hAnsi="Garamond"/>
          <w:sz w:val="24"/>
          <w:szCs w:val="24"/>
        </w:rPr>
        <w:t xml:space="preserve">1.1.1.1.4 Union Beyond Knowledge</w:t>
      </w:r>
    </w:p>
    <w:p>
      <w:pPr>
        <w:spacing w:after="160" w:line="276"/>
        <w:ind w:left="720"/>
      </w:pPr>
      <w:r>
        <w:rPr>
          <w:rFonts w:ascii="Garamond" w:cs="Garamond" w:eastAsia="Garamond" w:hAnsi="Garamond"/>
          <w:sz w:val="22"/>
          <w:szCs w:val="22"/>
        </w:rPr>
        <w:t xml:space="preserve">The goal of the Dionysian ascent is not information but transformation, not concepts but communion. The soul united with God in the divine darkness does not possess God as an object of knowledge but is possessed by God in a mutual indwelling that transcends subject object duality. This union (ἕνωσις) is the telos of all theological endeavor and the ground of whatever true theology may be spoken afterward.</w:t>
      </w:r>
    </w:p>
    <w:p>
      <w:pPr>
        <w:spacing w:after="160" w:line="276"/>
        <w:ind w:left="720"/>
      </w:pPr>
      <w:r>
        <w:rPr>
          <w:rFonts w:ascii="Garamond" w:cs="Garamond" w:eastAsia="Garamond" w:hAnsi="Garamond"/>
          <w:sz w:val="22"/>
          <w:szCs w:val="22"/>
        </w:rPr>
        <w:t xml:space="preserve">The return from this union to discursive theology is not a fall but a mission. The contemplative who has experienced the divine darkness returns to speak, however inadequately, of what has been encountered. The entire structure of affirmation and negation serves this return, providing conceptual vessels for an experience that exceeds all vessels.</w:t>
      </w:r>
    </w:p>
    <w:p>
      <w:pPr>
        <w:spacing w:after="200" w:line="276"/>
      </w:pPr>
      <w:r>
        <w:rPr>
          <w:rFonts w:ascii="Garamond" w:cs="Garamond" w:eastAsia="Garamond" w:hAnsi="Garamond"/>
          <w:sz w:val="24"/>
          <w:szCs w:val="24"/>
        </w:rPr>
        <w:t xml:space="preserve">1.1.1.2 St. Maximus the Confessor's Appropriation</w:t>
      </w:r>
    </w:p>
    <w:p>
      <w:pPr>
        <w:spacing w:after="160" w:line="276"/>
        <w:ind w:left="720"/>
      </w:pPr>
      <w:r>
        <w:rPr>
          <w:rFonts w:ascii="Garamond" w:cs="Garamond" w:eastAsia="Garamond" w:hAnsi="Garamond"/>
          <w:sz w:val="22"/>
          <w:szCs w:val="22"/>
        </w:rPr>
        <w:t xml:space="preserve">St. Maximus the Confessor (580 to 662) represents perhaps the most sophisticated synthesis of Dionysian mysticism with the broader currents of patristic thought. Writing in the context of the Monothelite controversy, Maximus developed a comprehensive theological vision that integrated cosmology, anthropology, Christology, and spiritual life into a unified whole. His appropriation of Dionysian themes transformed them through engagement with other traditions, producing a synthesis that remains normative for Orthodox theology.</w:t>
      </w:r>
    </w:p>
    <w:p>
      <w:pPr>
        <w:spacing w:after="200" w:line="276"/>
      </w:pPr>
      <w:r>
        <w:rPr>
          <w:rFonts w:ascii="Garamond" w:cs="Garamond" w:eastAsia="Garamond" w:hAnsi="Garamond"/>
          <w:sz w:val="24"/>
          <w:szCs w:val="24"/>
        </w:rPr>
        <w:t xml:space="preserve">1.1.1.2.1 The Five Cosmic Mediations as Epistemological Framework</w:t>
      </w:r>
    </w:p>
    <w:p>
      <w:pPr>
        <w:spacing w:after="160" w:line="276"/>
        <w:ind w:left="720"/>
      </w:pPr>
      <w:r>
        <w:rPr>
          <w:rFonts w:ascii="Garamond" w:cs="Garamond" w:eastAsia="Garamond" w:hAnsi="Garamond"/>
          <w:sz w:val="22"/>
          <w:szCs w:val="22"/>
        </w:rPr>
        <w:t xml:space="preserve">In Maximus's Ambigua, the cosmos appears as structured by five fundamental divisions that humanity is called to mediate: male and female, paradise and world, heaven and earth, sensible and intelligible, created and uncreated. These divisions are not absolute separations but distinctions within unity, poles that humanity, as microcosm and mediator, is called to unite. This vocation provides an epistemological framework: true knowledge involves the integration of apparent opposites in ever higher syntheses.</w:t>
      </w:r>
    </w:p>
    <w:p>
      <w:pPr>
        <w:spacing w:after="160" w:line="276"/>
        <w:ind w:left="720"/>
      </w:pPr>
      <w:r>
        <w:rPr>
          <w:rFonts w:ascii="Garamond" w:cs="Garamond" w:eastAsia="Garamond" w:hAnsi="Garamond"/>
          <w:sz w:val="22"/>
          <w:szCs w:val="22"/>
        </w:rPr>
        <w:t xml:space="preserve">The failure of Adam to fulfill this mediating vocation resulted in the fragmentation of knowledge along with the fragmentation of being. Human knowing after the fall is marked by division, partiality, and conflict. The restoration accomplished in Christ, the true Mediator, heals not only human nature but human knowing, making possible an integrated vision that perceives the unity underlying apparent division.</w:t>
      </w:r>
    </w:p>
    <w:p>
      <w:pPr>
        <w:spacing w:after="200" w:line="276"/>
      </w:pPr>
      <w:r>
        <w:rPr>
          <w:rFonts w:ascii="Garamond" w:cs="Garamond" w:eastAsia="Garamond" w:hAnsi="Garamond"/>
          <w:sz w:val="24"/>
          <w:szCs w:val="24"/>
        </w:rPr>
        <w:t xml:space="preserve">1.1.1.2.2 Natural Contemplation (φυσικὴ θεωρία) as Mode of Knowing</w:t>
      </w:r>
    </w:p>
    <w:p>
      <w:pPr>
        <w:spacing w:after="160" w:line="276"/>
        <w:ind w:left="720"/>
      </w:pPr>
      <w:r>
        <w:rPr>
          <w:rFonts w:ascii="Garamond" w:cs="Garamond" w:eastAsia="Garamond" w:hAnsi="Garamond"/>
          <w:sz w:val="22"/>
          <w:szCs w:val="22"/>
        </w:rPr>
        <w:t xml:space="preserve">Maximus develops the Evagrian tradition of natural contemplation (φυσικὴ θεωρία) as a middle stage between praktike (the purification of the passions) and theologike (the contemplation of God himself). In natural contemplation, the purified intellect perceives the λόγοι or rational principles embedded in created things. This is not mere scientific observation but spiritual perception: the intellect sees through the surface of things to their divine grounds.</w:t>
      </w:r>
    </w:p>
    <w:p>
      <w:pPr>
        <w:spacing w:after="160" w:line="276"/>
        <w:ind w:left="720"/>
      </w:pPr>
      <w:r>
        <w:rPr>
          <w:rFonts w:ascii="Garamond" w:cs="Garamond" w:eastAsia="Garamond" w:hAnsi="Garamond"/>
          <w:sz w:val="22"/>
          <w:szCs w:val="22"/>
        </w:rPr>
        <w:t xml:space="preserve">Natural contemplation thus provides a via media between rationalism and fideism. It takes the created order seriously as a source of knowledge, but the knowledge sought is not merely physical or mechanical; it is the knowledge of divine intention, the discernment of the purpose for which each thing exists. Science investigates how; natural contemplation asks why, in the teleological sense.</w:t>
      </w:r>
    </w:p>
    <w:p>
      <w:pPr>
        <w:spacing w:after="200" w:line="276"/>
      </w:pPr>
      <w:r>
        <w:rPr>
          <w:rFonts w:ascii="Garamond" w:cs="Garamond" w:eastAsia="Garamond" w:hAnsi="Garamond"/>
          <w:sz w:val="24"/>
          <w:szCs w:val="24"/>
        </w:rPr>
        <w:t xml:space="preserve">1.1.1.2.3 The Logoi as Cognitive Access to Divine Intention</w:t>
      </w:r>
    </w:p>
    <w:p>
      <w:pPr>
        <w:spacing w:after="160" w:line="276"/>
        <w:ind w:left="720"/>
      </w:pPr>
      <w:r>
        <w:rPr>
          <w:rFonts w:ascii="Garamond" w:cs="Garamond" w:eastAsia="Garamond" w:hAnsi="Garamond"/>
          <w:sz w:val="22"/>
          <w:szCs w:val="22"/>
        </w:rPr>
        <w:t xml:space="preserve">The λόγοι (logoi, plural of λόγος) are the eternal patterns or reasons according to which God creates and sustains all things. They are not Platonic forms existing independently of God but rather the divine thoughts or intentions that constitute the essence of each creature. To know a thing truly is to know its logos, to perceive the divine idea that it instantiates.</w:t>
      </w:r>
    </w:p>
    <w:p>
      <w:pPr>
        <w:spacing w:after="160" w:line="276"/>
        <w:ind w:left="720"/>
      </w:pPr>
      <w:r>
        <w:rPr>
          <w:rFonts w:ascii="Garamond" w:cs="Garamond" w:eastAsia="Garamond" w:hAnsi="Garamond"/>
          <w:sz w:val="22"/>
          <w:szCs w:val="22"/>
        </w:rPr>
        <w:t xml:space="preserve">The logoi are unified in the one Logos, the second Person of the Trinity. Christ is not merely one logos among many but the Logos in whom all logoi cohere and from whom they derive their being. This Christological grounding means that all authentic knowledge, however indirect its path, leads ultimately to Christ. The logos of each creature is a partial reflection of the total Logos, a word within the eternal Word.</w:t>
      </w:r>
    </w:p>
    <w:p>
      <w:pPr>
        <w:spacing w:after="200" w:line="276"/>
      </w:pPr>
      <w:r>
        <w:rPr>
          <w:rFonts w:ascii="Garamond" w:cs="Garamond" w:eastAsia="Garamond" w:hAnsi="Garamond"/>
          <w:sz w:val="24"/>
          <w:szCs w:val="24"/>
        </w:rPr>
        <w:t xml:space="preserve">1.1.1.2.4 Theoria, Praxis, and the Integration of Knowing</w:t>
      </w:r>
    </w:p>
    <w:p>
      <w:pPr>
        <w:spacing w:after="160" w:line="276"/>
        <w:ind w:left="720"/>
      </w:pPr>
      <w:r>
        <w:rPr>
          <w:rFonts w:ascii="Garamond" w:cs="Garamond" w:eastAsia="Garamond" w:hAnsi="Garamond"/>
          <w:sz w:val="22"/>
          <w:szCs w:val="22"/>
        </w:rPr>
        <w:t xml:space="preserve">In Maximus's synthesis, knowing (theoria) and doing (praxis) are inseparable. One cannot truly know without being transformed by that knowledge, and one cannot be transformed without growing in knowledge. The spiritual life is thus a unified movement of knowledge and practice, contemplation and action, in which each advances the other. This integration has epistemological implications: genuine knowledge requires moral and spiritual preparation, and genuine virtue requires illumination.</w:t>
      </w:r>
    </w:p>
    <w:p>
      <w:pPr>
        <w:spacing w:after="160" w:line="276"/>
        <w:ind w:left="720"/>
      </w:pPr>
      <w:r>
        <w:rPr>
          <w:rFonts w:ascii="Garamond" w:cs="Garamond" w:eastAsia="Garamond" w:hAnsi="Garamond"/>
          <w:sz w:val="22"/>
          <w:szCs w:val="22"/>
        </w:rPr>
        <w:t xml:space="preserve">This epistemology challenges modern assumptions about the separability of fact and value, knowledge and ethics. For Maximus, as for the patristic tradition generally, only the pure in heart can see God, and this purity extends not merely to the vision of God himself but to the perception of divine truth in any domain. The passions cloud the intellect; their purification restores clarity of vision.</w:t>
      </w:r>
    </w:p>
    <w:p>
      <w:pPr>
        <w:spacing w:after="200" w:line="276"/>
      </w:pPr>
      <w:r>
        <w:rPr>
          <w:rFonts w:ascii="Garamond" w:cs="Garamond" w:eastAsia="Garamond" w:hAnsi="Garamond"/>
          <w:sz w:val="24"/>
          <w:szCs w:val="24"/>
        </w:rPr>
        <w:t xml:space="preserve">1.1.1.3 St. Gregory Palamas and the Distinction</w:t>
      </w:r>
    </w:p>
    <w:p>
      <w:pPr>
        <w:spacing w:after="160" w:line="276"/>
        <w:ind w:left="720"/>
      </w:pPr>
      <w:r>
        <w:rPr>
          <w:rFonts w:ascii="Garamond" w:cs="Garamond" w:eastAsia="Garamond" w:hAnsi="Garamond"/>
          <w:sz w:val="22"/>
          <w:szCs w:val="22"/>
        </w:rPr>
        <w:t xml:space="preserve">The fourteenth century witnessed a crucial clarification of Orthodox epistemology in the theology of St. Gregory Palamas (1296 to 1359). In controversy with Barlaam the Calabrian, Palamas articulated the distinction between divine essence and divine energies that had been implicit in earlier patristic thought but now required explicit formulation. This distinction provides the definitive Orthodox answer to the question of how creatures can truly know and participate in the unknowable God.</w:t>
      </w:r>
    </w:p>
    <w:p>
      <w:pPr>
        <w:spacing w:after="200" w:line="276"/>
      </w:pPr>
      <w:r>
        <w:rPr>
          <w:rFonts w:ascii="Garamond" w:cs="Garamond" w:eastAsia="Garamond" w:hAnsi="Garamond"/>
          <w:sz w:val="24"/>
          <w:szCs w:val="24"/>
        </w:rPr>
        <w:t xml:space="preserve">1.1.1.3.1 Essence and Energies as Epistemological Categories</w:t>
      </w:r>
    </w:p>
    <w:p>
      <w:pPr>
        <w:spacing w:after="160" w:line="276"/>
        <w:ind w:left="720"/>
      </w:pPr>
      <w:r>
        <w:rPr>
          <w:rFonts w:ascii="Garamond" w:cs="Garamond" w:eastAsia="Garamond" w:hAnsi="Garamond"/>
          <w:sz w:val="22"/>
          <w:szCs w:val="22"/>
        </w:rPr>
        <w:t xml:space="preserve">The essence (οὐσία) of God is what God is in himself, the divine nature shared by Father, Son, and Holy Spirit. This essence is absolutely transcendent, beyond all creaturely knowing and being. No creature can participate in the divine essence without ceasing to be a creature and being absorbed into the divine nature, which would be pantheism.</w:t>
      </w:r>
    </w:p>
    <w:p>
      <w:pPr>
        <w:spacing w:after="160" w:line="276"/>
        <w:ind w:left="720"/>
      </w:pPr>
      <w:r>
        <w:rPr>
          <w:rFonts w:ascii="Garamond" w:cs="Garamond" w:eastAsia="Garamond" w:hAnsi="Garamond"/>
          <w:sz w:val="22"/>
          <w:szCs w:val="22"/>
        </w:rPr>
        <w:t xml:space="preserve">The energies (ἐνέργειαι) are the eternal operations or activities of God, inseparable from the essence yet distinct from it. They include all that God does: creating, sustaining, revealing, sanctifying, deifying. The energies are fully divine, not created intermediaries, yet they are God as communicable to creatures, God as he gives himself without ceasing to be transcendent.</w:t>
      </w:r>
    </w:p>
    <w:p>
      <w:pPr>
        <w:spacing w:after="200" w:line="276"/>
      </w:pPr>
      <w:r>
        <w:rPr>
          <w:rFonts w:ascii="Garamond" w:cs="Garamond" w:eastAsia="Garamond" w:hAnsi="Garamond"/>
          <w:sz w:val="24"/>
          <w:szCs w:val="24"/>
        </w:rPr>
        <w:t xml:space="preserve">1.1.1.3.2 The Knowability of Divine Energies</w:t>
      </w:r>
    </w:p>
    <w:p>
      <w:pPr>
        <w:spacing w:after="160" w:line="276"/>
        <w:ind w:left="720"/>
      </w:pPr>
      <w:r>
        <w:rPr>
          <w:rFonts w:ascii="Garamond" w:cs="Garamond" w:eastAsia="Garamond" w:hAnsi="Garamond"/>
          <w:sz w:val="22"/>
          <w:szCs w:val="22"/>
        </w:rPr>
        <w:t xml:space="preserve">The divine energies can be known because they are God in his self communication. When we know God truly, we know him in his energies: his goodness, wisdom, power, love. This knowledge is genuine and salvific; it is participation in the divine life. The saints who behold the uncreated light on Tabor genuinely see God, not a symbol or effect but God himself in his energies.</w:t>
      </w:r>
    </w:p>
    <w:p>
      <w:pPr>
        <w:spacing w:after="160" w:line="276"/>
        <w:ind w:left="720"/>
      </w:pPr>
      <w:r>
        <w:rPr>
          <w:rFonts w:ascii="Garamond" w:cs="Garamond" w:eastAsia="Garamond" w:hAnsi="Garamond"/>
          <w:sz w:val="22"/>
          <w:szCs w:val="22"/>
        </w:rPr>
        <w:t xml:space="preserve">This knowability extends to creation itself, which is the product of divine energies. The logoi of creatures are the creative energies of God as they constitute each thing in its distinctive nature. To know creation truly is already to know God in his energies, though this knowledge reaches its fullness only in direct contemplation.</w:t>
      </w:r>
    </w:p>
    <w:p>
      <w:pPr>
        <w:spacing w:after="200" w:line="276"/>
      </w:pPr>
      <w:r>
        <w:rPr>
          <w:rFonts w:ascii="Garamond" w:cs="Garamond" w:eastAsia="Garamond" w:hAnsi="Garamond"/>
          <w:sz w:val="24"/>
          <w:szCs w:val="24"/>
        </w:rPr>
        <w:t xml:space="preserve">1.1.1.3.3 The Unknowability of Divine Essence</w:t>
      </w:r>
    </w:p>
    <w:p>
      <w:pPr>
        <w:spacing w:after="160" w:line="276"/>
        <w:ind w:left="720"/>
      </w:pPr>
      <w:r>
        <w:rPr>
          <w:rFonts w:ascii="Garamond" w:cs="Garamond" w:eastAsia="Garamond" w:hAnsi="Garamond"/>
          <w:sz w:val="22"/>
          <w:szCs w:val="22"/>
        </w:rPr>
        <w:t xml:space="preserve">The divine essence remains forever unknowable, not merely to creatures in their present state but in principle and eternally. Even in the eschaton, when the saints enjoy the fullness of theosis, they will not know the divine essence but will participate ever more fully in the divine energies. The essence is not hidden temporarily but is transcendent absolutely.</w:t>
      </w:r>
    </w:p>
    <w:p>
      <w:pPr>
        <w:spacing w:after="160" w:line="276"/>
        <w:ind w:left="720"/>
      </w:pPr>
      <w:r>
        <w:rPr>
          <w:rFonts w:ascii="Garamond" w:cs="Garamond" w:eastAsia="Garamond" w:hAnsi="Garamond"/>
          <w:sz w:val="22"/>
          <w:szCs w:val="22"/>
        </w:rPr>
        <w:t xml:space="preserve">This does not make the essence irrelevant or merely notional. The essence is the ground of the energies, that from which they eternally proceed. To know the energies is to know that there is an essence, to know something about its character (that it is the source of such energies), while acknowledging that it exceeds all knowledge.</w:t>
      </w:r>
    </w:p>
    <w:p>
      <w:pPr>
        <w:spacing w:after="200" w:line="276"/>
      </w:pPr>
      <w:r>
        <w:rPr>
          <w:rFonts w:ascii="Garamond" w:cs="Garamond" w:eastAsia="Garamond" w:hAnsi="Garamond"/>
          <w:sz w:val="24"/>
          <w:szCs w:val="24"/>
        </w:rPr>
        <w:t xml:space="preserve">1.1.1.3.4 Participation Without Comprehension</w:t>
      </w:r>
    </w:p>
    <w:p>
      <w:pPr>
        <w:spacing w:after="160" w:line="276"/>
        <w:ind w:left="720"/>
      </w:pPr>
      <w:r>
        <w:rPr>
          <w:rFonts w:ascii="Garamond" w:cs="Garamond" w:eastAsia="Garamond" w:hAnsi="Garamond"/>
          <w:sz w:val="22"/>
          <w:szCs w:val="22"/>
        </w:rPr>
        <w:t xml:space="preserve">The Palamite synthesis allows for real participation in God without the pantheistic confusion of creature and Creator. We participate in the divine energies, which are truly God, yet we do not participate in the divine essence, which would abolish the distinction between created and uncreated. This participation is deification (θέωσις), the goal of human existence: to become god by grace while God remains God by nature.</w:t>
      </w:r>
    </w:p>
    <w:p>
      <w:pPr>
        <w:spacing w:after="160" w:line="276"/>
        <w:ind w:left="720"/>
      </w:pPr>
      <w:r>
        <w:rPr>
          <w:rFonts w:ascii="Garamond" w:cs="Garamond" w:eastAsia="Garamond" w:hAnsi="Garamond"/>
          <w:sz w:val="22"/>
          <w:szCs w:val="22"/>
        </w:rPr>
        <w:t xml:space="preserve">Epistemologically, this means that our knowledge of God is real but asymptotic. We can always know more, always participate more fully, always be transformed more completely, yet we never exhaust the divine mystery. Knowledge of God is not possession of information but ongoing relationship, a journey into infinite depth.</w:t>
      </w:r>
    </w:p>
    <w:p>
      <w:pPr>
        <w:spacing w:after="200" w:line="276"/>
      </w:pPr>
      <w:r>
        <w:rPr>
          <w:rFonts w:ascii="Garamond" w:cs="Garamond" w:eastAsia="Garamond" w:hAnsi="Garamond"/>
          <w:sz w:val="24"/>
          <w:szCs w:val="24"/>
        </w:rPr>
        <w:t xml:space="preserve">1.1.1.3.5 The Light of Tabor as Epistemic Event</w:t>
      </w:r>
    </w:p>
    <w:p>
      <w:pPr>
        <w:spacing w:after="160" w:line="276"/>
        <w:ind w:left="720"/>
      </w:pPr>
      <w:r>
        <w:rPr>
          <w:rFonts w:ascii="Garamond" w:cs="Garamond" w:eastAsia="Garamond" w:hAnsi="Garamond"/>
          <w:sz w:val="22"/>
          <w:szCs w:val="22"/>
        </w:rPr>
        <w:t xml:space="preserve">The Transfiguration of Christ on Mount Tabor provides the paradigmatic instance of creaturely knowledge of God. The disciples saw the uncreated light, the glory of Christ's divinity shining through his humanity. This light was not a created effect but God himself, the divine energies made visible. The disciples' eyes were transformed to perceive what they could not naturally see.</w:t>
      </w:r>
    </w:p>
    <w:p>
      <w:pPr>
        <w:spacing w:after="160" w:line="276"/>
        <w:ind w:left="720"/>
      </w:pPr>
      <w:r>
        <w:rPr>
          <w:rFonts w:ascii="Garamond" w:cs="Garamond" w:eastAsia="Garamond" w:hAnsi="Garamond"/>
          <w:sz w:val="22"/>
          <w:szCs w:val="22"/>
        </w:rPr>
        <w:t xml:space="preserve">The Tabor event discloses the structure of all authentic theological knowledge: it is gift, not achievement; it requires transformation of the knower; it is truly knowledge of God yet does not abolish mystery. The hesychast tradition of prayer, which Palamas defended, aims at precisely this participatory knowledge, this vision of the uncreated light that is the culmination of the spiritual way.</w:t>
      </w:r>
    </w:p>
    <w:p>
      <w:r>
        <w:br w:type="page"/>
      </w:r>
    </w:p>
    <w:p>
      <w:pPr>
        <w:pStyle w:val="Heading5"/>
      </w:pPr>
      <w:r>
        <w:t xml:space="preserve">1.1.2 The Relationship Between Revelation and Reason</w:t>
      </w:r>
    </w:p>
    <w:p>
      <w:pPr>
        <w:spacing w:after="200" w:line="276"/>
      </w:pPr>
      <w:r>
        <w:rPr>
          <w:rFonts w:ascii="Garamond" w:cs="Garamond" w:eastAsia="Garamond" w:hAnsi="Garamond"/>
          <w:sz w:val="24"/>
          <w:szCs w:val="24"/>
        </w:rPr>
        <w:t xml:space="preserve">Having established the apophatic-cataphatic framework and the essence-energies distinction, we must now consider more specifically how divine revelation relates to human reason. This question has exercised Christian thinkers from the beginning and admits of no simple answer. The patristic tradition achieved a nuanced synthesis that neither denigrated reason nor exalted it inappropriately, recognizing both its legitimate role and its inherent limitations.</w:t>
      </w:r>
    </w:p>
    <w:p>
      <w:pPr>
        <w:spacing w:after="200" w:line="276"/>
      </w:pPr>
      <w:r>
        <w:rPr>
          <w:rFonts w:ascii="Garamond" w:cs="Garamond" w:eastAsia="Garamond" w:hAnsi="Garamond"/>
          <w:sz w:val="24"/>
          <w:szCs w:val="24"/>
        </w:rPr>
        <w:t xml:space="preserve">1.1.2.1 The Patristic Synthesis</w:t>
      </w:r>
    </w:p>
    <w:p>
      <w:pPr>
        <w:spacing w:after="160" w:line="276"/>
        <w:ind w:left="720"/>
      </w:pPr>
      <w:r>
        <w:rPr>
          <w:rFonts w:ascii="Garamond" w:cs="Garamond" w:eastAsia="Garamond" w:hAnsi="Garamond"/>
          <w:sz w:val="22"/>
          <w:szCs w:val="22"/>
        </w:rPr>
        <w:t xml:space="preserve">The fathers of the Church inherited both the biblical suspicion of human wisdom (1 Corinthians 1:18 through 25) and the Hellenic confidence in reason as the means of truth. Their synthesis of these perspectives was not compromise but transformation. Reason was affirmed as a divine gift, the image of the Logos in human nature, yet recognized as fallen and in need of healing, capable of truth yet prone to error, powerful yet limited.</w:t>
      </w:r>
    </w:p>
    <w:p>
      <w:pPr>
        <w:spacing w:after="200" w:line="276"/>
      </w:pPr>
      <w:r>
        <w:rPr>
          <w:rFonts w:ascii="Garamond" w:cs="Garamond" w:eastAsia="Garamond" w:hAnsi="Garamond"/>
          <w:sz w:val="24"/>
          <w:szCs w:val="24"/>
        </w:rPr>
        <w:t xml:space="preserve">1.1.2.1.1 St. Justin Martyr and the Logos Spermatikos</w:t>
      </w:r>
    </w:p>
    <w:p>
      <w:pPr>
        <w:spacing w:after="160" w:line="276"/>
        <w:ind w:left="720"/>
      </w:pPr>
      <w:r>
        <w:rPr>
          <w:rFonts w:ascii="Garamond" w:cs="Garamond" w:eastAsia="Garamond" w:hAnsi="Garamond"/>
          <w:sz w:val="22"/>
          <w:szCs w:val="22"/>
        </w:rPr>
        <w:t xml:space="preserve">St. Justin Martyr (c. 100 to 165), the first significant Christian philosopher, developed the concept of the logos spermatikos or seminal word to explain how truth could be found outside explicit divine revelation. The same Logos who spoke through Moses and the prophets had scattered seeds of truth throughout humanity. The Greek philosophers, especially Socrates and Plato, had participated in this seminal Logos and therefore possessed genuine, if partial, truth.</w:t>
      </w:r>
    </w:p>
    <w:p>
      <w:pPr>
        <w:spacing w:after="160" w:line="276"/>
        <w:ind w:left="720"/>
      </w:pPr>
      <w:r>
        <w:rPr>
          <w:rFonts w:ascii="Garamond" w:cs="Garamond" w:eastAsia="Garamond" w:hAnsi="Garamond"/>
          <w:sz w:val="22"/>
          <w:szCs w:val="22"/>
        </w:rPr>
        <w:t xml:space="preserve">This concept allowed Justin to appropriate Greek philosophy while maintaining the uniqueness of Christian revelation. The philosophers knew the Logos partially; Christians know him fully. The fragments of truth scattered throughout pagan thought find their completeness in Christ. Philosophy becomes not a rival to faith but a preparation for it, a pedagogue leading to Christ.</w:t>
      </w:r>
    </w:p>
    <w:p>
      <w:pPr>
        <w:spacing w:after="200" w:line="276"/>
      </w:pPr>
      <w:r>
        <w:rPr>
          <w:rFonts w:ascii="Garamond" w:cs="Garamond" w:eastAsia="Garamond" w:hAnsi="Garamond"/>
          <w:sz w:val="24"/>
          <w:szCs w:val="24"/>
        </w:rPr>
        <w:t xml:space="preserve">1.1.2.1.2 Clement of Alexandria's Christian Gnosis</w:t>
      </w:r>
    </w:p>
    <w:p>
      <w:pPr>
        <w:spacing w:after="160" w:line="276"/>
        <w:ind w:left="720"/>
      </w:pPr>
      <w:r>
        <w:rPr>
          <w:rFonts w:ascii="Garamond" w:cs="Garamond" w:eastAsia="Garamond" w:hAnsi="Garamond"/>
          <w:sz w:val="22"/>
          <w:szCs w:val="22"/>
        </w:rPr>
        <w:t xml:space="preserve">Clement of Alexandria (c. 150 to 215) extended Justin's approach into a comprehensive vision of Christian gnosis or knowledge. Against the Gnostic sects that claimed exclusive possession of saving knowledge, Clement argued that true gnosis is found in the Church, the synthesis of faith and learning that produces the perfect Christian. The true gnostic is one who has integrated philosophical training with scriptural wisdom and liturgical formation.</w:t>
      </w:r>
    </w:p>
    <w:p>
      <w:pPr>
        <w:spacing w:after="160" w:line="276"/>
        <w:ind w:left="720"/>
      </w:pPr>
      <w:r>
        <w:rPr>
          <w:rFonts w:ascii="Garamond" w:cs="Garamond" w:eastAsia="Garamond" w:hAnsi="Garamond"/>
          <w:sz w:val="22"/>
          <w:szCs w:val="22"/>
        </w:rPr>
        <w:t xml:space="preserve">In his Stromata (Miscellanies), Clement assembled insights from every available source, Greek and barbarian, philosophical and poetic, weaving them into a tapestry of Christian wisdom. His method was explicitly synthetic: truth wherever found belongs to Christians, who recognize its source in the Logos. This confident appropriation became a model for subsequent Orthodox engagement with secular learning.</w:t>
      </w:r>
    </w:p>
    <w:p>
      <w:pPr>
        <w:spacing w:after="200" w:line="276"/>
      </w:pPr>
      <w:r>
        <w:rPr>
          <w:rFonts w:ascii="Garamond" w:cs="Garamond" w:eastAsia="Garamond" w:hAnsi="Garamond"/>
          <w:sz w:val="24"/>
          <w:szCs w:val="24"/>
        </w:rPr>
        <w:t xml:space="preserve">1.1.2.1.3 The Cappadocian Integration</w:t>
      </w:r>
    </w:p>
    <w:p>
      <w:pPr>
        <w:spacing w:after="160" w:line="276"/>
        <w:ind w:left="720"/>
      </w:pPr>
      <w:r>
        <w:rPr>
          <w:rFonts w:ascii="Garamond" w:cs="Garamond" w:eastAsia="Garamond" w:hAnsi="Garamond"/>
          <w:sz w:val="22"/>
          <w:szCs w:val="22"/>
        </w:rPr>
        <w:t xml:space="preserve">The three great Cappadocian fathers, St. Basil the Great, St. Gregory the Theologian, and St. Gregory of Nyssa, represent the mature patristic synthesis of faith and reason. All three received the finest classical education available, and all three employed their learning in service of theological articulation. Their achievement was not merely to use philosophical concepts but to transform them, creating a distinctively Christian intellectual idiom.</w:t>
      </w:r>
    </w:p>
    <w:p>
      <w:pPr>
        <w:spacing w:after="160" w:line="276"/>
        <w:ind w:left="720"/>
      </w:pPr>
      <w:r>
        <w:rPr>
          <w:rFonts w:ascii="Garamond" w:cs="Garamond" w:eastAsia="Garamond" w:hAnsi="Garamond"/>
          <w:sz w:val="22"/>
          <w:szCs w:val="22"/>
        </w:rPr>
        <w:t xml:space="preserve">St. Basil's Address to Young Men on How to Profit from Greek Literature remains the classic statement of Christian engagement with classical learning. Like bees gathering honey from various flowers, Christians may extract what is useful from pagan authors while leaving aside what is harmful. The criterion is always the moral and theological good of the reader. Education is formation, and formation aims at virtue and godliness.</w:t>
      </w:r>
    </w:p>
    <w:p>
      <w:pPr>
        <w:spacing w:after="200" w:line="276"/>
      </w:pPr>
      <w:r>
        <w:rPr>
          <w:rFonts w:ascii="Garamond" w:cs="Garamond" w:eastAsia="Garamond" w:hAnsi="Garamond"/>
          <w:sz w:val="24"/>
          <w:szCs w:val="24"/>
        </w:rPr>
        <w:t xml:space="preserve">1.1.2.1.4 St. John of Damascus's Systematic Method</w:t>
      </w:r>
    </w:p>
    <w:p>
      <w:pPr>
        <w:spacing w:after="160" w:line="276"/>
        <w:ind w:left="720"/>
      </w:pPr>
      <w:r>
        <w:rPr>
          <w:rFonts w:ascii="Garamond" w:cs="Garamond" w:eastAsia="Garamond" w:hAnsi="Garamond"/>
          <w:sz w:val="22"/>
          <w:szCs w:val="22"/>
        </w:rPr>
        <w:t xml:space="preserve">St. John of Damascus (c. 675 to 749) brought the patristic synthesis to systematic expression in his Fount of Knowledge, comprising the Dialectica (philosophical prolegomena), On Heresies, and the Exact Exposition of the Orthodox Faith. The Dialectica presents philosophical definitions and distinctions as tools for theological precision. Philosophy serves theology by providing conceptual clarity and logical rigor.</w:t>
      </w:r>
    </w:p>
    <w:p>
      <w:pPr>
        <w:spacing w:after="160" w:line="276"/>
        <w:ind w:left="720"/>
      </w:pPr>
      <w:r>
        <w:rPr>
          <w:rFonts w:ascii="Garamond" w:cs="Garamond" w:eastAsia="Garamond" w:hAnsi="Garamond"/>
          <w:sz w:val="22"/>
          <w:szCs w:val="22"/>
        </w:rPr>
        <w:t xml:space="preserve">John's method became normative for Byzantine and subsequently Orthodox theology. Theological work requires philosophical preparation; one must know how to define, distinguish, and argue before attempting to articulate the mysteries of faith. Yet philosophy remains instrumental, never becoming an independent criterion of theological truth. Scripture and tradition judge philosophy, not vice versa.</w:t>
      </w:r>
    </w:p>
    <w:p>
      <w:pPr>
        <w:spacing w:after="200" w:line="276"/>
      </w:pPr>
      <w:r>
        <w:rPr>
          <w:rFonts w:ascii="Garamond" w:cs="Garamond" w:eastAsia="Garamond" w:hAnsi="Garamond"/>
          <w:sz w:val="24"/>
          <w:szCs w:val="24"/>
        </w:rPr>
        <w:t xml:space="preserve">1.1.2.2 Faith Seeking Understanding (Πίστις Ζητοῦσα Σύνεσιν)</w:t>
      </w:r>
    </w:p>
    <w:p>
      <w:pPr>
        <w:spacing w:after="160" w:line="276"/>
        <w:ind w:left="720"/>
      </w:pPr>
      <w:r>
        <w:rPr>
          <w:rFonts w:ascii="Garamond" w:cs="Garamond" w:eastAsia="Garamond" w:hAnsi="Garamond"/>
          <w:sz w:val="22"/>
          <w:szCs w:val="22"/>
        </w:rPr>
        <w:t xml:space="preserve">The relationship of faith and reason is not that of sequential stages, as though one first reasons and then believes, or first believes and then reasons. Rather, faith and understanding interpenetrate in a dynamic process of mutual enrichment. Faith provides the data, the revealed content that reason works to understand. Reason provides the tools, the conceptual apparatus that faith employs for articulation and defense.</w:t>
      </w:r>
    </w:p>
    <w:p>
      <w:pPr>
        <w:spacing w:after="200" w:line="276"/>
      </w:pPr>
      <w:r>
        <w:rPr>
          <w:rFonts w:ascii="Garamond" w:cs="Garamond" w:eastAsia="Garamond" w:hAnsi="Garamond"/>
          <w:sz w:val="24"/>
          <w:szCs w:val="24"/>
        </w:rPr>
        <w:t xml:space="preserve">1.1.2.2.1 The Priority of Faith</w:t>
      </w:r>
    </w:p>
    <w:p>
      <w:pPr>
        <w:spacing w:after="160" w:line="276"/>
        <w:ind w:left="720"/>
      </w:pPr>
      <w:r>
        <w:rPr>
          <w:rFonts w:ascii="Garamond" w:cs="Garamond" w:eastAsia="Garamond" w:hAnsi="Garamond"/>
          <w:sz w:val="22"/>
          <w:szCs w:val="22"/>
        </w:rPr>
        <w:t xml:space="preserve">Faith possesses a certain priority, not merely temporal but logical and ontological. One cannot understand what one has not first received. The content of Christian faith, the triune God, the incarnation, the resurrection, transcends what reason could discover unaided. These truths are known by revelation, accepted in faith, and only then explored by reason.</w:t>
      </w:r>
    </w:p>
    <w:p>
      <w:pPr>
        <w:spacing w:after="160" w:line="276"/>
        <w:ind w:left="720"/>
      </w:pPr>
      <w:r>
        <w:rPr>
          <w:rFonts w:ascii="Garamond" w:cs="Garamond" w:eastAsia="Garamond" w:hAnsi="Garamond"/>
          <w:sz w:val="22"/>
          <w:szCs w:val="22"/>
        </w:rPr>
        <w:t xml:space="preserve">This priority does not make faith irrational. Faith is not belief without evidence but belief based on the evidence of divine self disclosure. The witnesses to revelation, the prophets and apostles, the Church through the ages, the transformed lives of the saints, constitute a body of evidence that reason can evaluate. Faith is not blind but trusting, not arbitrary but grounded.</w:t>
      </w:r>
    </w:p>
    <w:p>
      <w:pPr>
        <w:spacing w:after="200" w:line="276"/>
      </w:pPr>
      <w:r>
        <w:rPr>
          <w:rFonts w:ascii="Garamond" w:cs="Garamond" w:eastAsia="Garamond" w:hAnsi="Garamond"/>
          <w:sz w:val="24"/>
          <w:szCs w:val="24"/>
        </w:rPr>
        <w:t xml:space="preserve">1.1.2.2.2 The Legitimacy of Inquiry</w:t>
      </w:r>
    </w:p>
    <w:p>
      <w:pPr>
        <w:spacing w:after="160" w:line="276"/>
        <w:ind w:left="720"/>
      </w:pPr>
      <w:r>
        <w:rPr>
          <w:rFonts w:ascii="Garamond" w:cs="Garamond" w:eastAsia="Garamond" w:hAnsi="Garamond"/>
          <w:sz w:val="22"/>
          <w:szCs w:val="22"/>
        </w:rPr>
        <w:t xml:space="preserve">Having received the deposit of faith, the believer is not forbidden but rather encouraged to seek deeper understanding. The mysteries of faith are inexhaustible; the more one penetrates them, the more remains to be discovered. Theological inquiry is not faithless curiosity but faithful exploration, the loving gaze of the bride seeking to know her Bridegroom more fully.</w:t>
      </w:r>
    </w:p>
    <w:p>
      <w:pPr>
        <w:spacing w:after="160" w:line="276"/>
        <w:ind w:left="720"/>
      </w:pPr>
      <w:r>
        <w:rPr>
          <w:rFonts w:ascii="Garamond" w:cs="Garamond" w:eastAsia="Garamond" w:hAnsi="Garamond"/>
          <w:sz w:val="22"/>
          <w:szCs w:val="22"/>
        </w:rPr>
        <w:t xml:space="preserve">This inquiry may employ every tool that reason provides: logic, philosophy, scientific knowledge, historical research, linguistic analysis. Nothing human is alien to theology, for the Logos who is theology's object and ground is also the source of all human rationality. The question is always how these tools are used, whether in service of faith or as substitutes for it.</w:t>
      </w:r>
    </w:p>
    <w:p>
      <w:pPr>
        <w:spacing w:after="200" w:line="276"/>
      </w:pPr>
      <w:r>
        <w:rPr>
          <w:rFonts w:ascii="Garamond" w:cs="Garamond" w:eastAsia="Garamond" w:hAnsi="Garamond"/>
          <w:sz w:val="24"/>
          <w:szCs w:val="24"/>
        </w:rPr>
        <w:t xml:space="preserve">1.1.2.2.3 The Limits of Rationality</w:t>
      </w:r>
    </w:p>
    <w:p>
      <w:pPr>
        <w:spacing w:after="160" w:line="276"/>
        <w:ind w:left="720"/>
      </w:pPr>
      <w:r>
        <w:rPr>
          <w:rFonts w:ascii="Garamond" w:cs="Garamond" w:eastAsia="Garamond" w:hAnsi="Garamond"/>
          <w:sz w:val="22"/>
          <w:szCs w:val="22"/>
        </w:rPr>
        <w:t xml:space="preserve">Reason, however legitimate its theological employment, has inherent limits that must be acknowledged. These limits are not merely practical, the result of human finitude and sin, but principled, rooted in the nature of the divine object. God transcends all categories; the infinite cannot be comprehended by the finite; the uncreated exceeds all creaturely measure.</w:t>
      </w:r>
    </w:p>
    <w:p>
      <w:pPr>
        <w:spacing w:after="160" w:line="276"/>
        <w:ind w:left="720"/>
      </w:pPr>
      <w:r>
        <w:rPr>
          <w:rFonts w:ascii="Garamond" w:cs="Garamond" w:eastAsia="Garamond" w:hAnsi="Garamond"/>
          <w:sz w:val="22"/>
          <w:szCs w:val="22"/>
        </w:rPr>
        <w:t xml:space="preserve">The recognition of these limits is not anti intellectualism but intellectual honesty. It is reason itself that recognizes its limits when it confronts the truly transcendent. The most rational stance before the divine mystery is wonder, the acknowledgment that one faces something greater than can be thought. Philosophy at its best has always known this; Socratic wisdom is the knowledge of ignorance.</w:t>
      </w:r>
    </w:p>
    <w:p>
      <w:pPr>
        <w:spacing w:after="200" w:line="276"/>
      </w:pPr>
      <w:r>
        <w:rPr>
          <w:rFonts w:ascii="Garamond" w:cs="Garamond" w:eastAsia="Garamond" w:hAnsi="Garamond"/>
          <w:sz w:val="24"/>
          <w:szCs w:val="24"/>
        </w:rPr>
        <w:t xml:space="preserve">1.1.2.2.4 The Transcendence of Mystery</w:t>
      </w:r>
    </w:p>
    <w:p>
      <w:pPr>
        <w:spacing w:after="160" w:line="276"/>
        <w:ind w:left="720"/>
      </w:pPr>
      <w:r>
        <w:rPr>
          <w:rFonts w:ascii="Garamond" w:cs="Garamond" w:eastAsia="Garamond" w:hAnsi="Garamond"/>
          <w:sz w:val="22"/>
          <w:szCs w:val="22"/>
        </w:rPr>
        <w:t xml:space="preserve">Christian mystery (μυστήριον) is not the merely puzzling that might someday be solved but the inexhaustibly deep that invites eternal exploration. The Trinity is not a logical contradiction to be resolved but a divine depth to be entered. The Incarnation is not a conceptual problem to be explained away but a cosmic event to be contemplated in wonder.</w:t>
      </w:r>
    </w:p>
    <w:p>
      <w:pPr>
        <w:spacing w:after="160" w:line="276"/>
        <w:ind w:left="720"/>
      </w:pPr>
      <w:r>
        <w:rPr>
          <w:rFonts w:ascii="Garamond" w:cs="Garamond" w:eastAsia="Garamond" w:hAnsi="Garamond"/>
          <w:sz w:val="22"/>
          <w:szCs w:val="22"/>
        </w:rPr>
        <w:t xml:space="preserve">Theological understanding therefore never completes itself but opens onto further mystery. Each answer raises new questions; each insight reveals new depths. This is not frustration but fulfillment. The human intellect is made for the infinite; only an inexhaustible object can truly satisfy it. The mysteries of faith provide precisely such an object, and the endless exploration of them constitutes the joy of theological inquiry.</w:t>
      </w:r>
    </w:p>
    <w:p>
      <w:r>
        <w:br w:type="page"/>
      </w:r>
    </w:p>
    <w:p>
      <w:pPr>
        <w:pStyle w:val="Heading5"/>
      </w:pPr>
      <w:r>
        <w:t xml:space="preserve">1.1.3 Scripture as Divine-Human Communication</w:t>
      </w:r>
    </w:p>
    <w:p>
      <w:pPr>
        <w:spacing w:after="200" w:line="276"/>
      </w:pPr>
      <w:r>
        <w:rPr>
          <w:rFonts w:ascii="Garamond" w:cs="Garamond" w:eastAsia="Garamond" w:hAnsi="Garamond"/>
          <w:sz w:val="24"/>
          <w:szCs w:val="24"/>
        </w:rPr>
        <w:t xml:space="preserve">Having established the epistemological framework, we turn to the specific question of how Scripture functions as a medium of divine knowledge. Holy Scripture occupies a unique position in Orthodox theology: it is both fully divine, the very Word of God, and fully human, written by human authors in human languages within human historical contexts. This theandric (divine human) character of Scripture parallels the theandric character of Christ himself, suggesting that proper understanding requires a Chalcedonian grammar that neither confuses nor separates the divine and human elements.</w:t>
      </w:r>
    </w:p>
    <w:p>
      <w:pPr>
        <w:spacing w:after="200" w:line="276"/>
      </w:pPr>
      <w:r>
        <w:rPr>
          <w:rFonts w:ascii="Garamond" w:cs="Garamond" w:eastAsia="Garamond" w:hAnsi="Garamond"/>
          <w:sz w:val="24"/>
          <w:szCs w:val="24"/>
        </w:rPr>
        <w:t xml:space="preserve">1.1.3.1 The Theandric Character of Scripture</w:t>
      </w:r>
    </w:p>
    <w:p>
      <w:pPr>
        <w:spacing w:after="160" w:line="276"/>
        <w:ind w:left="720"/>
      </w:pPr>
      <w:r>
        <w:rPr>
          <w:rFonts w:ascii="Garamond" w:cs="Garamond" w:eastAsia="Garamond" w:hAnsi="Garamond"/>
          <w:sz w:val="22"/>
          <w:szCs w:val="22"/>
        </w:rPr>
        <w:t xml:space="preserve">Just as the one Person of Christ possesses two natures, divine and human, without confusion, mixture, separation, or division, so the one Scripture possesses both divine and human dimensions in a unity that preserves the integrity of each. The divine authorship does not overwhelm or abolish the human authorship; the human authorship does not diminish or compromise the divine. Each is fully present in a mysterious union.</w:t>
      </w:r>
    </w:p>
    <w:p>
      <w:pPr>
        <w:spacing w:after="200" w:line="276"/>
      </w:pPr>
      <w:r>
        <w:rPr>
          <w:rFonts w:ascii="Garamond" w:cs="Garamond" w:eastAsia="Garamond" w:hAnsi="Garamond"/>
          <w:sz w:val="24"/>
          <w:szCs w:val="24"/>
        </w:rPr>
        <w:t xml:space="preserve">1.1.3.1.1 Divine Authorship</w:t>
      </w:r>
    </w:p>
    <w:p>
      <w:pPr>
        <w:spacing w:after="160" w:line="276"/>
        <w:ind w:left="720"/>
      </w:pPr>
      <w:r>
        <w:rPr>
          <w:rFonts w:ascii="Garamond" w:cs="Garamond" w:eastAsia="Garamond" w:hAnsi="Garamond"/>
          <w:sz w:val="22"/>
          <w:szCs w:val="22"/>
        </w:rPr>
        <w:t xml:space="preserve">Scripture is truly God's word, not merely human words about God. When the prophets declare "Thus says the Lord," they assert not their own authority but divine authority. The Scriptures do not merely contain revelation; they are revelation. In reading and hearing Scripture, the Church encounters God himself speaking.</w:t>
      </w:r>
    </w:p>
    <w:p>
      <w:pPr>
        <w:spacing w:after="160" w:line="276"/>
        <w:ind w:left="720"/>
      </w:pPr>
      <w:r>
        <w:rPr>
          <w:rFonts w:ascii="Garamond" w:cs="Garamond" w:eastAsia="Garamond" w:hAnsi="Garamond"/>
          <w:sz w:val="22"/>
          <w:szCs w:val="22"/>
        </w:rPr>
        <w:t xml:space="preserve">This divine authorship grounds the unique authority of Scripture in the Church. Other writings, however valuable, are human responses to revelation; Scripture is revelation itself. The councils, the fathers, the liturgy all presuppose and serve Scripture; Scripture presupposes nothing human but only the divine intention to communicate.</w:t>
      </w:r>
    </w:p>
    <w:p>
      <w:pPr>
        <w:spacing w:after="200" w:line="276"/>
      </w:pPr>
      <w:r>
        <w:rPr>
          <w:rFonts w:ascii="Garamond" w:cs="Garamond" w:eastAsia="Garamond" w:hAnsi="Garamond"/>
          <w:sz w:val="24"/>
          <w:szCs w:val="24"/>
        </w:rPr>
        <w:t xml:space="preserve">1.1.3.1.2 Human Mediation</w:t>
      </w:r>
    </w:p>
    <w:p>
      <w:pPr>
        <w:spacing w:after="160" w:line="276"/>
        <w:ind w:left="720"/>
      </w:pPr>
      <w:r>
        <w:rPr>
          <w:rFonts w:ascii="Garamond" w:cs="Garamond" w:eastAsia="Garamond" w:hAnsi="Garamond"/>
          <w:sz w:val="22"/>
          <w:szCs w:val="22"/>
        </w:rPr>
        <w:t xml:space="preserve">Yet this divine word comes through human mediation. Moses, David, Isaiah, Paul: each author contributed his distinctive voice, vocabulary, style, and perspective. The Scriptures bear the marks of their human origins: Hebrew poetry and Greek rhetoric, ancient Near Eastern imagery and Hellenistic concepts, the concerns of particular communities at particular times.</w:t>
      </w:r>
    </w:p>
    <w:p>
      <w:pPr>
        <w:spacing w:after="160" w:line="276"/>
        <w:ind w:left="720"/>
      </w:pPr>
      <w:r>
        <w:rPr>
          <w:rFonts w:ascii="Garamond" w:cs="Garamond" w:eastAsia="Garamond" w:hAnsi="Garamond"/>
          <w:sz w:val="22"/>
          <w:szCs w:val="22"/>
        </w:rPr>
        <w:t xml:space="preserve">This human element is not regrettable limitation but positive contribution. God chose to speak through humans, not despite their humanity but through it. The particularity of the human authors opens onto universality; their limitations become vehicles of unlimited truth. The divine condescension to human language is parallel to the Incarnation itself.</w:t>
      </w:r>
    </w:p>
    <w:p>
      <w:pPr>
        <w:spacing w:after="200" w:line="276"/>
      </w:pPr>
      <w:r>
        <w:rPr>
          <w:rFonts w:ascii="Garamond" w:cs="Garamond" w:eastAsia="Garamond" w:hAnsi="Garamond"/>
          <w:sz w:val="24"/>
          <w:szCs w:val="24"/>
        </w:rPr>
        <w:t xml:space="preserve">1.1.3.1.3 The Analogy to the Incarnation</w:t>
      </w:r>
    </w:p>
    <w:p>
      <w:pPr>
        <w:spacing w:after="160" w:line="276"/>
        <w:ind w:left="720"/>
      </w:pPr>
      <w:r>
        <w:rPr>
          <w:rFonts w:ascii="Garamond" w:cs="Garamond" w:eastAsia="Garamond" w:hAnsi="Garamond"/>
          <w:sz w:val="22"/>
          <w:szCs w:val="22"/>
        </w:rPr>
        <w:t xml:space="preserve">The comparison of Scripture to the Incarnation illuminates both. In Christ, the eternal Logos assumed human nature without ceasing to be divine; in Scripture, the divine message assumes human words without ceasing to be divine. The humanity of Christ is not disguise or appearance but genuine human nature; the humanity of Scripture is not defect or error but genuine human expression.</w:t>
      </w:r>
    </w:p>
    <w:p>
      <w:pPr>
        <w:spacing w:after="160" w:line="276"/>
        <w:ind w:left="720"/>
      </w:pPr>
      <w:r>
        <w:rPr>
          <w:rFonts w:ascii="Garamond" w:cs="Garamond" w:eastAsia="Garamond" w:hAnsi="Garamond"/>
          <w:sz w:val="22"/>
          <w:szCs w:val="22"/>
        </w:rPr>
        <w:t xml:space="preserve">This analogy suggests that just as we cannot separate Christ's divinity from his humanity, seeking a divine core beneath human covering, so we cannot separate Scripture's divine meaning from its human form. The meaning is in the words, not behind them. Interpretation must attend to the human particularity as the very medium of divine communication.</w:t>
      </w:r>
    </w:p>
    <w:p>
      <w:pPr>
        <w:spacing w:after="200" w:line="276"/>
      </w:pPr>
      <w:r>
        <w:rPr>
          <w:rFonts w:ascii="Garamond" w:cs="Garamond" w:eastAsia="Garamond" w:hAnsi="Garamond"/>
          <w:sz w:val="24"/>
          <w:szCs w:val="24"/>
        </w:rPr>
        <w:t xml:space="preserve">1.1.3.1.4 The Chalcedonian Grammar Applied to Scripture</w:t>
      </w:r>
    </w:p>
    <w:p>
      <w:pPr>
        <w:spacing w:after="160" w:line="276"/>
        <w:ind w:left="720"/>
      </w:pPr>
      <w:r>
        <w:rPr>
          <w:rFonts w:ascii="Garamond" w:cs="Garamond" w:eastAsia="Garamond" w:hAnsi="Garamond"/>
          <w:sz w:val="22"/>
          <w:szCs w:val="22"/>
        </w:rPr>
        <w:t xml:space="preserve">The four adverbs of the Chalcedonian definition, without confusion, without mixture, without division, without separation, provide a grammar for speaking of Scripture's dual character. We must neither confuse divine and human authorship, as though the human authors were mere instruments without personal contribution, nor mix them, as though the resulting text were neither fully divine nor fully human. Equally, we must neither divide them, treating the divine and human dimensions as independently accessible, nor separate them, as though we could subtract the human to reach the purely divine.</w:t>
      </w:r>
    </w:p>
    <w:p>
      <w:pPr>
        <w:spacing w:after="160" w:line="276"/>
        <w:ind w:left="720"/>
      </w:pPr>
      <w:r>
        <w:rPr>
          <w:rFonts w:ascii="Garamond" w:cs="Garamond" w:eastAsia="Garamond" w:hAnsi="Garamond"/>
          <w:sz w:val="22"/>
          <w:szCs w:val="22"/>
        </w:rPr>
        <w:t xml:space="preserve">This grammar excludes both fundamentalist and liberal errors. Fundamentalism tends toward confusion, treating every word as directly divine dictation and ignoring human factors. Liberalism tends toward separation, treating the human dimension as the real and the divine as mythological overlay. The Orthodox approach maintains the mystery of union: one Scripture, divine and human.</w:t>
      </w:r>
    </w:p>
    <w:p>
      <w:pPr>
        <w:spacing w:after="200" w:line="276"/>
      </w:pPr>
      <w:r>
        <w:rPr>
          <w:rFonts w:ascii="Garamond" w:cs="Garamond" w:eastAsia="Garamond" w:hAnsi="Garamond"/>
          <w:sz w:val="24"/>
          <w:szCs w:val="24"/>
        </w:rPr>
        <w:t xml:space="preserve">1.1.3.2 Inspiration (Θεοπνευστία)</w:t>
      </w:r>
    </w:p>
    <w:p>
      <w:pPr>
        <w:spacing w:after="160" w:line="276"/>
        <w:ind w:left="720"/>
      </w:pPr>
      <w:r>
        <w:rPr>
          <w:rFonts w:ascii="Garamond" w:cs="Garamond" w:eastAsia="Garamond" w:hAnsi="Garamond"/>
          <w:sz w:val="22"/>
          <w:szCs w:val="22"/>
        </w:rPr>
        <w:t xml:space="preserve">The doctrine of inspiration attempts to articulate how Scripture can be both divine and human. The classical text is 2 Timothy 3:16: "All Scripture is inspired by God" (πᾶσα γραφὴ θεόπνευστος). The word θεόπνευστος, literally "God breathed," suggests that Scripture proceeds from the very breath or Spirit of God. The image evokes Genesis 2:7, where God breathes into Adam the breath of life; Scripture is animated by the same divine breath.</w:t>
      </w:r>
    </w:p>
    <w:p>
      <w:pPr>
        <w:spacing w:after="200" w:line="276"/>
      </w:pPr>
      <w:r>
        <w:rPr>
          <w:rFonts w:ascii="Garamond" w:cs="Garamond" w:eastAsia="Garamond" w:hAnsi="Garamond"/>
          <w:sz w:val="24"/>
          <w:szCs w:val="24"/>
        </w:rPr>
        <w:t xml:space="preserve">1.1.3.2.1 The Breath of God Upon the Text</w:t>
      </w:r>
    </w:p>
    <w:p>
      <w:pPr>
        <w:spacing w:after="160" w:line="276"/>
        <w:ind w:left="720"/>
      </w:pPr>
      <w:r>
        <w:rPr>
          <w:rFonts w:ascii="Garamond" w:cs="Garamond" w:eastAsia="Garamond" w:hAnsi="Garamond"/>
          <w:sz w:val="22"/>
          <w:szCs w:val="22"/>
        </w:rPr>
        <w:t xml:space="preserve">Inspiration is not dictation but breathing. God did not dictate words to passive secretaries but breathed his Spirit into active human authors. The result is that the Scriptures bear the mark of divine breath throughout, not merely in certain passages or aspects but in their entirety. The breath is not added to the human words but is present in and through them.</w:t>
      </w:r>
    </w:p>
    <w:p>
      <w:pPr>
        <w:spacing w:after="160" w:line="276"/>
        <w:ind w:left="720"/>
      </w:pPr>
      <w:r>
        <w:rPr>
          <w:rFonts w:ascii="Garamond" w:cs="Garamond" w:eastAsia="Garamond" w:hAnsi="Garamond"/>
          <w:sz w:val="22"/>
          <w:szCs w:val="22"/>
        </w:rPr>
        <w:t xml:space="preserve">This breathing is continuous, extending from the original composition through the transmission and reception of the text. The Spirit who inspired the authors also guides the Church in preserving, canonizing, and interpreting Scripture. Inspiration is not a past event but an ongoing reality, the Spirit's perpetual presence in the Word.</w:t>
      </w:r>
    </w:p>
    <w:p>
      <w:pPr>
        <w:spacing w:after="200" w:line="276"/>
      </w:pPr>
      <w:r>
        <w:rPr>
          <w:rFonts w:ascii="Garamond" w:cs="Garamond" w:eastAsia="Garamond" w:hAnsi="Garamond"/>
          <w:sz w:val="24"/>
          <w:szCs w:val="24"/>
        </w:rPr>
        <w:t xml:space="preserve">1.1.3.2.2 The Cooperation of Divine and Human Will</w:t>
      </w:r>
    </w:p>
    <w:p>
      <w:pPr>
        <w:spacing w:after="160" w:line="276"/>
        <w:ind w:left="720"/>
      </w:pPr>
      <w:r>
        <w:rPr>
          <w:rFonts w:ascii="Garamond" w:cs="Garamond" w:eastAsia="Garamond" w:hAnsi="Garamond"/>
          <w:sz w:val="22"/>
          <w:szCs w:val="22"/>
        </w:rPr>
        <w:t xml:space="preserve">The inspired authors were not overridden but cooperated. Their faculties were engaged, not suspended. They researched, reflected, composed, revised. Luke explicitly mentions his investigation of eyewitness testimony (Luke 1:1 to 4). Paul dictates, signs, and occasionally forgets whom he has baptized (1 Corinthians 1:14 to 16). These are genuine human activities, yet the Spirit worked through them.</w:t>
      </w:r>
    </w:p>
    <w:p>
      <w:pPr>
        <w:spacing w:after="160" w:line="276"/>
        <w:ind w:left="720"/>
      </w:pPr>
      <w:r>
        <w:rPr>
          <w:rFonts w:ascii="Garamond" w:cs="Garamond" w:eastAsia="Garamond" w:hAnsi="Garamond"/>
          <w:sz w:val="22"/>
          <w:szCs w:val="22"/>
        </w:rPr>
        <w:t xml:space="preserve">This cooperation or synergy characterizes all divine human interaction in Orthodox understanding. God does not coerce but invites; humans do not contribute independently but respond to grace. The inspired authors were neither autonomous authors nor passive instruments but co workers with God, their freedom enhanced rather than diminished by divine action.</w:t>
      </w:r>
    </w:p>
    <w:p>
      <w:pPr>
        <w:spacing w:after="200" w:line="276"/>
      </w:pPr>
      <w:r>
        <w:rPr>
          <w:rFonts w:ascii="Garamond" w:cs="Garamond" w:eastAsia="Garamond" w:hAnsi="Garamond"/>
          <w:sz w:val="24"/>
          <w:szCs w:val="24"/>
        </w:rPr>
        <w:t xml:space="preserve">1.1.3.2.3 The Mystery of Synergy in Authorship</w:t>
      </w:r>
    </w:p>
    <w:p>
      <w:pPr>
        <w:spacing w:after="160" w:line="276"/>
        <w:ind w:left="720"/>
      </w:pPr>
      <w:r>
        <w:rPr>
          <w:rFonts w:ascii="Garamond" w:cs="Garamond" w:eastAsia="Garamond" w:hAnsi="Garamond"/>
          <w:sz w:val="22"/>
          <w:szCs w:val="22"/>
        </w:rPr>
        <w:t xml:space="preserve">How divine sovereignty and human freedom combine in inspiration remains mysterious, just as their combination in salvation remains mysterious. We can describe but not fully explain. The divine initiative is primary; without God's intention to communicate, there would be no Scripture. Yet the human response is genuine; without the prophets' and apostles' free acceptance of their vocation, God's intention would not have been realized in these texts.</w:t>
      </w:r>
    </w:p>
    <w:p>
      <w:pPr>
        <w:spacing w:after="160" w:line="276"/>
        <w:ind w:left="720"/>
      </w:pPr>
      <w:r>
        <w:rPr>
          <w:rFonts w:ascii="Garamond" w:cs="Garamond" w:eastAsia="Garamond" w:hAnsi="Garamond"/>
          <w:sz w:val="22"/>
          <w:szCs w:val="22"/>
        </w:rPr>
        <w:t xml:space="preserve">The mystery is not irrationality but depth. Every genuine personal relationship involves mysterious coinherence of wills; divine human relationship involves this infinitely. The doctrine of inspiration does not solve this mystery but preserves it, refusing reductions to either divine determinism or human autonomy.</w:t>
      </w:r>
    </w:p>
    <w:p>
      <w:pPr>
        <w:spacing w:after="200" w:line="276"/>
      </w:pPr>
      <w:r>
        <w:rPr>
          <w:rFonts w:ascii="Garamond" w:cs="Garamond" w:eastAsia="Garamond" w:hAnsi="Garamond"/>
          <w:sz w:val="24"/>
          <w:szCs w:val="24"/>
        </w:rPr>
        <w:t xml:space="preserve">1.1.3.2.4 The Extension of Inspiration to Translation (LXX Question)</w:t>
      </w:r>
    </w:p>
    <w:p>
      <w:pPr>
        <w:spacing w:after="160" w:line="276"/>
        <w:ind w:left="720"/>
      </w:pPr>
      <w:r>
        <w:rPr>
          <w:rFonts w:ascii="Garamond" w:cs="Garamond" w:eastAsia="Garamond" w:hAnsi="Garamond"/>
          <w:sz w:val="22"/>
          <w:szCs w:val="22"/>
        </w:rPr>
        <w:t xml:space="preserve">A distinctive question in Orthodox theology concerns whether inspiration extends beyond the original Hebrew and Greek texts to include translations, specifically the Septuagint (LXX), the Greek translation of the Hebrew Scriptures produced in Alexandria during the third and second centuries BC. The LXX was the Bible of the early Church; the New Testament authors typically quote from it rather than the Hebrew. Church tradition has treated it as authoritative, sometimes preferring its readings to those of the Hebrew text.</w:t>
      </w:r>
    </w:p>
    <w:p>
      <w:pPr>
        <w:spacing w:after="160" w:line="276"/>
        <w:ind w:left="720"/>
      </w:pPr>
      <w:r>
        <w:rPr>
          <w:rFonts w:ascii="Garamond" w:cs="Garamond" w:eastAsia="Garamond" w:hAnsi="Garamond"/>
          <w:sz w:val="22"/>
          <w:szCs w:val="22"/>
        </w:rPr>
        <w:t xml:space="preserve">The Letter of Aristeas reports that the seventy (or seventy two) translators worked independently yet produced identical translations, a miracle attesting divine guidance. While this account is legendary, it expresses a theological conviction: the LXX is not merely a translation but a providentially guided development of revelation, preparing the Greek speaking world for the Gospel. Whether this constitutes inspiration in the strict sense or a lesser degree of divine guidance is debated, but Orthodox practice treats the LXX as the authoritative Old Testament text for liturgical use.</w:t>
      </w:r>
    </w:p>
    <w:p>
      <w:r>
        <w:br w:type="page"/>
      </w:r>
    </w:p>
    <w:p>
      <w:pPr>
        <w:pStyle w:val="Heading4"/>
      </w:pPr>
      <w:r>
        <w:t xml:space="preserve">1.2 The Integration of Faith and Learning</w:t>
      </w:r>
    </w:p>
    <w:p>
      <w:pPr>
        <w:spacing w:after="200" w:line="276"/>
      </w:pPr>
      <w:r>
        <w:rPr>
          <w:rFonts w:ascii="Garamond" w:cs="Garamond" w:eastAsia="Garamond" w:hAnsi="Garamond"/>
          <w:sz w:val="24"/>
          <w:szCs w:val="24"/>
        </w:rPr>
        <w:t xml:space="preserve">The epistemological foundations established above provide the theoretical basis for integrating faith and secular learning. Orthodox Christianity has consistently affirmed both the value of such learning and the need for its transformation through faith. This section traces the history of Orthodox intellectual engagement from the patristic era through Byzantium to the present, establishing the precedent and principles for the synthetic approach employed in this work.</w:t>
      </w:r>
    </w:p>
    <w:p>
      <w:pPr>
        <w:pStyle w:val="Heading5"/>
      </w:pPr>
      <w:r>
        <w:t xml:space="preserve">1.2.1 The Patristic Model of Intellectual Engagement</w:t>
      </w:r>
    </w:p>
    <w:p>
      <w:pPr>
        <w:spacing w:after="200" w:line="276"/>
      </w:pPr>
      <w:r>
        <w:rPr>
          <w:rFonts w:ascii="Garamond" w:cs="Garamond" w:eastAsia="Garamond" w:hAnsi="Garamond"/>
          <w:sz w:val="24"/>
          <w:szCs w:val="24"/>
        </w:rPr>
        <w:t xml:space="preserve">1.2.1.1 The Spoiling of the Egyptians</w:t>
      </w:r>
    </w:p>
    <w:p>
      <w:pPr>
        <w:spacing w:after="160" w:line="276"/>
        <w:ind w:left="720"/>
      </w:pPr>
      <w:r>
        <w:rPr>
          <w:rFonts w:ascii="Garamond" w:cs="Garamond" w:eastAsia="Garamond" w:hAnsi="Garamond"/>
          <w:sz w:val="22"/>
          <w:szCs w:val="22"/>
        </w:rPr>
        <w:t xml:space="preserve">A favorite patristic image for the Christian appropriation of secular learning derives from Exodus 12:35 to 36, where the Israelites departing Egypt took silver, gold, and clothing from the Egyptians. As the Israelites used Egyptian wealth for the construction of the tabernacle, so Christians may use pagan learning for the building of theology. The image authorizes appropriation while maintaining distinction: the gold remains gold, but its use is transformed.</w:t>
      </w:r>
    </w:p>
    <w:p>
      <w:pPr>
        <w:spacing w:after="200" w:line="276"/>
      </w:pPr>
      <w:r>
        <w:rPr>
          <w:rFonts w:ascii="Garamond" w:cs="Garamond" w:eastAsia="Garamond" w:hAnsi="Garamond"/>
          <w:sz w:val="24"/>
          <w:szCs w:val="24"/>
        </w:rPr>
        <w:t xml:space="preserve">1.2.1.1.1 Origen's Articulation</w:t>
      </w:r>
    </w:p>
    <w:p>
      <w:pPr>
        <w:spacing w:after="160" w:line="276"/>
        <w:ind w:left="720"/>
      </w:pPr>
      <w:r>
        <w:rPr>
          <w:rFonts w:ascii="Garamond" w:cs="Garamond" w:eastAsia="Garamond" w:hAnsi="Garamond"/>
          <w:sz w:val="22"/>
          <w:szCs w:val="22"/>
        </w:rPr>
        <w:t xml:space="preserve">Origen developed this image systematically, arguing that Christians should take from Greek philosophy whatever can serve the knowledge of God. Like the Hebrews who learned the wisdom of Egypt, Christians educated in philosophy bring valuable tools to theological work. Yet discernment is required: not everything Egyptian is gold. Some must be left behind as idolatrous or harmful.</w:t>
      </w:r>
    </w:p>
    <w:p>
      <w:pPr>
        <w:spacing w:after="160" w:line="276"/>
        <w:ind w:left="720"/>
      </w:pPr>
      <w:r>
        <w:rPr>
          <w:rFonts w:ascii="Garamond" w:cs="Garamond" w:eastAsia="Garamond" w:hAnsi="Garamond"/>
          <w:sz w:val="22"/>
          <w:szCs w:val="22"/>
        </w:rPr>
        <w:t xml:space="preserve">Origen's own practice exemplified this approach. Trained in the full curriculum of Greek learning, including philosophy, grammar, and the natural sciences, he employed this training in biblical interpretation and theological construction. His allegorical method, for instance, owes much to the techniques developed by pagan interpreters of Homer. Yet Origen transformed these techniques through christological application.</w:t>
      </w:r>
    </w:p>
    <w:p>
      <w:pPr>
        <w:spacing w:after="200" w:line="276"/>
      </w:pPr>
      <w:r>
        <w:rPr>
          <w:rFonts w:ascii="Garamond" w:cs="Garamond" w:eastAsia="Garamond" w:hAnsi="Garamond"/>
          <w:sz w:val="24"/>
          <w:szCs w:val="24"/>
        </w:rPr>
        <w:t xml:space="preserve">1.2.1.1.2 St. Augustine's Development</w:t>
      </w:r>
    </w:p>
    <w:p>
      <w:pPr>
        <w:spacing w:after="160" w:line="276"/>
        <w:ind w:left="720"/>
      </w:pPr>
      <w:r>
        <w:rPr>
          <w:rFonts w:ascii="Garamond" w:cs="Garamond" w:eastAsia="Garamond" w:hAnsi="Garamond"/>
          <w:sz w:val="22"/>
          <w:szCs w:val="22"/>
        </w:rPr>
        <w:t xml:space="preserve">St. Augustine provided the definitive Western formulation in his De Doctrina Christiana. The liberal arts, rhetoric, philosophy, even elements of pagan religion that contain truth all belong by right to Christians and may be claimed for Christian use. "If those who are called philosophers, especially the Platonists, have said things which are true and consistent with our faith, we must not reject them."</w:t>
      </w:r>
    </w:p>
    <w:p>
      <w:pPr>
        <w:spacing w:after="160" w:line="276"/>
        <w:ind w:left="720"/>
      </w:pPr>
      <w:r>
        <w:rPr>
          <w:rFonts w:ascii="Garamond" w:cs="Garamond" w:eastAsia="Garamond" w:hAnsi="Garamond"/>
          <w:sz w:val="22"/>
          <w:szCs w:val="22"/>
        </w:rPr>
        <w:t xml:space="preserve">Augustine's own intellectual journey, from Ciceronian rhetoric through Manichaean mythology and Neoplatonic philosophy to Christian faith, illustrated the positive role secular learning could play in preparation for the Gospel. Yet he was equally clear that philosophy remains preparatory; it cannot of itself attain the truths of faith, which require revelation and grace.</w:t>
      </w:r>
    </w:p>
    <w:p>
      <w:pPr>
        <w:spacing w:after="200" w:line="276"/>
      </w:pPr>
      <w:r>
        <w:rPr>
          <w:rFonts w:ascii="Garamond" w:cs="Garamond" w:eastAsia="Garamond" w:hAnsi="Garamond"/>
          <w:sz w:val="24"/>
          <w:szCs w:val="24"/>
        </w:rPr>
        <w:t xml:space="preserve">1.2.1.1.3 St. Basil's Address to Young Men</w:t>
      </w:r>
    </w:p>
    <w:p>
      <w:pPr>
        <w:spacing w:after="160" w:line="276"/>
        <w:ind w:left="720"/>
      </w:pPr>
      <w:r>
        <w:rPr>
          <w:rFonts w:ascii="Garamond" w:cs="Garamond" w:eastAsia="Garamond" w:hAnsi="Garamond"/>
          <w:sz w:val="22"/>
          <w:szCs w:val="22"/>
        </w:rPr>
        <w:t xml:space="preserve">St. Basil the Great composed his Address to Young Men on How They Might Derive Profit from Pagan Literature specifically to guide Christian youth in their classical education. Using the image of bees gathering honey from various flowers while avoiding poison, Basil counseled selective appropriation. Students should take from pagan authors whatever promotes virtue and truth while avoiding whatever is contrary to Christian faith and morals.</w:t>
      </w:r>
    </w:p>
    <w:p>
      <w:pPr>
        <w:spacing w:after="160" w:line="276"/>
        <w:ind w:left="720"/>
      </w:pPr>
      <w:r>
        <w:rPr>
          <w:rFonts w:ascii="Garamond" w:cs="Garamond" w:eastAsia="Garamond" w:hAnsi="Garamond"/>
          <w:sz w:val="22"/>
          <w:szCs w:val="22"/>
        </w:rPr>
        <w:t xml:space="preserve">Basil's approach was neither wholesale rejection nor uncritical acceptance but discerning selection. The criterion was always the telos of Christian formation. Education serves the soul's ascent toward God; whatever genuinely promotes this ascent may be used; whatever hinders it must be rejected. This teleological criterion provides a principle of selection applicable in any era.</w:t>
      </w:r>
    </w:p>
    <w:p>
      <w:pPr>
        <w:spacing w:after="200" w:line="276"/>
      </w:pPr>
      <w:r>
        <w:rPr>
          <w:rFonts w:ascii="Garamond" w:cs="Garamond" w:eastAsia="Garamond" w:hAnsi="Garamond"/>
          <w:sz w:val="24"/>
          <w:szCs w:val="24"/>
        </w:rPr>
        <w:t xml:space="preserve">1.2.1.1.4 The Limits of Appropriation</w:t>
      </w:r>
    </w:p>
    <w:p>
      <w:pPr>
        <w:spacing w:after="160" w:line="276"/>
        <w:ind w:left="720"/>
      </w:pPr>
      <w:r>
        <w:rPr>
          <w:rFonts w:ascii="Garamond" w:cs="Garamond" w:eastAsia="Garamond" w:hAnsi="Garamond"/>
          <w:sz w:val="22"/>
          <w:szCs w:val="22"/>
        </w:rPr>
        <w:t xml:space="preserve">The patristic tradition also recognized limits. Not everything in pagan culture could be appropriated; some things had to be rejected. The idolatrous core of pagan religion, the immoral elements in mythology and practice, the philosophical errors that contradicted revealed truth: these could not be baptized but had to be renounced.</w:t>
      </w:r>
    </w:p>
    <w:p>
      <w:pPr>
        <w:spacing w:after="160" w:line="276"/>
        <w:ind w:left="720"/>
      </w:pPr>
      <w:r>
        <w:rPr>
          <w:rFonts w:ascii="Garamond" w:cs="Garamond" w:eastAsia="Garamond" w:hAnsi="Garamond"/>
          <w:sz w:val="22"/>
          <w:szCs w:val="22"/>
        </w:rPr>
        <w:t xml:space="preserve">More subtly, the fathers recognized that even what could be appropriated required transformation. Greek philosophy was not simply added to Christian faith but reinterpreted through it. Platonic concepts acquired new meanings in Christian contexts; Aristotelian categories were modified to serve theological precision. The appropriation was critical and creative, not passive borrowing.</w:t>
      </w:r>
    </w:p>
    <w:p>
      <w:r>
        <w:br w:type="page"/>
      </w:r>
    </w:p>
    <w:p>
      <w:pPr>
        <w:pStyle w:val="Heading5"/>
      </w:pPr>
      <w:r>
        <w:t xml:space="preserve">1.2.2 The Byzantine Intellectual Tradition</w:t>
      </w:r>
    </w:p>
    <w:p>
      <w:pPr>
        <w:spacing w:after="200" w:line="276"/>
      </w:pPr>
      <w:r>
        <w:rPr>
          <w:rFonts w:ascii="Garamond" w:cs="Garamond" w:eastAsia="Garamond" w:hAnsi="Garamond"/>
          <w:sz w:val="24"/>
          <w:szCs w:val="24"/>
        </w:rPr>
        <w:t xml:space="preserve">The Byzantine Empire, lasting from 330 to 1453, maintained and developed the patristic synthesis of faith and learning across more than a millennium. Byzantine intellectuals preserved classical texts, advanced theological reflection, and produced original contributions in philosophy, science, and literature. This tradition provides the immediate historical context for Orthodox intellectual engagement.</w:t>
      </w:r>
    </w:p>
    <w:p>
      <w:pPr>
        <w:spacing w:after="200" w:line="276"/>
      </w:pPr>
      <w:r>
        <w:rPr>
          <w:rFonts w:ascii="Garamond" w:cs="Garamond" w:eastAsia="Garamond" w:hAnsi="Garamond"/>
          <w:sz w:val="24"/>
          <w:szCs w:val="24"/>
        </w:rPr>
        <w:t xml:space="preserve">1.2.2.1 The Continuity of Classical Learning</w:t>
      </w:r>
    </w:p>
    <w:p>
      <w:pPr>
        <w:spacing w:after="160" w:line="276"/>
        <w:ind w:left="720"/>
      </w:pPr>
      <w:r>
        <w:rPr>
          <w:rFonts w:ascii="Garamond" w:cs="Garamond" w:eastAsia="Garamond" w:hAnsi="Garamond"/>
          <w:sz w:val="22"/>
          <w:szCs w:val="22"/>
        </w:rPr>
        <w:t xml:space="preserve">Unlike the Latin West, where classical learning suffered disruption during the early medieval period, Byzantium maintained unbroken continuity with the classical heritage. The imperial schools at Constantinople provided education in the Greek classics, rhetoric, philosophy, and law. Monasteries served as scriptoria, preserving and copying ancient manuscripts. The result was a culture that remained in living contact with its classical roots.</w:t>
      </w:r>
    </w:p>
    <w:p>
      <w:pPr>
        <w:spacing w:after="160" w:line="276"/>
        <w:ind w:left="720"/>
      </w:pPr>
      <w:r>
        <w:rPr>
          <w:rFonts w:ascii="Garamond" w:cs="Garamond" w:eastAsia="Garamond" w:hAnsi="Garamond"/>
          <w:sz w:val="22"/>
          <w:szCs w:val="22"/>
        </w:rPr>
        <w:t xml:space="preserve">This continuity enabled sophisticated engagement with ancient philosophy throughout the Byzantine period. Commentaries on Plato and Aristotle continued to be written; philosophical debates remained lively; theological work could presuppose philosophical training. The integration of faith and learning achieved by the fathers was maintained as a living tradition rather than becoming a merely historical memory.</w:t>
      </w:r>
    </w:p>
    <w:p>
      <w:pPr>
        <w:spacing w:after="200" w:line="276"/>
      </w:pPr>
      <w:r>
        <w:rPr>
          <w:rFonts w:ascii="Garamond" w:cs="Garamond" w:eastAsia="Garamond" w:hAnsi="Garamond"/>
          <w:sz w:val="24"/>
          <w:szCs w:val="24"/>
        </w:rPr>
        <w:t xml:space="preserve">1.2.2.2 The Encyclopedic Impulse</w:t>
      </w:r>
    </w:p>
    <w:p>
      <w:pPr>
        <w:spacing w:after="160" w:line="276"/>
        <w:ind w:left="720"/>
      </w:pPr>
      <w:r>
        <w:rPr>
          <w:rFonts w:ascii="Garamond" w:cs="Garamond" w:eastAsia="Garamond" w:hAnsi="Garamond"/>
          <w:sz w:val="22"/>
          <w:szCs w:val="22"/>
        </w:rPr>
        <w:t xml:space="preserve">Byzantine culture displayed a strong encyclopedic impulse, the desire to collect, organize, and preserve knowledge in comprehensive compilations. This impulse produced works of enormous scope that gathered learning from every available source. The underlying conviction was that knowledge forms a unity; proper organization reveals the connections among its parts.</w:t>
      </w:r>
    </w:p>
    <w:p>
      <w:pPr>
        <w:spacing w:after="160" w:line="276"/>
        <w:ind w:left="720"/>
      </w:pPr>
      <w:r>
        <w:rPr>
          <w:rFonts w:ascii="Garamond" w:cs="Garamond" w:eastAsia="Garamond" w:hAnsi="Garamond"/>
          <w:sz w:val="22"/>
          <w:szCs w:val="22"/>
        </w:rPr>
        <w:t xml:space="preserve">The Patriarch Photius (c. 810 to 893) produced the Bibliotheca, summaries and assessments of 279 works he had read, both Christian and pagan. This remarkable compilation preserves information about many works now lost and demonstrates the breadth of Byzantine reading. Constantine VII Porphyrogennetos (905 to 959) sponsored encyclopedias of history, agriculture, medicine, and other subjects. These imperial compilations aimed at comprehensiveness, gathering all relevant knowledge into organized form.</w:t>
      </w:r>
    </w:p>
    <w:p>
      <w:pPr>
        <w:spacing w:after="200" w:line="276"/>
      </w:pPr>
      <w:r>
        <w:rPr>
          <w:rFonts w:ascii="Garamond" w:cs="Garamond" w:eastAsia="Garamond" w:hAnsi="Garamond"/>
          <w:sz w:val="24"/>
          <w:szCs w:val="24"/>
        </w:rPr>
        <w:t xml:space="preserve">1.2.2.3 The Hesychast Integration</w:t>
      </w:r>
    </w:p>
    <w:p>
      <w:pPr>
        <w:spacing w:after="160" w:line="276"/>
        <w:ind w:left="720"/>
      </w:pPr>
      <w:r>
        <w:rPr>
          <w:rFonts w:ascii="Garamond" w:cs="Garamond" w:eastAsia="Garamond" w:hAnsi="Garamond"/>
          <w:sz w:val="22"/>
          <w:szCs w:val="22"/>
        </w:rPr>
        <w:t xml:space="preserve">The hesychast movement, centered on the practice of contemplative prayer and the vision of the uncreated light, achieved its definitive theological expression in St. Gregory Palamas. Far from being anti intellectual, hesychasm represents a particular integration of learning and spiritual life. The distinction between essence and energies is a sophisticated philosophical construction; the defense of hesychasm required extensive theological argument.</w:t>
      </w:r>
    </w:p>
    <w:p>
      <w:pPr>
        <w:spacing w:after="160" w:line="276"/>
        <w:ind w:left="720"/>
      </w:pPr>
      <w:r>
        <w:rPr>
          <w:rFonts w:ascii="Garamond" w:cs="Garamond" w:eastAsia="Garamond" w:hAnsi="Garamond"/>
          <w:sz w:val="22"/>
          <w:szCs w:val="22"/>
        </w:rPr>
        <w:t xml:space="preserve">The Philokalia tradition, anthologizing texts on prayer and the spiritual life from the fourth through fifteenth centuries, represents a particular form of encyclopedic compilation. St. Nicodemus of the Holy Mountain (1749 to 1809), who compiled the Greek Philokalia with St. Makarios of Corinth, exemplifies the continuation of Byzantine learning into the modern period. His works display extensive knowledge of patristic sources, liturgical tradition, and Western theology.</w:t>
      </w:r>
    </w:p>
    <w:p>
      <w:r>
        <w:br w:type="page"/>
      </w:r>
    </w:p>
    <w:p>
      <w:pPr>
        <w:pStyle w:val="Heading4"/>
      </w:pPr>
      <w:r>
        <w:t xml:space="preserve">1.3 The Methodology of This Project</w:t>
      </w:r>
    </w:p>
    <w:p>
      <w:pPr>
        <w:spacing w:after="200" w:line="276"/>
      </w:pPr>
      <w:r>
        <w:rPr>
          <w:rFonts w:ascii="Garamond" w:cs="Garamond" w:eastAsia="Garamond" w:hAnsi="Garamond"/>
          <w:sz w:val="24"/>
          <w:szCs w:val="24"/>
        </w:rPr>
        <w:t xml:space="preserve">Having traced the Orthodox tradition of integrating faith and learning, we now specify the methodology that governs this particular project. The approach may be described as comprehensive hexaemeral exegesis, extending the classical hexaemeral genre to embrace the entirety of Genesis while maintaining the dialogue with natural knowledge that characterizes the genre.</w:t>
      </w:r>
    </w:p>
    <w:p>
      <w:pPr>
        <w:pStyle w:val="Heading5"/>
      </w:pPr>
      <w:r>
        <w:t xml:space="preserve">1.3.1 The Hexaemeral Genre and Its Significance</w:t>
      </w:r>
    </w:p>
    <w:p>
      <w:pPr>
        <w:spacing w:after="200" w:line="276"/>
      </w:pPr>
      <w:r>
        <w:rPr>
          <w:rFonts w:ascii="Garamond" w:cs="Garamond" w:eastAsia="Garamond" w:hAnsi="Garamond"/>
          <w:sz w:val="24"/>
          <w:szCs w:val="24"/>
        </w:rPr>
        <w:t xml:space="preserve">1.3.1.1 The History of the Hexaemeron</w:t>
      </w:r>
    </w:p>
    <w:p>
      <w:pPr>
        <w:spacing w:after="160" w:line="276"/>
        <w:ind w:left="720"/>
      </w:pPr>
      <w:r>
        <w:rPr>
          <w:rFonts w:ascii="Garamond" w:cs="Garamond" w:eastAsia="Garamond" w:hAnsi="Garamond"/>
          <w:sz w:val="22"/>
          <w:szCs w:val="22"/>
        </w:rPr>
        <w:t xml:space="preserve">The hexaemeron (from ἕξ, six, and ἡμέρα, day) is a genre of Christian literature devoted to exposition of the six days of creation in Genesis 1. The genre was inaugurated by St. Basil the Great's nine homilies on the Hexaemeron, delivered in Lent 378, and continued by his brother St. Gregory of Nyssa's De Hominis Opificio and Apologia in Hexaemeron. St. Ambrose of Milan adapted Basil's work into Latin, and St. Augustine made multiple attempts at Genesis commentary throughout his career.</w:t>
      </w:r>
    </w:p>
    <w:p>
      <w:pPr>
        <w:spacing w:after="200" w:line="276"/>
      </w:pPr>
      <w:r>
        <w:rPr>
          <w:rFonts w:ascii="Garamond" w:cs="Garamond" w:eastAsia="Garamond" w:hAnsi="Garamond"/>
          <w:sz w:val="24"/>
          <w:szCs w:val="24"/>
        </w:rPr>
        <w:t xml:space="preserve">1.3.1.1.1 St. Basil's Foundational Work</w:t>
      </w:r>
    </w:p>
    <w:p>
      <w:pPr>
        <w:spacing w:after="160" w:line="276"/>
        <w:ind w:left="720"/>
      </w:pPr>
      <w:r>
        <w:rPr>
          <w:rFonts w:ascii="Garamond" w:cs="Garamond" w:eastAsia="Garamond" w:hAnsi="Garamond"/>
          <w:sz w:val="22"/>
          <w:szCs w:val="22"/>
        </w:rPr>
        <w:t xml:space="preserve">Basil's Hexaemeron remains the paradigm of the genre. Delivered as sermons to a popular audience, the homilies combine exegetical precision with homiletical warmth, scientific observation with spiritual application. Basil engages critically with the natural philosophy of his day, accepting what accords with Scripture and faith while rejecting what contradicts them. His treatment of the heavenly bodies, the waters, and the various forms of life demonstrates intimate familiarity with ancient science.</w:t>
      </w:r>
    </w:p>
    <w:p>
      <w:pPr>
        <w:spacing w:after="160" w:line="276"/>
        <w:ind w:left="720"/>
      </w:pPr>
      <w:r>
        <w:rPr>
          <w:rFonts w:ascii="Garamond" w:cs="Garamond" w:eastAsia="Garamond" w:hAnsi="Garamond"/>
          <w:sz w:val="22"/>
          <w:szCs w:val="22"/>
        </w:rPr>
        <w:t xml:space="preserve">Yet Basil's purpose is never merely scientific. Each observation about nature becomes an occasion for theological and moral reflection. The order of creation reveals divine wisdom; the variety of creatures displays divine power and generosity; the care lavished on each species manifests divine providence. Natural contemplation leads to doxology; science serves worship.</w:t>
      </w:r>
    </w:p>
    <w:p>
      <w:pPr>
        <w:spacing w:after="200" w:line="276"/>
      </w:pPr>
      <w:r>
        <w:rPr>
          <w:rFonts w:ascii="Garamond" w:cs="Garamond" w:eastAsia="Garamond" w:hAnsi="Garamond"/>
          <w:sz w:val="24"/>
          <w:szCs w:val="24"/>
        </w:rPr>
        <w:t xml:space="preserve">1.3.1.1.2 St. Gregory of Nyssa's Completion</w:t>
      </w:r>
    </w:p>
    <w:p>
      <w:pPr>
        <w:spacing w:after="160" w:line="276"/>
        <w:ind w:left="720"/>
      </w:pPr>
      <w:r>
        <w:rPr>
          <w:rFonts w:ascii="Garamond" w:cs="Garamond" w:eastAsia="Garamond" w:hAnsi="Garamond"/>
          <w:sz w:val="22"/>
          <w:szCs w:val="22"/>
        </w:rPr>
        <w:t xml:space="preserve">St. Gregory completed his brother's work in two ways. The De Hominis Opificio (On the Making of Man) takes up the creation of humanity, which Basil's death left untreated. Gregory's anthropology explores the image of God in human nature, the composition of body and soul, the distinction of male and female, and the destiny of humanity in theosis. The Apologia in Hexaemeron addresses apparent difficulties in Basil's treatment, providing philosophical clarification and defense.</w:t>
      </w:r>
    </w:p>
    <w:p>
      <w:pPr>
        <w:spacing w:after="160" w:line="276"/>
        <w:ind w:left="720"/>
      </w:pPr>
      <w:r>
        <w:rPr>
          <w:rFonts w:ascii="Garamond" w:cs="Garamond" w:eastAsia="Garamond" w:hAnsi="Garamond"/>
          <w:sz w:val="22"/>
          <w:szCs w:val="22"/>
        </w:rPr>
        <w:t xml:space="preserve">Gregory's approach is more speculative than Basil's, more willing to employ allegory and philosophical reasoning. His concept of double creation, distinguishing the original divine intention from the present embodied state, represents theological construction beyond the literal text. This speculative freedom within the bounds of faith characterizes his contribution to the hexaemeral tradition.</w:t>
      </w:r>
    </w:p>
    <w:p>
      <w:pPr>
        <w:spacing w:after="200" w:line="276"/>
      </w:pPr>
      <w:r>
        <w:rPr>
          <w:rFonts w:ascii="Garamond" w:cs="Garamond" w:eastAsia="Garamond" w:hAnsi="Garamond"/>
          <w:sz w:val="24"/>
          <w:szCs w:val="24"/>
        </w:rPr>
        <w:t xml:space="preserve">1.3.1.1.5 St. John Philoponus's Scientific Hexaemeron</w:t>
      </w:r>
    </w:p>
    <w:p>
      <w:pPr>
        <w:spacing w:after="160" w:line="276"/>
        <w:ind w:left="720"/>
      </w:pPr>
      <w:r>
        <w:rPr>
          <w:rFonts w:ascii="Garamond" w:cs="Garamond" w:eastAsia="Garamond" w:hAnsi="Garamond"/>
          <w:sz w:val="22"/>
          <w:szCs w:val="22"/>
        </w:rPr>
        <w:t xml:space="preserve">John Philoponus (c. 490 to 570), the Alexandrian philosopher and Christian commentator, brought unprecedented scientific sophistication to hexaemeral writing. His commentary on the creation account engaged critically with Aristotelian physics, rejecting the eternity of the world and developing a concept of impetus that anticipated later physics. Philoponus represents the most ambitious attempt in antiquity to integrate cutting edge natural philosophy with scriptural exegesis.</w:t>
      </w:r>
    </w:p>
    <w:p>
      <w:pPr>
        <w:spacing w:after="160" w:line="276"/>
        <w:ind w:left="720"/>
      </w:pPr>
      <w:r>
        <w:rPr>
          <w:rFonts w:ascii="Garamond" w:cs="Garamond" w:eastAsia="Garamond" w:hAnsi="Garamond"/>
          <w:sz w:val="22"/>
          <w:szCs w:val="22"/>
        </w:rPr>
        <w:t xml:space="preserve">Philoponus's willingness to challenge Aristotle on scientific grounds while maintaining Christian faith demonstrates that the relationship between faith and science need not be one of accommodation or conflict but of creative engagement. Scripture provides the framework; science provides data and tools; the result is neither simple concordism nor compartmentalization but genuine dialogue.</w:t>
      </w:r>
    </w:p>
    <w:p>
      <w:pPr>
        <w:spacing w:after="200" w:line="276"/>
      </w:pPr>
      <w:r>
        <w:rPr>
          <w:rFonts w:ascii="Garamond" w:cs="Garamond" w:eastAsia="Garamond" w:hAnsi="Garamond"/>
          <w:sz w:val="24"/>
          <w:szCs w:val="24"/>
        </w:rPr>
        <w:t xml:space="preserve">1.3.1.2 The Purpose of Hexaemeral Writing</w:t>
      </w:r>
    </w:p>
    <w:p>
      <w:pPr>
        <w:spacing w:after="160" w:line="276"/>
        <w:ind w:left="720"/>
      </w:pPr>
      <w:r>
        <w:rPr>
          <w:rFonts w:ascii="Garamond" w:cs="Garamond" w:eastAsia="Garamond" w:hAnsi="Garamond"/>
          <w:sz w:val="22"/>
          <w:szCs w:val="22"/>
        </w:rPr>
        <w:t xml:space="preserve">The hexaemeral genre serves multiple purposes that remain relevant today. Against dualistic systems that denigrate matter and attribute evil to the material world, the hexaemeral emphasis on the goodness of creation affirms the positive value of the physical cosmos. Against accounts that deny divine involvement in the natural order, whether ancient philosophical systems or modern naturalism, the hexaemeron asserts God's creative and providential activity.</w:t>
      </w:r>
    </w:p>
    <w:p>
      <w:pPr>
        <w:spacing w:after="200" w:line="276"/>
      </w:pPr>
      <w:r>
        <w:rPr>
          <w:rFonts w:ascii="Garamond" w:cs="Garamond" w:eastAsia="Garamond" w:hAnsi="Garamond"/>
          <w:sz w:val="24"/>
          <w:szCs w:val="24"/>
        </w:rPr>
        <w:t xml:space="preserve">1.3.1.2.1 Defense Against Dualism</w:t>
      </w:r>
    </w:p>
    <w:p>
      <w:pPr>
        <w:spacing w:after="160" w:line="276"/>
        <w:ind w:left="720"/>
      </w:pPr>
      <w:r>
        <w:rPr>
          <w:rFonts w:ascii="Garamond" w:cs="Garamond" w:eastAsia="Garamond" w:hAnsi="Garamond"/>
          <w:sz w:val="22"/>
          <w:szCs w:val="22"/>
        </w:rPr>
        <w:t xml:space="preserve">From gnosticism in the ancient world to certain strains of modern spiritualism, dualistic tendencies periodically threaten Christian faith. By insisting that the good God created the material world and called it good, hexaemeral literature provides a bulwark against these tendencies. Matter is not evil; the body is not a prison; the physical world is not illusion. Creation is theophany, the self manifestation of the Creator.</w:t>
      </w:r>
    </w:p>
    <w:p>
      <w:pPr>
        <w:spacing w:after="200" w:line="276"/>
      </w:pPr>
      <w:r>
        <w:rPr>
          <w:rFonts w:ascii="Garamond" w:cs="Garamond" w:eastAsia="Garamond" w:hAnsi="Garamond"/>
          <w:sz w:val="24"/>
          <w:szCs w:val="24"/>
        </w:rPr>
        <w:t xml:space="preserve">1.3.1.2.2 Affirmation of Creation's Goodness</w:t>
      </w:r>
    </w:p>
    <w:p>
      <w:pPr>
        <w:spacing w:after="160" w:line="276"/>
        <w:ind w:left="720"/>
      </w:pPr>
      <w:r>
        <w:rPr>
          <w:rFonts w:ascii="Garamond" w:cs="Garamond" w:eastAsia="Garamond" w:hAnsi="Garamond"/>
          <w:sz w:val="22"/>
          <w:szCs w:val="22"/>
        </w:rPr>
        <w:t xml:space="preserve">The sevenfold refrain "God saw that it was good" establishes an ontological optimism fundamental to Christian faith. Evil is parasitic, privative, accidental; goodness is original, essential, intended. This affirmation grounds environmental ethics, aesthetic appreciation, and the celebration of embodied existence. The hexaemeron explores and develops these implications.</w:t>
      </w:r>
    </w:p>
    <w:p>
      <w:pPr>
        <w:spacing w:after="200" w:line="276"/>
      </w:pPr>
      <w:r>
        <w:rPr>
          <w:rFonts w:ascii="Garamond" w:cs="Garamond" w:eastAsia="Garamond" w:hAnsi="Garamond"/>
          <w:sz w:val="24"/>
          <w:szCs w:val="24"/>
        </w:rPr>
        <w:t xml:space="preserve">1.3.1.2.3 Integration of Faith and Natural Knowledge</w:t>
      </w:r>
    </w:p>
    <w:p>
      <w:pPr>
        <w:spacing w:after="160" w:line="276"/>
        <w:ind w:left="720"/>
      </w:pPr>
      <w:r>
        <w:rPr>
          <w:rFonts w:ascii="Garamond" w:cs="Garamond" w:eastAsia="Garamond" w:hAnsi="Garamond"/>
          <w:sz w:val="22"/>
          <w:szCs w:val="22"/>
        </w:rPr>
        <w:t xml:space="preserve">Perhaps the most distinctive feature of the hexaemeral genre is its integration of scriptural exegesis with natural knowledge. The fathers were not content to expound Genesis in isolation from what was known about the natural world. They brought the best science of their day into dialogue with Scripture, not as an independent authority but as a resource for understanding the created order that Scripture describes.</w:t>
      </w:r>
    </w:p>
    <w:p>
      <w:pPr>
        <w:spacing w:after="160" w:line="276"/>
        <w:ind w:left="720"/>
      </w:pPr>
      <w:r>
        <w:rPr>
          <w:rFonts w:ascii="Garamond" w:cs="Garamond" w:eastAsia="Garamond" w:hAnsi="Garamond"/>
          <w:sz w:val="22"/>
          <w:szCs w:val="22"/>
        </w:rPr>
        <w:t xml:space="preserve">This integrative impulse provides the model for the present work. Contemporary science offers vastly more detailed knowledge of creation than was available to the fathers. This knowledge can and should inform our reading of Genesis, not to override Scripture but to illuminate it, not to impose modern categories but to enrich understanding. The hexaemeral tradition authorizes and indeed demands such engagement.</w:t>
      </w:r>
    </w:p>
    <w:p>
      <w:pPr>
        <w:spacing w:after="200" w:line="276"/>
      </w:pPr>
      <w:r>
        <w:rPr>
          <w:rFonts w:ascii="Garamond" w:cs="Garamond" w:eastAsia="Garamond" w:hAnsi="Garamond"/>
          <w:sz w:val="24"/>
          <w:szCs w:val="24"/>
        </w:rPr>
        <w:t xml:space="preserve">1.3.1.2.4 Spiritual Formation Through Contemplation of Nature</w:t>
      </w:r>
    </w:p>
    <w:p>
      <w:pPr>
        <w:spacing w:after="160" w:line="276"/>
        <w:ind w:left="720"/>
      </w:pPr>
      <w:r>
        <w:rPr>
          <w:rFonts w:ascii="Garamond" w:cs="Garamond" w:eastAsia="Garamond" w:hAnsi="Garamond"/>
          <w:sz w:val="22"/>
          <w:szCs w:val="22"/>
        </w:rPr>
        <w:t xml:space="preserve">Finally, hexaemeral literature serves spiritual formation. Contemplation of creation leads to contemplation of the Creator. The beauty, order, and wonder of the natural world evoke praise and thanksgiving. Natural contemplation (φυσικὴ θεωρία) is a stage of the spiritual way, preparation for the higher contemplation of God himself. The hexaemeron guides this contemplation, teaching its readers to see creation as the fathers saw it.</w:t>
      </w:r>
    </w:p>
    <w:p>
      <w:r>
        <w:br w:type="page"/>
      </w:r>
    </w:p>
    <w:p>
      <w:pPr>
        <w:pStyle w:val="Heading5"/>
      </w:pPr>
      <w:r>
        <w:t xml:space="preserve">1.3.3 The Structure of Analysis</w:t>
      </w:r>
    </w:p>
    <w:p>
      <w:pPr>
        <w:spacing w:after="200" w:line="276"/>
      </w:pPr>
      <w:r>
        <w:rPr>
          <w:rFonts w:ascii="Garamond" w:cs="Garamond" w:eastAsia="Garamond" w:hAnsi="Garamond"/>
          <w:sz w:val="24"/>
          <w:szCs w:val="24"/>
        </w:rPr>
        <w:t xml:space="preserve">The methodology of this work requires a standardized structure for the analysis of each verse. This structure ensures comprehensive coverage while maintaining consistency across the many hundreds of verses to be examined. The structure comprises eight major components, each with multiple sub components, designed to exhaust the interpretive possibilities of the text.</w:t>
      </w:r>
    </w:p>
    <w:p>
      <w:pPr>
        <w:pStyle w:val="Heading6"/>
      </w:pPr>
      <w:r>
        <w:t xml:space="preserve">1.3.3.1 For Each Verse</w:t>
      </w:r>
    </w:p>
    <w:p>
      <w:pPr>
        <w:spacing w:after="200" w:line="276"/>
      </w:pPr>
      <w:r>
        <w:rPr>
          <w:rFonts w:ascii="Garamond" w:cs="Garamond" w:eastAsia="Garamond" w:hAnsi="Garamond"/>
          <w:sz w:val="24"/>
          <w:szCs w:val="24"/>
        </w:rPr>
        <w:t xml:space="preserve">1.3.3.1.1 Textual Foundation</w:t>
      </w:r>
    </w:p>
    <w:p>
      <w:pPr>
        <w:spacing w:after="160" w:line="276"/>
        <w:ind w:left="720"/>
      </w:pPr>
      <w:r>
        <w:rPr>
          <w:rFonts w:ascii="Garamond" w:cs="Garamond" w:eastAsia="Garamond" w:hAnsi="Garamond"/>
          <w:sz w:val="22"/>
          <w:szCs w:val="22"/>
        </w:rPr>
        <w:t xml:space="preserve">Every verse analysis begins with the establishment of the text itself. The Greek text of the Septuagint, as preserved in the Göttingen critical edition, provides the primary datum. Significant textual variants are noted and evaluated. The Hebrew text of the Masoretic tradition is presented for comparison. Where available, readings from the Dead Sea Scrolls, Samaritan Pentateuch, Targums, Peshitta, and Vulgate are also noted. The goal is to establish the best reading while remaining aware of textual diversity.</w:t>
      </w:r>
    </w:p>
    <w:p>
      <w:pPr>
        <w:spacing w:after="200" w:line="276"/>
      </w:pPr>
      <w:r>
        <w:rPr>
          <w:rFonts w:ascii="Garamond" w:cs="Garamond" w:eastAsia="Garamond" w:hAnsi="Garamond"/>
          <w:sz w:val="24"/>
          <w:szCs w:val="24"/>
        </w:rPr>
        <w:t xml:space="preserve">1.3.3.1.2 Linguistic Analysis</w:t>
      </w:r>
    </w:p>
    <w:p>
      <w:pPr>
        <w:spacing w:after="160" w:line="276"/>
        <w:ind w:left="720"/>
      </w:pPr>
      <w:r>
        <w:rPr>
          <w:rFonts w:ascii="Garamond" w:cs="Garamond" w:eastAsia="Garamond" w:hAnsi="Garamond"/>
          <w:sz w:val="22"/>
          <w:szCs w:val="22"/>
        </w:rPr>
        <w:t xml:space="preserve">With the text established, linguistic analysis proceeds through morphology (the forms of individual words), syntax (the arrangement of words into phrases and clauses), semantics (the meanings of words and expressions), and pragmatics (the communicative function of the text in context). Particular attention is given to key theological terms, rhetorical features, and intertextual connections with other biblical passages.</w:t>
      </w:r>
    </w:p>
    <w:p>
      <w:pPr>
        <w:spacing w:after="200" w:line="276"/>
      </w:pPr>
      <w:r>
        <w:rPr>
          <w:rFonts w:ascii="Garamond" w:cs="Garamond" w:eastAsia="Garamond" w:hAnsi="Garamond"/>
          <w:sz w:val="24"/>
          <w:szCs w:val="24"/>
        </w:rPr>
        <w:t xml:space="preserve">1.3.3.1.3 Historical-Contextual Analysis</w:t>
      </w:r>
    </w:p>
    <w:p>
      <w:pPr>
        <w:spacing w:after="160" w:line="276"/>
        <w:ind w:left="720"/>
      </w:pPr>
      <w:r>
        <w:rPr>
          <w:rFonts w:ascii="Garamond" w:cs="Garamond" w:eastAsia="Garamond" w:hAnsi="Garamond"/>
          <w:sz w:val="22"/>
          <w:szCs w:val="22"/>
        </w:rPr>
        <w:t xml:space="preserve">The historical context of the text is explored through comparison with ancient Near Eastern parallels, consideration of the Second Temple Jewish context in which the Septuagint was produced, and attention to the Greco Roman context of early Christianity. Archaeological evidence is adduced where relevant. Questions of historical plausibility are addressed honestly, neither dismissing them as irrelevant nor allowing them to override theological interpretation.</w:t>
      </w:r>
    </w:p>
    <w:p>
      <w:pPr>
        <w:spacing w:after="200" w:line="276"/>
      </w:pPr>
      <w:r>
        <w:rPr>
          <w:rFonts w:ascii="Garamond" w:cs="Garamond" w:eastAsia="Garamond" w:hAnsi="Garamond"/>
          <w:sz w:val="24"/>
          <w:szCs w:val="24"/>
        </w:rPr>
        <w:t xml:space="preserve">1.3.3.1.4 Theological Analysis</w:t>
      </w:r>
    </w:p>
    <w:p>
      <w:pPr>
        <w:spacing w:after="160" w:line="276"/>
        <w:ind w:left="720"/>
      </w:pPr>
      <w:r>
        <w:rPr>
          <w:rFonts w:ascii="Garamond" w:cs="Garamond" w:eastAsia="Garamond" w:hAnsi="Garamond"/>
          <w:sz w:val="22"/>
          <w:szCs w:val="22"/>
        </w:rPr>
        <w:t xml:space="preserve">The heart of the analysis is theological, exploring the multiple senses of Scripture recognized in the Orthodox tradition. The literal or historical sense establishes what the text says on its face. The typological or allegorical sense discerns the christological and ecclesial significance foreshadowed in the text. The tropological or moral sense applies the text to the formation of Christian character. The anagogical or eschatological sense opens the text onto the heavenly realities and the age to come. All four senses are explored for each verse.</w:t>
      </w:r>
    </w:p>
    <w:p>
      <w:pPr>
        <w:spacing w:after="200" w:line="276"/>
      </w:pPr>
      <w:r>
        <w:rPr>
          <w:rFonts w:ascii="Garamond" w:cs="Garamond" w:eastAsia="Garamond" w:hAnsi="Garamond"/>
          <w:sz w:val="24"/>
          <w:szCs w:val="24"/>
        </w:rPr>
        <w:t xml:space="preserve">1.3.3.1.5 Patristic Commentary</w:t>
      </w:r>
    </w:p>
    <w:p>
      <w:pPr>
        <w:spacing w:after="160" w:line="276"/>
        <w:ind w:left="720"/>
      </w:pPr>
      <w:r>
        <w:rPr>
          <w:rFonts w:ascii="Garamond" w:cs="Garamond" w:eastAsia="Garamond" w:hAnsi="Garamond"/>
          <w:sz w:val="22"/>
          <w:szCs w:val="22"/>
        </w:rPr>
        <w:t xml:space="preserve">An exhaustive survey of patristic commentary on each verse is provided, organized by period and school. The Apostolic Fathers, second century apologists, Alexandrian school, Antiochene school, Cappadocians, Syriac fathers, Latin fathers, and later Byzantine commentators are all represented. Points of consensus are noted; divergences are explored; an evaluative synthesis is offered. The fathers are treated not as historical curiosities but as living guides to interpretation.</w:t>
      </w:r>
    </w:p>
    <w:p>
      <w:pPr>
        <w:spacing w:after="200" w:line="276"/>
      </w:pPr>
      <w:r>
        <w:rPr>
          <w:rFonts w:ascii="Garamond" w:cs="Garamond" w:eastAsia="Garamond" w:hAnsi="Garamond"/>
          <w:sz w:val="24"/>
          <w:szCs w:val="24"/>
        </w:rPr>
        <w:t xml:space="preserve">1.3.3.1.6 Liturgical Connections</w:t>
      </w:r>
    </w:p>
    <w:p>
      <w:pPr>
        <w:spacing w:after="160" w:line="276"/>
        <w:ind w:left="720"/>
      </w:pPr>
      <w:r>
        <w:rPr>
          <w:rFonts w:ascii="Garamond" w:cs="Garamond" w:eastAsia="Garamond" w:hAnsi="Garamond"/>
          <w:sz w:val="22"/>
          <w:szCs w:val="22"/>
        </w:rPr>
        <w:t xml:space="preserve">The liturgical use of each verse is traced through the lectionary (where the verse is read in the church's worship), hymnography (where the verse is cited or echoed in hymns), iconography (where the verse is depicted in images), and sacramental connections (where the verse illuminates the meaning of the mysteries). The liturgy is the living context in which Scripture is heard and interpreted; this context shapes meaning.</w:t>
      </w:r>
    </w:p>
    <w:p>
      <w:pPr>
        <w:spacing w:after="200" w:line="276"/>
      </w:pPr>
      <w:r>
        <w:rPr>
          <w:rFonts w:ascii="Garamond" w:cs="Garamond" w:eastAsia="Garamond" w:hAnsi="Garamond"/>
          <w:sz w:val="24"/>
          <w:szCs w:val="24"/>
        </w:rPr>
        <w:t xml:space="preserve">1.3.3.1.7 Interdisciplinary Connections</w:t>
      </w:r>
    </w:p>
    <w:p>
      <w:pPr>
        <w:spacing w:after="160" w:line="276"/>
        <w:ind w:left="720"/>
      </w:pPr>
      <w:r>
        <w:rPr>
          <w:rFonts w:ascii="Garamond" w:cs="Garamond" w:eastAsia="Garamond" w:hAnsi="Garamond"/>
          <w:sz w:val="22"/>
          <w:szCs w:val="22"/>
        </w:rPr>
        <w:t xml:space="preserve">This is the distinctive feature of the present work. For each verse, connections with philosophy, natural science, mathematics, art, literature, and other fields of human knowledge are explored. These connections are not forced impositions but genuine illuminations, ways in which the text opens onto broader dimensions of reality and truth. The goal is to show that Genesis speaks not only to ancient concerns but to the full range of human inquiry.</w:t>
      </w:r>
    </w:p>
    <w:p>
      <w:pPr>
        <w:spacing w:after="200" w:line="276"/>
      </w:pPr>
      <w:r>
        <w:rPr>
          <w:rFonts w:ascii="Garamond" w:cs="Garamond" w:eastAsia="Garamond" w:hAnsi="Garamond"/>
          <w:sz w:val="24"/>
          <w:szCs w:val="24"/>
        </w:rPr>
        <w:t xml:space="preserve">1.3.3.1.8 Spiritual Application</w:t>
      </w:r>
    </w:p>
    <w:p>
      <w:pPr>
        <w:spacing w:after="160" w:line="276"/>
        <w:ind w:left="720"/>
      </w:pPr>
      <w:r>
        <w:rPr>
          <w:rFonts w:ascii="Garamond" w:cs="Garamond" w:eastAsia="Garamond" w:hAnsi="Garamond"/>
          <w:sz w:val="22"/>
          <w:szCs w:val="22"/>
        </w:rPr>
        <w:t xml:space="preserve">Finally, each verse analysis concludes with spiritual application. The ascetic implications of the text for the struggle against passion and the growth in virtue are noted. The text's relevance to prayer and contemplation is explored. Ethical guidance is drawn. The trajectory toward theosis, the ultimate purpose of human existence, is traced. The analysis thus concludes where it began, in the living faith of the Church.</w:t>
      </w:r>
    </w:p>
    <w:p>
      <w:r>
        <w:br w:type="page"/>
      </w:r>
    </w:p>
    <w:p>
      <w:pPr>
        <w:pStyle w:val="Heading3"/>
      </w:pPr>
      <w:r>
        <w:t xml:space="preserve">Chapter 2: The Hermeneutics of Sacred Scripture</w:t>
      </w:r>
    </w:p>
    <w:p>
      <w:pPr>
        <w:spacing w:after="200" w:line="276"/>
      </w:pPr>
      <w:r>
        <w:rPr>
          <w:rFonts w:ascii="Garamond" w:cs="Garamond" w:eastAsia="Garamond" w:hAnsi="Garamond"/>
          <w:sz w:val="24"/>
          <w:szCs w:val="24"/>
        </w:rPr>
        <w:t xml:space="preserve">Building upon the epistemological foundations established in Chapter 1, this chapter articulates the specific hermeneutical principles governing Orthodox interpretation of Scripture. The tradition provides both theoretical framework and practical method for approaching the sacred text. The goal is reading that is at once faithful to the apostolic and patristic inheritance, attentive to the letter of the text, open to its spiritual depths, and relevant to contemporary questions.</w:t>
      </w:r>
    </w:p>
    <w:p>
      <w:pPr>
        <w:spacing w:after="80"/>
        <w:ind w:left="360"/>
      </w:pPr>
      <w:r>
        <w:rPr>
          <w:rFonts w:ascii="Garamond" w:cs="Garamond" w:eastAsia="Garamond" w:hAnsi="Garamond"/>
          <w:sz w:val="22"/>
          <w:szCs w:val="22"/>
        </w:rPr>
        <w:t xml:space="preserve">2.1 The Orthodox Hermeneutical Tradition</w:t>
      </w:r>
    </w:p>
    <w:p>
      <w:pPr>
        <w:spacing w:after="80"/>
        <w:ind w:left="720"/>
      </w:pPr>
      <w:r>
        <w:rPr>
          <w:rFonts w:ascii="Garamond" w:cs="Garamond" w:eastAsia="Garamond" w:hAnsi="Garamond"/>
          <w:sz w:val="22"/>
          <w:szCs w:val="22"/>
        </w:rPr>
        <w:t xml:space="preserve">2.1.1 The Fourfold Sense of Scripture</w:t>
      </w:r>
    </w:p>
    <w:p>
      <w:pPr>
        <w:spacing w:after="80"/>
        <w:ind w:left="1080"/>
      </w:pPr>
      <w:r>
        <w:rPr>
          <w:rFonts w:ascii="Garamond" w:cs="Garamond" w:eastAsia="Garamond" w:hAnsi="Garamond"/>
          <w:sz w:val="22"/>
          <w:szCs w:val="22"/>
        </w:rPr>
        <w:t xml:space="preserve">2.1.1.1 ἱστορία — The Historical-Literal Sense</w:t>
      </w:r>
    </w:p>
    <w:p>
      <w:pPr>
        <w:spacing w:after="80"/>
        <w:ind w:left="1080"/>
      </w:pPr>
      <w:r>
        <w:rPr>
          <w:rFonts w:ascii="Garamond" w:cs="Garamond" w:eastAsia="Garamond" w:hAnsi="Garamond"/>
          <w:sz w:val="22"/>
          <w:szCs w:val="22"/>
        </w:rPr>
        <w:t xml:space="preserve">2.1.1.2 θεωρία — The Contemplative-Typological Sense</w:t>
      </w:r>
    </w:p>
    <w:p>
      <w:pPr>
        <w:spacing w:after="80"/>
        <w:ind w:left="1080"/>
      </w:pPr>
      <w:r>
        <w:rPr>
          <w:rFonts w:ascii="Garamond" w:cs="Garamond" w:eastAsia="Garamond" w:hAnsi="Garamond"/>
          <w:sz w:val="22"/>
          <w:szCs w:val="22"/>
        </w:rPr>
        <w:t xml:space="preserve">2.1.1.3 τροπολογία — The Moral-Tropological Sense</w:t>
      </w:r>
    </w:p>
    <w:p>
      <w:pPr>
        <w:spacing w:after="80"/>
        <w:ind w:left="1080"/>
      </w:pPr>
      <w:r>
        <w:rPr>
          <w:rFonts w:ascii="Garamond" w:cs="Garamond" w:eastAsia="Garamond" w:hAnsi="Garamond"/>
          <w:sz w:val="22"/>
          <w:szCs w:val="22"/>
        </w:rPr>
        <w:t xml:space="preserve">2.1.1.4 ἀναγωγή — The Anagogical-Eschatological Sense</w:t>
      </w:r>
    </w:p>
    <w:p>
      <w:pPr>
        <w:spacing w:after="80"/>
        <w:ind w:left="720"/>
      </w:pPr>
      <w:r>
        <w:rPr>
          <w:rFonts w:ascii="Garamond" w:cs="Garamond" w:eastAsia="Garamond" w:hAnsi="Garamond"/>
          <w:sz w:val="22"/>
          <w:szCs w:val="22"/>
        </w:rPr>
        <w:t xml:space="preserve">2.1.2 The Christological Key</w:t>
      </w:r>
    </w:p>
    <w:p>
      <w:pPr>
        <w:spacing w:after="80"/>
        <w:ind w:left="720"/>
      </w:pPr>
      <w:r>
        <w:rPr>
          <w:rFonts w:ascii="Garamond" w:cs="Garamond" w:eastAsia="Garamond" w:hAnsi="Garamond"/>
          <w:sz w:val="22"/>
          <w:szCs w:val="22"/>
        </w:rPr>
        <w:t xml:space="preserve">2.1.3 The Ecclesial Context of Interpretation</w:t>
      </w:r>
    </w:p>
    <w:p>
      <w:pPr>
        <w:spacing w:after="80"/>
        <w:ind w:left="360"/>
      </w:pPr>
      <w:r>
        <w:rPr>
          <w:rFonts w:ascii="Garamond" w:cs="Garamond" w:eastAsia="Garamond" w:hAnsi="Garamond"/>
          <w:sz w:val="22"/>
          <w:szCs w:val="22"/>
        </w:rPr>
        <w:t xml:space="preserve">2.2 The Philological Dimension</w:t>
      </w:r>
    </w:p>
    <w:p>
      <w:pPr>
        <w:spacing w:after="80"/>
        <w:ind w:left="720"/>
      </w:pPr>
      <w:r>
        <w:rPr>
          <w:rFonts w:ascii="Garamond" w:cs="Garamond" w:eastAsia="Garamond" w:hAnsi="Garamond"/>
          <w:sz w:val="22"/>
          <w:szCs w:val="22"/>
        </w:rPr>
        <w:t xml:space="preserve">2.2.1 Greek Philology and the Septuagint</w:t>
      </w:r>
    </w:p>
    <w:p>
      <w:pPr>
        <w:spacing w:after="80"/>
        <w:ind w:left="720"/>
      </w:pPr>
      <w:r>
        <w:rPr>
          <w:rFonts w:ascii="Garamond" w:cs="Garamond" w:eastAsia="Garamond" w:hAnsi="Garamond"/>
          <w:sz w:val="22"/>
          <w:szCs w:val="22"/>
        </w:rPr>
        <w:t xml:space="preserve">2.2.2 Hebrew Philology and the Masoretic Text</w:t>
      </w:r>
    </w:p>
    <w:p>
      <w:pPr>
        <w:spacing w:after="80"/>
        <w:ind w:left="720"/>
      </w:pPr>
      <w:r>
        <w:rPr>
          <w:rFonts w:ascii="Garamond" w:cs="Garamond" w:eastAsia="Garamond" w:hAnsi="Garamond"/>
          <w:sz w:val="22"/>
          <w:szCs w:val="22"/>
        </w:rPr>
        <w:t xml:space="preserve">2.2.3 Other Ancient Versions</w:t>
      </w:r>
    </w:p>
    <w:p>
      <w:pPr>
        <w:spacing w:after="80"/>
        <w:ind w:left="360"/>
      </w:pPr>
      <w:r>
        <w:rPr>
          <w:rFonts w:ascii="Garamond" w:cs="Garamond" w:eastAsia="Garamond" w:hAnsi="Garamond"/>
          <w:sz w:val="22"/>
          <w:szCs w:val="22"/>
        </w:rPr>
        <w:t xml:space="preserve">2.3 The Historical-Critical Method: Orthodox Evaluation</w:t>
      </w:r>
    </w:p>
    <w:p>
      <w:pPr>
        <w:spacing w:after="80"/>
        <w:ind w:left="720"/>
      </w:pPr>
      <w:r>
        <w:rPr>
          <w:rFonts w:ascii="Garamond" w:cs="Garamond" w:eastAsia="Garamond" w:hAnsi="Garamond"/>
          <w:sz w:val="22"/>
          <w:szCs w:val="22"/>
        </w:rPr>
        <w:t xml:space="preserve">2.3.1 The Rise of Historical Criticism</w:t>
      </w:r>
    </w:p>
    <w:p>
      <w:pPr>
        <w:spacing w:after="80"/>
        <w:ind w:left="720"/>
      </w:pPr>
      <w:r>
        <w:rPr>
          <w:rFonts w:ascii="Garamond" w:cs="Garamond" w:eastAsia="Garamond" w:hAnsi="Garamond"/>
          <w:sz w:val="22"/>
          <w:szCs w:val="22"/>
        </w:rPr>
        <w:t xml:space="preserve">2.3.2 Orthodox Engagement</w:t>
      </w:r>
    </w:p>
    <w:p>
      <w:r>
        <w:br w:type="page"/>
      </w:r>
    </w:p>
    <w:p>
      <w:pPr>
        <w:pStyle w:val="Heading3"/>
      </w:pPr>
      <w:r>
        <w:t xml:space="preserve">Chapter 3: The Philosophy of Integration</w:t>
      </w:r>
    </w:p>
    <w:p>
      <w:pPr>
        <w:spacing w:after="200" w:line="276"/>
      </w:pPr>
      <w:r>
        <w:rPr>
          <w:rFonts w:ascii="Garamond" w:cs="Garamond" w:eastAsia="Garamond" w:hAnsi="Garamond"/>
          <w:sz w:val="24"/>
          <w:szCs w:val="24"/>
        </w:rPr>
        <w:t xml:space="preserve">This chapter articulates the philosophical basis for the integration of multiple disciplines in the study of Genesis. The unity of truth, rooted in the one Logos through whom all things were made, provides the theological warrant for synthesis. Historical models of the relationship between theology and other disciplines are evaluated. The Orthodox approach of symphonia, in which distinct disciplines maintain their integrity while harmonizing in service of truth, is developed.</w:t>
      </w:r>
    </w:p>
    <w:p>
      <w:pPr>
        <w:spacing w:after="80"/>
        <w:ind w:left="360"/>
      </w:pPr>
      <w:r>
        <w:rPr>
          <w:rFonts w:ascii="Garamond" w:cs="Garamond" w:eastAsia="Garamond" w:hAnsi="Garamond"/>
          <w:sz w:val="22"/>
          <w:szCs w:val="22"/>
        </w:rPr>
        <w:t xml:space="preserve">3.1 The Unity of Truth</w:t>
      </w:r>
    </w:p>
    <w:p>
      <w:pPr>
        <w:spacing w:after="80"/>
        <w:ind w:left="720"/>
      </w:pPr>
      <w:r>
        <w:rPr>
          <w:rFonts w:ascii="Garamond" w:cs="Garamond" w:eastAsia="Garamond" w:hAnsi="Garamond"/>
          <w:sz w:val="22"/>
          <w:szCs w:val="22"/>
        </w:rPr>
        <w:t xml:space="preserve">3.1.1 All Truth as God's Truth</w:t>
      </w:r>
    </w:p>
    <w:p>
      <w:pPr>
        <w:spacing w:after="80"/>
        <w:ind w:left="720"/>
      </w:pPr>
      <w:r>
        <w:rPr>
          <w:rFonts w:ascii="Garamond" w:cs="Garamond" w:eastAsia="Garamond" w:hAnsi="Garamond"/>
          <w:sz w:val="22"/>
          <w:szCs w:val="22"/>
        </w:rPr>
        <w:t xml:space="preserve">3.1.2 The Dialogue of Disciplines</w:t>
      </w:r>
    </w:p>
    <w:p>
      <w:pPr>
        <w:spacing w:after="80"/>
        <w:ind w:left="360"/>
      </w:pPr>
      <w:r>
        <w:rPr>
          <w:rFonts w:ascii="Garamond" w:cs="Garamond" w:eastAsia="Garamond" w:hAnsi="Garamond"/>
          <w:sz w:val="22"/>
          <w:szCs w:val="22"/>
        </w:rPr>
        <w:t xml:space="preserve">3.2 The Relationship of Theology and Science</w:t>
      </w:r>
    </w:p>
    <w:p>
      <w:pPr>
        <w:spacing w:after="80"/>
        <w:ind w:left="720"/>
      </w:pPr>
      <w:r>
        <w:rPr>
          <w:rFonts w:ascii="Garamond" w:cs="Garamond" w:eastAsia="Garamond" w:hAnsi="Garamond"/>
          <w:sz w:val="22"/>
          <w:szCs w:val="22"/>
        </w:rPr>
        <w:t xml:space="preserve">3.2.1 Historical Models</w:t>
      </w:r>
    </w:p>
    <w:p>
      <w:pPr>
        <w:spacing w:after="80"/>
        <w:ind w:left="720"/>
      </w:pPr>
      <w:r>
        <w:rPr>
          <w:rFonts w:ascii="Garamond" w:cs="Garamond" w:eastAsia="Garamond" w:hAnsi="Garamond"/>
          <w:sz w:val="22"/>
          <w:szCs w:val="22"/>
        </w:rPr>
        <w:t xml:space="preserve">3.2.2 The Orthodox Approach</w:t>
      </w:r>
    </w:p>
    <w:p>
      <w:pPr>
        <w:spacing w:after="80"/>
        <w:ind w:left="360"/>
      </w:pPr>
      <w:r>
        <w:rPr>
          <w:rFonts w:ascii="Garamond" w:cs="Garamond" w:eastAsia="Garamond" w:hAnsi="Garamond"/>
          <w:sz w:val="22"/>
          <w:szCs w:val="22"/>
        </w:rPr>
        <w:t xml:space="preserve">3.3 The Relationship of Theology and Philosophy</w:t>
      </w:r>
    </w:p>
    <w:p>
      <w:pPr>
        <w:spacing w:after="80"/>
        <w:ind w:left="720"/>
      </w:pPr>
      <w:r>
        <w:rPr>
          <w:rFonts w:ascii="Garamond" w:cs="Garamond" w:eastAsia="Garamond" w:hAnsi="Garamond"/>
          <w:sz w:val="22"/>
          <w:szCs w:val="22"/>
        </w:rPr>
        <w:t xml:space="preserve">3.3.1 The Patristic Use of Philosophy</w:t>
      </w:r>
    </w:p>
    <w:p>
      <w:pPr>
        <w:spacing w:after="80"/>
        <w:ind w:left="720"/>
      </w:pPr>
      <w:r>
        <w:rPr>
          <w:rFonts w:ascii="Garamond" w:cs="Garamond" w:eastAsia="Garamond" w:hAnsi="Garamond"/>
          <w:sz w:val="22"/>
          <w:szCs w:val="22"/>
        </w:rPr>
        <w:t xml:space="preserve">3.3.2 The Byzantine Philosophical Tradition</w:t>
      </w:r>
    </w:p>
    <w:p>
      <w:pPr>
        <w:spacing w:after="80"/>
        <w:ind w:left="720"/>
      </w:pPr>
      <w:r>
        <w:rPr>
          <w:rFonts w:ascii="Garamond" w:cs="Garamond" w:eastAsia="Garamond" w:hAnsi="Garamond"/>
          <w:sz w:val="22"/>
          <w:szCs w:val="22"/>
        </w:rPr>
        <w:t xml:space="preserve">3.3.3 Contemporary Philosophical Engagement</w:t>
      </w:r>
    </w:p>
    <w:p>
      <w:pPr>
        <w:spacing w:after="80"/>
        <w:ind w:left="360"/>
      </w:pPr>
      <w:r>
        <w:rPr>
          <w:rFonts w:ascii="Garamond" w:cs="Garamond" w:eastAsia="Garamond" w:hAnsi="Garamond"/>
          <w:sz w:val="22"/>
          <w:szCs w:val="22"/>
        </w:rPr>
        <w:t xml:space="preserve">3.4 The Relationship of Theology and Mathematics</w:t>
      </w:r>
    </w:p>
    <w:p>
      <w:pPr>
        <w:spacing w:after="80"/>
        <w:ind w:left="720"/>
      </w:pPr>
      <w:r>
        <w:rPr>
          <w:rFonts w:ascii="Garamond" w:cs="Garamond" w:eastAsia="Garamond" w:hAnsi="Garamond"/>
          <w:sz w:val="22"/>
          <w:szCs w:val="22"/>
        </w:rPr>
        <w:t xml:space="preserve">3.4.1 Mathematics as Divine Language</w:t>
      </w:r>
    </w:p>
    <w:p>
      <w:pPr>
        <w:spacing w:after="80"/>
        <w:ind w:left="720"/>
      </w:pPr>
      <w:r>
        <w:rPr>
          <w:rFonts w:ascii="Garamond" w:cs="Garamond" w:eastAsia="Garamond" w:hAnsi="Garamond"/>
          <w:sz w:val="22"/>
          <w:szCs w:val="22"/>
        </w:rPr>
        <w:t xml:space="preserve">3.4.2 Advanced Mathematical Structures and Theological Analogy</w:t>
      </w:r>
    </w:p>
    <w:p>
      <w:r>
        <w:br w:type="page"/>
      </w:r>
    </w:p>
    <w:p>
      <w:pPr>
        <w:pStyle w:val="Heading1"/>
      </w:pPr>
      <w:r>
        <w:t xml:space="preserve">DIVISION GAMMA</w:t>
      </w:r>
    </w:p>
    <w:p>
      <w:pPr>
        <w:spacing w:after="400"/>
        <w:jc w:val="center"/>
      </w:pPr>
      <w:r>
        <w:rPr>
          <w:rFonts w:ascii="Garamond" w:cs="Garamond" w:eastAsia="Garamond" w:hAnsi="Garamond"/>
          <w:smallCaps/>
          <w:sz w:val="36"/>
          <w:szCs w:val="36"/>
        </w:rPr>
        <w:t xml:space="preserve">THE PRIMEVAL HISTORY (GENESIS 1-11)</w:t>
      </w:r>
    </w:p>
    <w:p>
      <w:pPr>
        <w:spacing w:after="200" w:line="276"/>
      </w:pPr>
      <w:r>
        <w:rPr>
          <w:rFonts w:ascii="Garamond" w:cs="Garamond" w:eastAsia="Garamond" w:hAnsi="Garamond"/>
          <w:sz w:val="24"/>
          <w:szCs w:val="24"/>
        </w:rPr>
        <w:t xml:space="preserve">Division Gamma comprises the detailed verse by verse analysis of Genesis chapters 1 through 11, the section traditionally designated the Primeval History. This portion of Genesis treats the origins of all things: the cosmos, life, humanity, sin, death, civilization, and nations. Its scope is universal rather than particular, cosmic rather than national. Only with the call of Abraham in chapter 12 does the focus narrow to the particular history of salvation that runs through Israel to Christ.</w:t>
      </w:r>
    </w:p>
    <w:p>
      <w:pPr>
        <w:spacing w:after="200" w:line="276"/>
      </w:pPr>
      <w:r>
        <w:rPr>
          <w:rFonts w:ascii="Garamond" w:cs="Garamond" w:eastAsia="Garamond" w:hAnsi="Garamond"/>
          <w:sz w:val="24"/>
          <w:szCs w:val="24"/>
        </w:rPr>
        <w:t xml:space="preserve">The Primeval History poses distinctive interpretive challenges. Its narratives touch on matters that also fall within the purview of natural science: cosmology, geology, biology, anthropology. The relationship between the Genesis account and scientific reconstruction must be thoughtfully navigated. The approach of this work is to honor both the authority of Scripture and the legitimate findings of science, seeking integration rather than either conflict or compartmentalization.</w:t>
      </w:r>
    </w:p>
    <w:p>
      <w:r>
        <w:br w:type="page"/>
      </w:r>
    </w:p>
    <w:p>
      <w:pPr>
        <w:pStyle w:val="Heading1"/>
      </w:pPr>
      <w:r>
        <w:t xml:space="preserve">BOOK III: THE CREATION NARRATIVE (GENESIS 1:1-2:3)</w:t>
      </w:r>
    </w:p>
    <w:p>
      <w:pPr>
        <w:spacing w:after="200" w:line="276"/>
      </w:pPr>
      <w:r>
        <w:rPr>
          <w:rFonts w:ascii="Garamond" w:cs="Garamond" w:eastAsia="Garamond" w:hAnsi="Garamond"/>
          <w:sz w:val="24"/>
          <w:szCs w:val="24"/>
        </w:rPr>
        <w:t xml:space="preserve">The creation narrative of Genesis 1:1 to 2:3 constitutes the hexaemeral account in the strict sense: the six days of creation followed by the seventh day of sabbath rest. This magnificent text has generated more theological, philosophical, and scientific reflection than perhaps any other passage in Scripture. Its interpretation is central to questions of cosmology, anthropology, the nature of time, the character of divine action, and the relationship of faith and science.</w:t>
      </w:r>
    </w:p>
    <w:p>
      <w:r>
        <w:br w:type="page"/>
      </w:r>
    </w:p>
    <w:p>
      <w:pPr>
        <w:pStyle w:val="Heading2"/>
      </w:pPr>
      <w:r>
        <w:t xml:space="preserve">Part One: Ἐν ἀρχῇ — The Beginning (Genesis 1:1-2)</w:t>
      </w:r>
    </w:p>
    <w:p>
      <w:pPr>
        <w:pStyle w:val="Heading3"/>
      </w:pPr>
      <w:r>
        <w:t xml:space="preserve">Chapter 12: Genesis 1:1</w:t>
      </w:r>
    </w:p>
    <w:p>
      <w:pPr>
        <w:spacing w:after="200"/>
        <w:jc w:val="center"/>
      </w:pPr>
      <w:r>
        <w:rPr>
          <w:rFonts w:ascii="Garamond" w:cs="Garamond" w:eastAsia="Garamond" w:hAnsi="Garamond"/>
          <w:i/>
          <w:iCs/>
          <w:sz w:val="28"/>
          <w:szCs w:val="28"/>
        </w:rPr>
        <w:t xml:space="preserve">"In the Beginning God Created the Heavens and the Earth"</w:t>
      </w:r>
    </w:p>
    <w:p>
      <w:pPr>
        <w:pStyle w:val="Heading4"/>
      </w:pPr>
      <w:r>
        <w:t xml:space="preserve">12.1 Textual Analysis</w:t>
      </w:r>
    </w:p>
    <w:p>
      <w:pPr>
        <w:pStyle w:val="Heading5"/>
      </w:pPr>
      <w:r>
        <w:t xml:space="preserve">12.1.1 Greek Text</w:t>
      </w:r>
    </w:p>
    <w:p>
      <w:pPr>
        <w:spacing w:before="200" w:after="200"/>
        <w:jc w:val="center"/>
      </w:pPr>
      <w:r>
        <w:rPr>
          <w:rFonts w:ascii="Times New Roman" w:cs="Times New Roman" w:eastAsia="Times New Roman" w:hAnsi="Times New Roman"/>
          <w:b/>
          <w:bCs/>
          <w:sz w:val="32"/>
          <w:szCs w:val="32"/>
        </w:rPr>
        <w:t xml:space="preserve">Ἐν ἀρχῇ ἐποίησεν ὁ θεὸς τὸν οὐρανὸν καὶ τὴν γῆν</w:t>
      </w:r>
    </w:p>
    <w:p>
      <w:pPr>
        <w:spacing w:after="200" w:line="276"/>
      </w:pPr>
      <w:r>
        <w:rPr>
          <w:rFonts w:ascii="Garamond" w:cs="Garamond" w:eastAsia="Garamond" w:hAnsi="Garamond"/>
          <w:sz w:val="24"/>
          <w:szCs w:val="24"/>
        </w:rPr>
        <w:t xml:space="preserve">The Greek text presents the foundational affirmation of biblical faith: God is the source of all that exists. The simplicity of the sentence belies its infinite depth. Seven Greek words contain the answer to the most fundamental question philosophy can ask: Why is there something rather than nothing?</w:t>
      </w:r>
    </w:p>
    <w:p>
      <w:pPr>
        <w:spacing w:after="200" w:line="276"/>
      </w:pPr>
      <w:r>
        <w:rPr>
          <w:rFonts w:ascii="Garamond" w:cs="Garamond" w:eastAsia="Garamond" w:hAnsi="Garamond"/>
          <w:sz w:val="24"/>
          <w:szCs w:val="24"/>
        </w:rPr>
        <w:t xml:space="preserve">12.1.1.1 Critical Apparatus</w:t>
      </w:r>
    </w:p>
    <w:p>
      <w:pPr>
        <w:spacing w:after="160" w:line="276"/>
        <w:ind w:left="720"/>
      </w:pPr>
      <w:r>
        <w:rPr>
          <w:rFonts w:ascii="Garamond" w:cs="Garamond" w:eastAsia="Garamond" w:hAnsi="Garamond"/>
          <w:sz w:val="22"/>
          <w:szCs w:val="22"/>
        </w:rPr>
        <w:t xml:space="preserve">The text of Genesis 1:1 is remarkably stable across manuscript traditions. The Göttingen critical edition (John William Wevers, 1974) reports no significant variants for this verse. Codex Vaticanus (B), Codex Sinaiticus (א), and Codex Alexandrinus (A) agree precisely. This textual stability across the major witnesses testifies to the care with which this foundational text was transmitted.</w:t>
      </w:r>
    </w:p>
    <w:p>
      <w:pPr>
        <w:spacing w:after="200" w:line="276"/>
      </w:pPr>
      <w:r>
        <w:rPr>
          <w:rFonts w:ascii="Garamond" w:cs="Garamond" w:eastAsia="Garamond" w:hAnsi="Garamond"/>
          <w:sz w:val="24"/>
          <w:szCs w:val="24"/>
        </w:rPr>
        <w:t xml:space="preserve">12.1.1.2 Manuscript Evidence</w:t>
      </w:r>
    </w:p>
    <w:p>
      <w:pPr>
        <w:spacing w:after="160" w:line="276"/>
        <w:ind w:left="720"/>
      </w:pPr>
      <w:r>
        <w:rPr>
          <w:rFonts w:ascii="Garamond" w:cs="Garamond" w:eastAsia="Garamond" w:hAnsi="Garamond"/>
          <w:sz w:val="22"/>
          <w:szCs w:val="22"/>
        </w:rPr>
        <w:t xml:space="preserve">Papyrus 911 (P. Chester Beatty V), dating from the second century, preserves portions of Genesis including the opening chapters, confirming the antiquity of the textual tradition. The agreement between this early papyrus and the great uncial codices of the fourth and fifth centuries demonstrates textual continuity across centuries of transmission.</w:t>
      </w:r>
    </w:p>
    <w:p>
      <w:pPr>
        <w:spacing w:after="200" w:line="276"/>
      </w:pPr>
      <w:r>
        <w:rPr>
          <w:rFonts w:ascii="Garamond" w:cs="Garamond" w:eastAsia="Garamond" w:hAnsi="Garamond"/>
          <w:sz w:val="24"/>
          <w:szCs w:val="24"/>
        </w:rPr>
        <w:t xml:space="preserve">12.1.2 Hebrew Text</w:t>
      </w:r>
    </w:p>
    <w:p>
      <w:pPr>
        <w:spacing w:before="200" w:after="200"/>
        <w:jc w:val="center"/>
      </w:pPr>
      <w:r>
        <w:rPr>
          <w:rFonts w:ascii="Times New Roman" w:cs="Times New Roman" w:eastAsia="Times New Roman" w:hAnsi="Times New Roman"/>
          <w:b/>
          <w:bCs/>
          <w:sz w:val="32"/>
          <w:szCs w:val="32"/>
        </w:rPr>
        <w:t xml:space="preserve">בְּרֵאשִׁית בָּרָא אֱלֹהִים אֵת הַשָּׁמַיִם וְאֵת הָאָרֶץ</w:t>
      </w:r>
    </w:p>
    <w:p>
      <w:pPr>
        <w:spacing w:after="200" w:line="276"/>
      </w:pPr>
      <w:r>
        <w:rPr>
          <w:rFonts w:ascii="Garamond" w:cs="Garamond" w:eastAsia="Garamond" w:hAnsi="Garamond"/>
          <w:sz w:val="24"/>
          <w:szCs w:val="24"/>
        </w:rPr>
        <w:t xml:space="preserve">The Hebrew text of the Masoretic tradition presents an identical affirmation in its own grammatical idiom. The famous first word, בְּרֵאשִׁית (bereishit), has generated significant scholarly discussion regarding its grammatical form and syntactical function. The Septuagint's rendering Ἐν ἀρχῇ represents one interpretive decision among several possibilities.</w:t>
      </w:r>
    </w:p>
    <w:p>
      <w:pPr>
        <w:spacing w:after="200" w:line="276"/>
      </w:pPr>
      <w:r>
        <w:rPr>
          <w:rFonts w:ascii="Garamond" w:cs="Garamond" w:eastAsia="Garamond" w:hAnsi="Garamond"/>
          <w:sz w:val="24"/>
          <w:szCs w:val="24"/>
        </w:rPr>
        <w:t xml:space="preserve">12.1.2.1 The Syntactical Question</w:t>
      </w:r>
    </w:p>
    <w:p>
      <w:pPr>
        <w:spacing w:after="160" w:line="276"/>
        <w:ind w:left="720"/>
      </w:pPr>
      <w:r>
        <w:rPr>
          <w:rFonts w:ascii="Garamond" w:cs="Garamond" w:eastAsia="Garamond" w:hAnsi="Garamond"/>
          <w:sz w:val="22"/>
          <w:szCs w:val="22"/>
        </w:rPr>
        <w:t xml:space="preserve">The grammatical form of בְּרֵאשִׁית (bereishit) admits multiple analyses. Traditional interpretation treats it as an absolute noun with the preposition ב: "In [the] beginning." This reading takes verse 1 as an independent sentence affirming absolute creation. Alternative analyses treat it as a construct phrase: "In the beginning of God's creating" (taking verse 1 as a temporal clause modifying verse 2 or verse 3). The Septuagint's Ἐν ἀρχῇ supports the traditional absolute reading.</w:t>
      </w:r>
    </w:p>
    <w:p>
      <w:pPr>
        <w:spacing w:after="160" w:line="276"/>
        <w:ind w:left="720"/>
      </w:pPr>
      <w:r>
        <w:rPr>
          <w:rFonts w:ascii="Garamond" w:cs="Garamond" w:eastAsia="Garamond" w:hAnsi="Garamond"/>
          <w:sz w:val="22"/>
          <w:szCs w:val="22"/>
        </w:rPr>
        <w:t xml:space="preserve">The theological stakes of this grammatical question are considerable. If verse 1 is an absolute statement, it affirms creation ex nihilo at the outset. If verse 1 is a temporal clause, the question of pre existent matter becomes more complex. Orthodox interpretation, following the Septuagint and patristic consensus, affirms the absolute reading while acknowledging the grammatical complexity.</w:t>
      </w:r>
    </w:p>
    <w:p>
      <w:pPr>
        <w:spacing w:after="200" w:line="276"/>
      </w:pPr>
      <w:r>
        <w:rPr>
          <w:rFonts w:ascii="Garamond" w:cs="Garamond" w:eastAsia="Garamond" w:hAnsi="Garamond"/>
          <w:sz w:val="24"/>
          <w:szCs w:val="24"/>
        </w:rPr>
        <w:t xml:space="preserve">12.1.3 Other Versions</w:t>
      </w:r>
    </w:p>
    <w:p>
      <w:pPr>
        <w:spacing w:after="160" w:line="276"/>
        <w:ind w:left="720"/>
      </w:pPr>
      <w:r>
        <w:rPr>
          <w:rFonts w:ascii="Garamond" w:cs="Garamond" w:eastAsia="Garamond" w:hAnsi="Garamond"/>
          <w:sz w:val="22"/>
          <w:szCs w:val="22"/>
        </w:rPr>
        <w:t xml:space="preserve">The Samaritan Pentateuch agrees with the Masoretic Text, reading בראשית ברא אלהים (without the later Masoretic pointing but with the same consonantal text). Targum Onqelos renders: בקדמין ברא ייי ("In the beginning the Lord created"), substituting the divine name YHWH (represented as ייי) for Elohim. The Peshitta (Syriac) reads: ܒܪܫܝܬ ܒܪܐ ܐܠܗܐ ("In the beginning God created"). The Vulgate renders: In principio creavit Deus caelum et terram.</w:t>
      </w:r>
    </w:p>
    <w:p>
      <w:r>
        <w:br w:type="page"/>
      </w:r>
    </w:p>
    <w:p>
      <w:pPr>
        <w:pStyle w:val="Heading4"/>
      </w:pPr>
      <w:r>
        <w:t xml:space="preserve">12.2 Linguistic Analysis</w:t>
      </w:r>
    </w:p>
    <w:p>
      <w:pPr>
        <w:pStyle w:val="Heading5"/>
      </w:pPr>
      <w:r>
        <w:t xml:space="preserve">12.2.1 Ἐν ἀρχῇ — "In the Beginning"</w:t>
      </w:r>
    </w:p>
    <w:p>
      <w:pPr>
        <w:spacing w:after="200" w:line="276"/>
      </w:pPr>
      <w:r>
        <w:rPr>
          <w:rFonts w:ascii="Garamond" w:cs="Garamond" w:eastAsia="Garamond" w:hAnsi="Garamond"/>
          <w:sz w:val="24"/>
          <w:szCs w:val="24"/>
        </w:rPr>
        <w:t xml:space="preserve">The phrase ἐν ἀρχῇ opens not only Genesis but, in deliberate echo, the Gospel of John. Its meaning encompasses both temporal and ontological dimensions. Temporally, it marks the inception of created time. Ontologically, it designates the foundational principle from which all else derives.</w:t>
      </w:r>
    </w:p>
    <w:p>
      <w:pPr>
        <w:spacing w:after="200" w:line="276"/>
      </w:pPr>
      <w:r>
        <w:rPr>
          <w:rFonts w:ascii="Garamond" w:cs="Garamond" w:eastAsia="Garamond" w:hAnsi="Garamond"/>
          <w:sz w:val="24"/>
          <w:szCs w:val="24"/>
        </w:rPr>
        <w:t xml:space="preserve">12.2.1.1 Grammar</w:t>
      </w:r>
    </w:p>
    <w:p>
      <w:pPr>
        <w:spacing w:after="160" w:line="276"/>
        <w:ind w:left="720"/>
      </w:pPr>
      <w:r>
        <w:rPr>
          <w:rFonts w:ascii="Garamond" w:cs="Garamond" w:eastAsia="Garamond" w:hAnsi="Garamond"/>
          <w:sz w:val="22"/>
          <w:szCs w:val="22"/>
        </w:rPr>
        <w:t xml:space="preserve">The prepositional phrase comprises the preposition ἐν with the dative singular of ἀρχή. The absence of the article (ἐν ἀρχῇ rather than ἐν τῇ ἀρχῇ) is significant. The anarthrous construction suggests qualitative or abstract reference: "in beginning" as a category rather than "in the beginning" as a specific point already known. Yet the context clearly indicates temporal inception.</w:t>
      </w:r>
    </w:p>
    <w:p>
      <w:pPr>
        <w:spacing w:after="160" w:line="276"/>
        <w:ind w:left="720"/>
      </w:pPr>
      <w:r>
        <w:rPr>
          <w:rFonts w:ascii="Garamond" w:cs="Garamond" w:eastAsia="Garamond" w:hAnsi="Garamond"/>
          <w:sz w:val="22"/>
          <w:szCs w:val="22"/>
        </w:rPr>
        <w:t xml:space="preserve">The preposition ἐν with dative here indicates temporal location: at the time when beginning occurred. The spatial sense of ἐν ("in") is metaphorically extended to temporal reference. This temporal use of ἐν is common in both classical and biblical Greek.</w:t>
      </w:r>
    </w:p>
    <w:p>
      <w:pPr>
        <w:spacing w:after="200" w:line="276"/>
      </w:pPr>
      <w:r>
        <w:rPr>
          <w:rFonts w:ascii="Garamond" w:cs="Garamond" w:eastAsia="Garamond" w:hAnsi="Garamond"/>
          <w:sz w:val="24"/>
          <w:szCs w:val="24"/>
        </w:rPr>
        <w:t xml:space="preserve">12.2.1.2 Semantics</w:t>
      </w:r>
    </w:p>
    <w:p>
      <w:pPr>
        <w:spacing w:after="160" w:line="276"/>
        <w:ind w:left="720"/>
      </w:pPr>
      <w:r>
        <w:rPr>
          <w:rFonts w:ascii="Garamond" w:cs="Garamond" w:eastAsia="Garamond" w:hAnsi="Garamond"/>
          <w:sz w:val="22"/>
          <w:szCs w:val="22"/>
        </w:rPr>
        <w:t xml:space="preserve">The noun ἀρχή carries a rich semantic range in Greek. Its primary meanings include: (1) beginning, commencement, the point at which something starts; (2) origin, source, that from which something derives; (3) first cause, originating principle; (4) rule, authority, domain of power; (5) chief position, primacy. These meanings interweave in theological usage.</w:t>
      </w:r>
    </w:p>
    <w:p>
      <w:pPr>
        <w:spacing w:after="160" w:line="276"/>
        <w:ind w:left="720"/>
      </w:pPr>
      <w:r>
        <w:rPr>
          <w:rFonts w:ascii="Garamond" w:cs="Garamond" w:eastAsia="Garamond" w:hAnsi="Garamond"/>
          <w:sz w:val="22"/>
          <w:szCs w:val="22"/>
        </w:rPr>
        <w:t xml:space="preserve">The Hebrew בְּרֵאשִׁית derives from רֹאשׁ ("head") and thus carries connotations of primacy and preeminence as well as temporal priority. What comes first is also what is chief. The beginning is not merely chronological but foundational.</w:t>
      </w:r>
    </w:p>
    <w:p>
      <w:pPr>
        <w:spacing w:after="200" w:line="276"/>
      </w:pPr>
      <w:r>
        <w:rPr>
          <w:rFonts w:ascii="Garamond" w:cs="Garamond" w:eastAsia="Garamond" w:hAnsi="Garamond"/>
          <w:sz w:val="24"/>
          <w:szCs w:val="24"/>
        </w:rPr>
        <w:t xml:space="preserve">12.2.1.3 Intertextual Connections</w:t>
      </w:r>
    </w:p>
    <w:p>
      <w:pPr>
        <w:spacing w:after="160" w:line="276"/>
        <w:ind w:left="720"/>
      </w:pPr>
      <w:r>
        <w:rPr>
          <w:rFonts w:ascii="Garamond" w:cs="Garamond" w:eastAsia="Garamond" w:hAnsi="Garamond"/>
          <w:sz w:val="22"/>
          <w:szCs w:val="22"/>
        </w:rPr>
        <w:t xml:space="preserve">The echo of Genesis 1:1 in John 1:1 is unmistakable and intentional. John writes: Ἐν ἀρχῇ ἦν ὁ λόγος ("In the beginning was the Word"). But where Genesis uses the aorist ἐποίησεν ("made," punctiliar action), John uses the imperfect ἦν ("was," continuous state). The Word did not begin to be in the beginning; the Word already was when beginning began. The pre existence of the Logos thus stands behind the creation of Genesis 1:1.</w:t>
      </w:r>
    </w:p>
    <w:p>
      <w:pPr>
        <w:spacing w:after="160" w:line="276"/>
        <w:ind w:left="720"/>
      </w:pPr>
      <w:r>
        <w:rPr>
          <w:rFonts w:ascii="Garamond" w:cs="Garamond" w:eastAsia="Garamond" w:hAnsi="Garamond"/>
          <w:sz w:val="22"/>
          <w:szCs w:val="22"/>
        </w:rPr>
        <w:t xml:space="preserve">Proverbs 8:22 (LXX) provides another crucial intertext. There personified Wisdom declares: Κύριος ἔκτισέν με ἀρχὴν ὁδῶν αὐτοῦ εἰς ἔργα αὐτοῦ ("The Lord created me [as the] beginning of his ways for his works"). This passage, read christologically by the fathers, identifies Wisdom with the Logos through whom creation occurs. Christ is the ἀρχή in whom all things are made.</w:t>
      </w:r>
    </w:p>
    <w:p>
      <w:pPr>
        <w:pStyle w:val="Heading5"/>
      </w:pPr>
      <w:r>
        <w:t xml:space="preserve">12.2.2 ἐποίησεν — "He Made/Created"</w:t>
      </w:r>
    </w:p>
    <w:p>
      <w:pPr>
        <w:spacing w:after="200" w:line="276"/>
      </w:pPr>
      <w:r>
        <w:rPr>
          <w:rFonts w:ascii="Garamond" w:cs="Garamond" w:eastAsia="Garamond" w:hAnsi="Garamond"/>
          <w:sz w:val="24"/>
          <w:szCs w:val="24"/>
        </w:rPr>
        <w:t xml:space="preserve">The verb ἐποίησεν is the aorist indicative active, third person singular of ποιέω, "to make, do, create." The aorist tense views the action as a whole, as a completed fact, without specifying duration or internal structure. The active voice indicates that God is the agent of creation, not a passive observer.</w:t>
      </w:r>
    </w:p>
    <w:p>
      <w:pPr>
        <w:spacing w:after="200" w:line="276"/>
      </w:pPr>
      <w:r>
        <w:rPr>
          <w:rFonts w:ascii="Garamond" w:cs="Garamond" w:eastAsia="Garamond" w:hAnsi="Garamond"/>
          <w:sz w:val="24"/>
          <w:szCs w:val="24"/>
        </w:rPr>
        <w:t xml:space="preserve">12.2.2.1 Semantic Range</w:t>
      </w:r>
    </w:p>
    <w:p>
      <w:pPr>
        <w:spacing w:after="160" w:line="276"/>
        <w:ind w:left="720"/>
      </w:pPr>
      <w:r>
        <w:rPr>
          <w:rFonts w:ascii="Garamond" w:cs="Garamond" w:eastAsia="Garamond" w:hAnsi="Garamond"/>
          <w:sz w:val="22"/>
          <w:szCs w:val="22"/>
        </w:rPr>
        <w:t xml:space="preserve">The Greek verb ποιέω has a broad semantic range: to make, produce, create, do, perform, cause. It is the ordinary word for human making and doing. The Septuagint employs it to translate the Hebrew בָּרָא (bara), which in the Hebrew Bible is used exclusively with God as subject. The choice of the common word ποιέω rather than a more specialized term (such as δημιουργέω, "to work as a craftsman," or κτίζω, "to found, create") may emphasize the sovereignty and ease of divine creation.</w:t>
      </w:r>
    </w:p>
    <w:p>
      <w:pPr>
        <w:spacing w:after="160" w:line="276"/>
        <w:ind w:left="720"/>
      </w:pPr>
      <w:r>
        <w:rPr>
          <w:rFonts w:ascii="Garamond" w:cs="Garamond" w:eastAsia="Garamond" w:hAnsi="Garamond"/>
          <w:sz w:val="22"/>
          <w:szCs w:val="22"/>
        </w:rPr>
        <w:t xml:space="preserve">Later theological vocabulary would distinguish ποιέω (making), κτίζω (founding, creating), and δημιουργέω (crafting). But in the Septuagint, these terms are not sharply distinguished. The context, specifying God as subject and the cosmos as object, gives ποιέω the full weight of creative production ex nihilo.</w:t>
      </w:r>
    </w:p>
    <w:p>
      <w:pPr>
        <w:spacing w:after="200" w:line="276"/>
      </w:pPr>
      <w:r>
        <w:rPr>
          <w:rFonts w:ascii="Garamond" w:cs="Garamond" w:eastAsia="Garamond" w:hAnsi="Garamond"/>
          <w:sz w:val="24"/>
          <w:szCs w:val="24"/>
        </w:rPr>
        <w:t xml:space="preserve">12.2.2.2 The Hebrew בָּרָא</w:t>
      </w:r>
    </w:p>
    <w:p>
      <w:pPr>
        <w:spacing w:after="160" w:line="276"/>
        <w:ind w:left="720"/>
      </w:pPr>
      <w:r>
        <w:rPr>
          <w:rFonts w:ascii="Garamond" w:cs="Garamond" w:eastAsia="Garamond" w:hAnsi="Garamond"/>
          <w:sz w:val="22"/>
          <w:szCs w:val="22"/>
        </w:rPr>
        <w:t xml:space="preserve">The Hebrew verb בָּרָא (bara) deserves special attention. In the Hebrew Bible, this verb occurs only with God as subject. It denotes specifically divine creative activity, distinct from human making. While humans can עָשָׂה (asah, "make") or יָצַר (yatsar, "form"), only God can בָּרָא (bara, "create"). This linguistic distinction supports the doctrine of creation's absolute dependence on God.</w:t>
      </w:r>
    </w:p>
    <w:p>
      <w:pPr>
        <w:spacing w:after="160" w:line="276"/>
        <w:ind w:left="720"/>
      </w:pPr>
      <w:r>
        <w:rPr>
          <w:rFonts w:ascii="Garamond" w:cs="Garamond" w:eastAsia="Garamond" w:hAnsi="Garamond"/>
          <w:sz w:val="22"/>
          <w:szCs w:val="22"/>
        </w:rPr>
        <w:t xml:space="preserve">The verb בָּרָא never takes a material object in the accusative indicating the material from which something is made. This absence is significant. When human making is described, the material may be specified: "he made a house from wood." But בָּרָא stands alone with its product, without material specification. This grammatical feature supports the doctrine of creation ex nihilo.</w:t>
      </w:r>
    </w:p>
    <w:p>
      <w:pPr>
        <w:pStyle w:val="Heading5"/>
      </w:pPr>
      <w:r>
        <w:t xml:space="preserve">12.2.3 ὁ θεός — "God"</w:t>
      </w:r>
    </w:p>
    <w:p>
      <w:pPr>
        <w:spacing w:after="200" w:line="276"/>
      </w:pPr>
      <w:r>
        <w:rPr>
          <w:rFonts w:ascii="Garamond" w:cs="Garamond" w:eastAsia="Garamond" w:hAnsi="Garamond"/>
          <w:sz w:val="24"/>
          <w:szCs w:val="24"/>
        </w:rPr>
        <w:t xml:space="preserve">The subject of creation is ὁ θεός, "God." The Greek renders the Hebrew אֱלֹהִים (Elohim), grammatically a plural form but used with singular verbs when designating the one God of Israel.</w:t>
      </w:r>
    </w:p>
    <w:p>
      <w:pPr>
        <w:spacing w:after="200" w:line="276"/>
      </w:pPr>
      <w:r>
        <w:rPr>
          <w:rFonts w:ascii="Garamond" w:cs="Garamond" w:eastAsia="Garamond" w:hAnsi="Garamond"/>
          <w:sz w:val="24"/>
          <w:szCs w:val="24"/>
        </w:rPr>
        <w:t xml:space="preserve">12.2.3.1 The Plural Form</w:t>
      </w:r>
    </w:p>
    <w:p>
      <w:pPr>
        <w:spacing w:after="160" w:line="276"/>
        <w:ind w:left="720"/>
      </w:pPr>
      <w:r>
        <w:rPr>
          <w:rFonts w:ascii="Garamond" w:cs="Garamond" w:eastAsia="Garamond" w:hAnsi="Garamond"/>
          <w:sz w:val="22"/>
          <w:szCs w:val="22"/>
        </w:rPr>
        <w:t xml:space="preserve">The Hebrew אֱלֹהִים is morphologically plural, yet it regularly takes singular verbs, adjectives, and pronouns when referring to the God of Israel. Various explanations have been proposed: the plural of majesty (analogous to royal "we"), the plural of fullness or intensity (the maximally divine), or a vestige of earlier polytheistic usage now reinterpreted monotheistically.</w:t>
      </w:r>
    </w:p>
    <w:p>
      <w:pPr>
        <w:spacing w:after="160" w:line="276"/>
        <w:ind w:left="720"/>
      </w:pPr>
      <w:r>
        <w:rPr>
          <w:rFonts w:ascii="Garamond" w:cs="Garamond" w:eastAsia="Garamond" w:hAnsi="Garamond"/>
          <w:sz w:val="22"/>
          <w:szCs w:val="22"/>
        </w:rPr>
        <w:t xml:space="preserve">Christian interpretation, particularly from the patristic period, often saw in this plural form a hint of the Trinity. While this reading cannot be established exegetically from the Hebrew grammar alone, it is not inconsistent with the fuller revelation. The one God who creates is Father, Son, and Holy Spirit; the plural form, whatever its original significance, is not unfitting for the triune Creator.</w:t>
      </w:r>
    </w:p>
    <w:p>
      <w:pPr>
        <w:spacing w:after="200" w:line="276"/>
      </w:pPr>
      <w:r>
        <w:rPr>
          <w:rFonts w:ascii="Garamond" w:cs="Garamond" w:eastAsia="Garamond" w:hAnsi="Garamond"/>
          <w:sz w:val="24"/>
          <w:szCs w:val="24"/>
        </w:rPr>
        <w:t xml:space="preserve">12.2.3.2 Theological Significance</w:t>
      </w:r>
    </w:p>
    <w:p>
      <w:pPr>
        <w:spacing w:after="160" w:line="276"/>
        <w:ind w:left="720"/>
      </w:pPr>
      <w:r>
        <w:rPr>
          <w:rFonts w:ascii="Garamond" w:cs="Garamond" w:eastAsia="Garamond" w:hAnsi="Garamond"/>
          <w:sz w:val="22"/>
          <w:szCs w:val="22"/>
        </w:rPr>
        <w:t xml:space="preserve">That God is the subject of the first sentence of Scripture establishes the theocentric character of the biblical worldview. The Bible begins not with humanity's search for God but with God's creative action toward the world. Everything that follows presupposes this foundational fact: God is, God acts, God creates. Human existence is response to prior divine initiative.</w:t>
      </w:r>
    </w:p>
    <w:p>
      <w:pPr>
        <w:pStyle w:val="Heading5"/>
      </w:pPr>
      <w:r>
        <w:t xml:space="preserve">12.2.4 τὸν οὐρανὸν καὶ τὴν γῆν — "The Heaven and the Earth"</w:t>
      </w:r>
    </w:p>
    <w:p>
      <w:pPr>
        <w:spacing w:after="200" w:line="276"/>
      </w:pPr>
      <w:r>
        <w:rPr>
          <w:rFonts w:ascii="Garamond" w:cs="Garamond" w:eastAsia="Garamond" w:hAnsi="Garamond"/>
          <w:sz w:val="24"/>
          <w:szCs w:val="24"/>
        </w:rPr>
        <w:t xml:space="preserve">The objects of divine creation are "the heaven and the earth." This phrase functions as a merism, a figure of speech in which two contrasting or complementary terms express totality. Heaven and earth together designate the whole of created reality.</w:t>
      </w:r>
    </w:p>
    <w:p>
      <w:pPr>
        <w:spacing w:after="200" w:line="276"/>
      </w:pPr>
      <w:r>
        <w:rPr>
          <w:rFonts w:ascii="Garamond" w:cs="Garamond" w:eastAsia="Garamond" w:hAnsi="Garamond"/>
          <w:sz w:val="24"/>
          <w:szCs w:val="24"/>
        </w:rPr>
        <w:t xml:space="preserve">12.2.4.1 Merism for Totality</w:t>
      </w:r>
    </w:p>
    <w:p>
      <w:pPr>
        <w:spacing w:after="160" w:line="276"/>
        <w:ind w:left="720"/>
      </w:pPr>
      <w:r>
        <w:rPr>
          <w:rFonts w:ascii="Garamond" w:cs="Garamond" w:eastAsia="Garamond" w:hAnsi="Garamond"/>
          <w:sz w:val="22"/>
          <w:szCs w:val="22"/>
        </w:rPr>
        <w:t xml:space="preserve">The merism "heaven and earth" is equivalent to "everything" or "the universe." Hebrew lacks an abstract term for the cosmos as a whole; it expresses totality through polar pairs. Other biblical merisms include "day and night" (all time), "young and old" (everyone), "small and great" (all sizes). Heaven and earth, the two great domains of created reality, together comprise all that is.</w:t>
      </w:r>
    </w:p>
    <w:p>
      <w:pPr>
        <w:spacing w:after="160" w:line="276"/>
        <w:ind w:left="720"/>
      </w:pPr>
      <w:r>
        <w:rPr>
          <w:rFonts w:ascii="Garamond" w:cs="Garamond" w:eastAsia="Garamond" w:hAnsi="Garamond"/>
          <w:sz w:val="22"/>
          <w:szCs w:val="22"/>
        </w:rPr>
        <w:t xml:space="preserve">The definite articles (τὸν οὐρανὸν ... τὴν γῆν) mark these as the heaven and the earth, the familiar cosmic domains. The single article governing οὐρανὸν καὶ γῆν as a unit (rather than τὸν οὐρανὸν καὶ τὴν γῆν as two separate items) would emphasize their unity as a single created whole. The presence of two articles preserves the distinction of the two domains while their conjunction affirms their common origin in divine creation.</w:t>
      </w:r>
    </w:p>
    <w:p>
      <w:pPr>
        <w:spacing w:after="200" w:line="276"/>
      </w:pPr>
      <w:r>
        <w:rPr>
          <w:rFonts w:ascii="Garamond" w:cs="Garamond" w:eastAsia="Garamond" w:hAnsi="Garamond"/>
          <w:sz w:val="24"/>
          <w:szCs w:val="24"/>
        </w:rPr>
        <w:t xml:space="preserve">12.2.4.2 The Two Realms</w:t>
      </w:r>
    </w:p>
    <w:p>
      <w:pPr>
        <w:spacing w:after="160" w:line="276"/>
        <w:ind w:left="720"/>
      </w:pPr>
      <w:r>
        <w:rPr>
          <w:rFonts w:ascii="Garamond" w:cs="Garamond" w:eastAsia="Garamond" w:hAnsi="Garamond"/>
          <w:sz w:val="22"/>
          <w:szCs w:val="22"/>
        </w:rPr>
        <w:t xml:space="preserve">Heaven (οὐρανός, שָׁמַיִם) designates the realm above: the sky, the firmament, the dwelling of God and the angels. Earth (γῆ, אֶרֶץ) designates the realm below: the ground, the land, the habitation of humans and animals. These two realms exhaust visible reality and together with the invisible realities constitute the totality of creation.</w:t>
      </w:r>
    </w:p>
    <w:p>
      <w:pPr>
        <w:spacing w:after="160" w:line="276"/>
        <w:ind w:left="720"/>
      </w:pPr>
      <w:r>
        <w:rPr>
          <w:rFonts w:ascii="Garamond" w:cs="Garamond" w:eastAsia="Garamond" w:hAnsi="Garamond"/>
          <w:sz w:val="22"/>
          <w:szCs w:val="22"/>
        </w:rPr>
        <w:t xml:space="preserve">The distinction between heaven and earth, while affirming their common createdness, establishes a fundamental structure of biblical cosmology. Heaven is God's throne, earth his footstool (Isaiah 66:1). Yet this distinction is bridged in various ways: by Jacob's ladder (Genesis 28:12), by the temple where heaven and earth meet, supremely by the Incarnation in which the Lord of heaven dwells on earth.</w:t>
      </w:r>
    </w:p>
    <w:p>
      <w:r>
        <w:br w:type="page"/>
      </w:r>
    </w:p>
    <w:p>
      <w:pPr>
        <w:pStyle w:val="Heading4"/>
      </w:pPr>
      <w:r>
        <w:t xml:space="preserve">12.3 Theological Analysis</w:t>
      </w:r>
    </w:p>
    <w:p>
      <w:pPr>
        <w:pStyle w:val="Heading5"/>
      </w:pPr>
      <w:r>
        <w:t xml:space="preserve">12.3.1 Creation ex nihilo</w:t>
      </w:r>
    </w:p>
    <w:p>
      <w:pPr>
        <w:spacing w:after="200" w:line="276"/>
      </w:pPr>
      <w:r>
        <w:rPr>
          <w:rFonts w:ascii="Garamond" w:cs="Garamond" w:eastAsia="Garamond" w:hAnsi="Garamond"/>
          <w:sz w:val="24"/>
          <w:szCs w:val="24"/>
        </w:rPr>
        <w:t xml:space="preserve">The doctrine of creation ex nihilo ("out of nothing") affirms that God created all things without any pre existent material, that the world depends entirely on God for its existence, and that there is an absolute ontological distinction between Creator and creature. This doctrine, while not stated in precisely these terms in Genesis 1:1, is the orthodox interpretation of the verse developed in patristic reflection.</w:t>
      </w:r>
    </w:p>
    <w:p>
      <w:pPr>
        <w:spacing w:after="200" w:line="276"/>
      </w:pPr>
      <w:r>
        <w:rPr>
          <w:rFonts w:ascii="Garamond" w:cs="Garamond" w:eastAsia="Garamond" w:hAnsi="Garamond"/>
          <w:sz w:val="24"/>
          <w:szCs w:val="24"/>
        </w:rPr>
        <w:t xml:space="preserve">12.3.1.1 The Doctrine Stated</w:t>
      </w:r>
    </w:p>
    <w:p>
      <w:pPr>
        <w:spacing w:after="160" w:line="276"/>
        <w:ind w:left="720"/>
      </w:pPr>
      <w:r>
        <w:rPr>
          <w:rFonts w:ascii="Garamond" w:cs="Garamond" w:eastAsia="Garamond" w:hAnsi="Garamond"/>
          <w:sz w:val="22"/>
          <w:szCs w:val="22"/>
        </w:rPr>
        <w:t xml:space="preserve">Creation ex nihilo holds that before creation there was nothing except God. God did not create from pre existent matter, did not shape an eternal chaos, did not generate the world from his own substance. He created from nothing, by the sheer power of his word and will. "Nothing" here is not a something from which creation was made but the denial of any pre existent substrate.</w:t>
      </w:r>
    </w:p>
    <w:p>
      <w:pPr>
        <w:spacing w:after="160" w:line="276"/>
        <w:ind w:left="720"/>
      </w:pPr>
      <w:r>
        <w:rPr>
          <w:rFonts w:ascii="Garamond" w:cs="Garamond" w:eastAsia="Garamond" w:hAnsi="Garamond"/>
          <w:sz w:val="22"/>
          <w:szCs w:val="22"/>
        </w:rPr>
        <w:t xml:space="preserve">The earliest explicit statement of the doctrine in these terms appears in 2 Maccabees 7:28, where the martyred mother tells her son: "I beseech you, my child, to look at the heaven and the earth and see everything that is in them, and recognize that God did not make them out of things that existed" (οὐκ ἐξ ὄντων ἐποίησεν αὐτὰ ὁ θεός). This text, composed in the second or first century BC, represents the explicit articulation of what Genesis 1:1 implicitly teaches.</w:t>
      </w:r>
    </w:p>
    <w:p>
      <w:pPr>
        <w:spacing w:after="200" w:line="276"/>
      </w:pPr>
      <w:r>
        <w:rPr>
          <w:rFonts w:ascii="Garamond" w:cs="Garamond" w:eastAsia="Garamond" w:hAnsi="Garamond"/>
          <w:sz w:val="24"/>
          <w:szCs w:val="24"/>
        </w:rPr>
        <w:t xml:space="preserve">12.3.1.2 Patristic Development</w:t>
      </w:r>
    </w:p>
    <w:p>
      <w:pPr>
        <w:spacing w:after="160" w:line="276"/>
        <w:ind w:left="720"/>
      </w:pPr>
      <w:r>
        <w:rPr>
          <w:rFonts w:ascii="Garamond" w:cs="Garamond" w:eastAsia="Garamond" w:hAnsi="Garamond"/>
          <w:sz w:val="22"/>
          <w:szCs w:val="22"/>
        </w:rPr>
        <w:t xml:space="preserve">The fathers developed the doctrine against various alternatives. St. Theophilus of Antioch (second century) insisted against Platonism that matter is not eternal: "God made all things out of nothing." St. Irenaeus argued against the Gnostics that the one God is both Creator and Redeemer; there is no inferior demiurge working with pre existent matter. Tertullian's treatise Against Hermogenes refutes a Christian teacher who held that God created from eternal matter.</w:t>
      </w:r>
    </w:p>
    <w:p>
      <w:pPr>
        <w:spacing w:after="160" w:line="276"/>
        <w:ind w:left="720"/>
      </w:pPr>
      <w:r>
        <w:rPr>
          <w:rFonts w:ascii="Garamond" w:cs="Garamond" w:eastAsia="Garamond" w:hAnsi="Garamond"/>
          <w:sz w:val="22"/>
          <w:szCs w:val="22"/>
        </w:rPr>
        <w:t xml:space="preserve">St. Athanasius grounded the doctrine in the divine transcendence. Because God is absolute being, he does not need any material to work with. His creative act is pure gift, the bestowal of existence on what had no existence. Creation is grace from beginning to end. St. Augustine developed the temporal implications: not only matter but time itself was created; there was no "before" creation.</w:t>
      </w:r>
    </w:p>
    <w:p>
      <w:pPr>
        <w:spacing w:after="200" w:line="276"/>
      </w:pPr>
      <w:r>
        <w:rPr>
          <w:rFonts w:ascii="Garamond" w:cs="Garamond" w:eastAsia="Garamond" w:hAnsi="Garamond"/>
          <w:sz w:val="24"/>
          <w:szCs w:val="24"/>
        </w:rPr>
        <w:t xml:space="preserve">12.3.1.3 Philosophical Significance</w:t>
      </w:r>
    </w:p>
    <w:p>
      <w:pPr>
        <w:spacing w:after="160" w:line="276"/>
        <w:ind w:left="720"/>
      </w:pPr>
      <w:r>
        <w:rPr>
          <w:rFonts w:ascii="Garamond" w:cs="Garamond" w:eastAsia="Garamond" w:hAnsi="Garamond"/>
          <w:sz w:val="22"/>
          <w:szCs w:val="22"/>
        </w:rPr>
        <w:t xml:space="preserve">Creation ex nihilo has profound philosophical implications. Against Greek philosophy's assumption of eternal matter, it asserts the radical contingency of the material world. Against emanationism, which sees the world as an overflow or degradation of the divine, it maintains the ontological distinction between God and world. Against pantheism, which identifies God with the totality of things, it preserves divine transcendence.</w:t>
      </w:r>
    </w:p>
    <w:p>
      <w:pPr>
        <w:spacing w:after="160" w:line="276"/>
        <w:ind w:left="720"/>
      </w:pPr>
      <w:r>
        <w:rPr>
          <w:rFonts w:ascii="Garamond" w:cs="Garamond" w:eastAsia="Garamond" w:hAnsi="Garamond"/>
          <w:sz w:val="22"/>
          <w:szCs w:val="22"/>
        </w:rPr>
        <w:t xml:space="preserve">The doctrine also grounds the doctrine of providence. Because God creates from nothing, the world depends on God at every moment for its continued existence. Creation is not a past event that set things going; it is an ongoing reality, the continuous bestowal of being. God not only made the world but sustains it; without his sustaining will, it would return to nothingness.</w:t>
      </w:r>
    </w:p>
    <w:p>
      <w:pPr>
        <w:spacing w:after="200" w:line="276"/>
      </w:pPr>
      <w:r>
        <w:rPr>
          <w:rFonts w:ascii="Garamond" w:cs="Garamond" w:eastAsia="Garamond" w:hAnsi="Garamond"/>
          <w:sz w:val="24"/>
          <w:szCs w:val="24"/>
        </w:rPr>
        <w:t xml:space="preserve">12.3.1.4 Contemporary Challenges</w:t>
      </w:r>
    </w:p>
    <w:p>
      <w:pPr>
        <w:spacing w:after="160" w:line="276"/>
        <w:ind w:left="720"/>
      </w:pPr>
      <w:r>
        <w:rPr>
          <w:rFonts w:ascii="Garamond" w:cs="Garamond" w:eastAsia="Garamond" w:hAnsi="Garamond"/>
          <w:sz w:val="22"/>
          <w:szCs w:val="22"/>
        </w:rPr>
        <w:t xml:space="preserve">Modern challenges to creation ex nihilo come from several directions. Scientific cosmology speaks of the Big Bang but remains agnostic about ultimate origins. Some physicists propose that the universe arose from a quantum vacuum fluctuation, though this "nothing" is not the philosophical nothing of the doctrine but a physical state with definite properties. Process theology, following Whitehead, proposes that God and the world are co eternal, that God creates by persuading eternal occasions rather than producing them from nothing.</w:t>
      </w:r>
    </w:p>
    <w:p>
      <w:pPr>
        <w:spacing w:after="160" w:line="276"/>
        <w:ind w:left="720"/>
      </w:pPr>
      <w:r>
        <w:rPr>
          <w:rFonts w:ascii="Garamond" w:cs="Garamond" w:eastAsia="Garamond" w:hAnsi="Garamond"/>
          <w:sz w:val="22"/>
          <w:szCs w:val="22"/>
        </w:rPr>
        <w:t xml:space="preserve">Orthodox theology responds by distinguishing levels of discourse. Scientific cosmology describes physical processes; it cannot in principle address the metaphysical question of why there is something rather than nothing. The quantum vacuum is not nothing but something, a physical state governed by laws. The philosophical and theological question remains: why is there anything at all, including vacuums and laws? Only creation ex nihilo provides a coherent answer.</w:t>
      </w:r>
    </w:p>
    <w:p>
      <w:pPr>
        <w:pStyle w:val="Heading5"/>
      </w:pPr>
      <w:r>
        <w:t xml:space="preserve">12.3.2 The Logos and Creation</w:t>
      </w:r>
    </w:p>
    <w:p>
      <w:pPr>
        <w:spacing w:after="200" w:line="276"/>
      </w:pPr>
      <w:r>
        <w:rPr>
          <w:rFonts w:ascii="Garamond" w:cs="Garamond" w:eastAsia="Garamond" w:hAnsi="Garamond"/>
          <w:sz w:val="24"/>
          <w:szCs w:val="24"/>
        </w:rPr>
        <w:t xml:space="preserve">The New Testament identifies the agent of creation as the Logos, the eternal Word of God who became incarnate in Jesus Christ. This identification does not add to Genesis 1:1 something foreign but explicates what was always implicit: the God who creates is the triune God, and creation occurs through the Word.</w:t>
      </w:r>
    </w:p>
    <w:p>
      <w:pPr>
        <w:spacing w:after="200" w:line="276"/>
      </w:pPr>
      <w:r>
        <w:rPr>
          <w:rFonts w:ascii="Garamond" w:cs="Garamond" w:eastAsia="Garamond" w:hAnsi="Garamond"/>
          <w:sz w:val="24"/>
          <w:szCs w:val="24"/>
        </w:rPr>
        <w:t xml:space="preserve">12.3.2.1 John 1:1-3 as Commentary</w:t>
      </w:r>
    </w:p>
    <w:p>
      <w:pPr>
        <w:spacing w:after="160" w:line="276"/>
        <w:ind w:left="720"/>
      </w:pPr>
      <w:r>
        <w:rPr>
          <w:rFonts w:ascii="Garamond" w:cs="Garamond" w:eastAsia="Garamond" w:hAnsi="Garamond"/>
          <w:sz w:val="22"/>
          <w:szCs w:val="22"/>
        </w:rPr>
        <w:t xml:space="preserve">The Johannine prologue functions as inspired commentary on Genesis 1:1. The deliberate echo of the opening phrase links the two texts. John reveals that "in the beginning" the Word already was, and that "all things were made through him" (πάντα δι᾽ αὐτοῦ ἐγένετο). The Word is not created but is with God and is God; yet through him all created things come to be.</w:t>
      </w:r>
    </w:p>
    <w:p>
      <w:pPr>
        <w:spacing w:after="160" w:line="276"/>
        <w:ind w:left="720"/>
      </w:pPr>
      <w:r>
        <w:rPr>
          <w:rFonts w:ascii="Garamond" w:cs="Garamond" w:eastAsia="Garamond" w:hAnsi="Garamond"/>
          <w:sz w:val="22"/>
          <w:szCs w:val="22"/>
        </w:rPr>
        <w:t xml:space="preserve">The preposition διά with genitive ("through") indicates agency. The Word is the one through whom the Father creates. This does not make the Word a mere instrument; he is divine agent, not created tool. The Father creates through the Word, not by using the Word as material but by speaking the Word as creative act. The spoken Word is the act of creation.</w:t>
      </w:r>
    </w:p>
    <w:p>
      <w:pPr>
        <w:spacing w:after="200" w:line="276"/>
      </w:pPr>
      <w:r>
        <w:rPr>
          <w:rFonts w:ascii="Garamond" w:cs="Garamond" w:eastAsia="Garamond" w:hAnsi="Garamond"/>
          <w:sz w:val="24"/>
          <w:szCs w:val="24"/>
        </w:rPr>
        <w:t xml:space="preserve">12.3.2.2 Colossians 1:15-17</w:t>
      </w:r>
    </w:p>
    <w:p>
      <w:pPr>
        <w:spacing w:after="160" w:line="276"/>
        <w:ind w:left="720"/>
      </w:pPr>
      <w:r>
        <w:rPr>
          <w:rFonts w:ascii="Garamond" w:cs="Garamond" w:eastAsia="Garamond" w:hAnsi="Garamond"/>
          <w:sz w:val="22"/>
          <w:szCs w:val="22"/>
        </w:rPr>
        <w:t xml:space="preserve">Paul's letter to the Colossians provides another christological interpretation of creation. Christ is "the image of the invisible God, the firstborn of all creation" (εἰκὼν τοῦ θεοῦ τοῦ ἀοράτου, πρωτότοκος πάσης κτίσεως). The term "firstborn" (πρωτότοκος) denotes not temporal priority among creatures but preeminence over creation; he is firstborn not as first creature but as Lord of creatures.</w:t>
      </w:r>
    </w:p>
    <w:p>
      <w:pPr>
        <w:spacing w:after="160" w:line="276"/>
        <w:ind w:left="720"/>
      </w:pPr>
      <w:r>
        <w:rPr>
          <w:rFonts w:ascii="Garamond" w:cs="Garamond" w:eastAsia="Garamond" w:hAnsi="Garamond"/>
          <w:sz w:val="22"/>
          <w:szCs w:val="22"/>
        </w:rPr>
        <w:t xml:space="preserve">The passage continues: "For in him all things were created, in heaven and on earth, visible and invisible ... all things were created through him and for him" (ἐν αὐτῷ ἐκτίσθη τὰ πάντα ... τὰ πάντα δι᾽ αὐτοῦ καὶ εἰς αὐτὸν ἔκτισται). The triple preposition (ἐν, διά, εἰς: in, through, for) indicates that Christ is the sphere, agent, and goal of creation. All things exist in him as their ground, were made through him as their cause, and tend toward him as their end.</w:t>
      </w:r>
    </w:p>
    <w:p>
      <w:pPr>
        <w:spacing w:after="200" w:line="276"/>
      </w:pPr>
      <w:r>
        <w:rPr>
          <w:rFonts w:ascii="Garamond" w:cs="Garamond" w:eastAsia="Garamond" w:hAnsi="Garamond"/>
          <w:sz w:val="24"/>
          <w:szCs w:val="24"/>
        </w:rPr>
        <w:t xml:space="preserve">12.3.2.3 The Patristic Logos Theology</w:t>
      </w:r>
    </w:p>
    <w:p>
      <w:pPr>
        <w:spacing w:after="160" w:line="276"/>
        <w:ind w:left="720"/>
      </w:pPr>
      <w:r>
        <w:rPr>
          <w:rFonts w:ascii="Garamond" w:cs="Garamond" w:eastAsia="Garamond" w:hAnsi="Garamond"/>
          <w:sz w:val="22"/>
          <w:szCs w:val="22"/>
        </w:rPr>
        <w:t xml:space="preserve">The fathers developed Logos theology extensively. St. Justin Martyr identified the Logos of Greek philosophy with the Son of God, arguing that the rationality philosophers discerned in the cosmos is personal, the eternal Word. Origen developed the doctrine of the Logoi, the rational principles through which the Logos creates and orders each thing. St. Athanasius argued that the Logos must be God, not creature, because through him all creatures come to be; the creator cannot be on the creature side of the line.</w:t>
      </w:r>
    </w:p>
    <w:p>
      <w:pPr>
        <w:spacing w:after="160" w:line="276"/>
        <w:ind w:left="720"/>
      </w:pPr>
      <w:r>
        <w:rPr>
          <w:rFonts w:ascii="Garamond" w:cs="Garamond" w:eastAsia="Garamond" w:hAnsi="Garamond"/>
          <w:sz w:val="22"/>
          <w:szCs w:val="22"/>
        </w:rPr>
        <w:t xml:space="preserve">St. Maximus the Confessor brought Logos theology to its fullest development. The one Logos contains within himself the many logoi or rational principles of all created things. Each creature has its logos, its divine idea or intention, which constitutes its essential nature. To know a creature truly is to know its logos, and to know its logos is to know the Logos in whom all logoi cohere. Creation is thus rational through and through, charged with divine meaning.</w:t>
      </w:r>
    </w:p>
    <w:p>
      <w:r>
        <w:br w:type="page"/>
      </w:r>
    </w:p>
    <w:p>
      <w:pPr>
        <w:pStyle w:val="Heading4"/>
      </w:pPr>
      <w:r>
        <w:t xml:space="preserve">12.7 Scientific Connections</w:t>
      </w:r>
    </w:p>
    <w:p>
      <w:pPr>
        <w:spacing w:after="200" w:line="276"/>
      </w:pPr>
      <w:r>
        <w:rPr>
          <w:rFonts w:ascii="Garamond" w:cs="Garamond" w:eastAsia="Garamond" w:hAnsi="Garamond"/>
          <w:sz w:val="24"/>
          <w:szCs w:val="24"/>
        </w:rPr>
        <w:t xml:space="preserve">The confession that God created heaven and earth invites dialogue with natural science, which investigates the structure and history of the physical cosmos. This dialogue must be conducted with care, respecting both the authority of revelation and the legitimate findings of empirical inquiry. The goal is not concordism that forces either text or science into artificial agreement, nor compartmentalism that denies any connection, but integration that discerns genuine consonance and illumination.</w:t>
      </w:r>
    </w:p>
    <w:p>
      <w:pPr>
        <w:pStyle w:val="Heading5"/>
      </w:pPr>
      <w:r>
        <w:t xml:space="preserve">12.7.1 Cosmology</w:t>
      </w:r>
    </w:p>
    <w:p>
      <w:pPr>
        <w:spacing w:after="200" w:line="276"/>
      </w:pPr>
      <w:r>
        <w:rPr>
          <w:rFonts w:ascii="Garamond" w:cs="Garamond" w:eastAsia="Garamond" w:hAnsi="Garamond"/>
          <w:sz w:val="24"/>
          <w:szCs w:val="24"/>
        </w:rPr>
        <w:t xml:space="preserve">12.7.1.1 The Big Bang Theory</w:t>
      </w:r>
    </w:p>
    <w:p>
      <w:pPr>
        <w:spacing w:after="160" w:line="276"/>
        <w:ind w:left="720"/>
      </w:pPr>
      <w:r>
        <w:rPr>
          <w:rFonts w:ascii="Garamond" w:cs="Garamond" w:eastAsia="Garamond" w:hAnsi="Garamond"/>
          <w:sz w:val="22"/>
          <w:szCs w:val="22"/>
        </w:rPr>
        <w:t xml:space="preserve">Contemporary physical cosmology describes the universe as having expanded from an extremely hot, dense initial state approximately 13.8 billion years ago. The evidence for this "Big Bang" model includes the observed expansion of the universe (Hubble's law), the cosmic microwave background radiation, and the observed abundances of light elements. While not proof of creation ex nihilo, the Big Bang model exhibits remarkable consonance with the biblical affirmation that the universe had a beginning.</w:t>
      </w:r>
    </w:p>
    <w:p>
      <w:pPr>
        <w:spacing w:after="160" w:line="276"/>
        <w:ind w:left="720"/>
      </w:pPr>
      <w:r>
        <w:rPr>
          <w:rFonts w:ascii="Garamond" w:cs="Garamond" w:eastAsia="Garamond" w:hAnsi="Garamond"/>
          <w:sz w:val="22"/>
          <w:szCs w:val="22"/>
        </w:rPr>
        <w:t xml:space="preserve">12.7.1.1.1 Historical Development</w:t>
      </w:r>
    </w:p>
    <w:p>
      <w:pPr>
        <w:spacing w:after="160" w:line="276"/>
        <w:ind w:left="720"/>
      </w:pPr>
      <w:r>
        <w:rPr>
          <w:rFonts w:ascii="Garamond" w:cs="Garamond" w:eastAsia="Garamond" w:hAnsi="Garamond"/>
          <w:sz w:val="22"/>
          <w:szCs w:val="22"/>
        </w:rPr>
        <w:t xml:space="preserve">Einstein's general relativity (1915) provided equations describing the geometry of spacetime. Alexander Friedmann (1922) and independently Georges Lemaître (1927) found solutions implying an expanding universe. Lemaître, a Belgian priest and physicist, proposed that the universe began from a "primeval atom" or "cosmic egg." Edwin Hubble's observations (1929) confirmed the expansion. The term "Big Bang," coined by Fred Hoyle as a dismissive epithet, stuck.</w:t>
      </w:r>
    </w:p>
    <w:p>
      <w:pPr>
        <w:spacing w:after="160" w:line="276"/>
        <w:ind w:left="720"/>
      </w:pPr>
      <w:r>
        <w:rPr>
          <w:rFonts w:ascii="Garamond" w:cs="Garamond" w:eastAsia="Garamond" w:hAnsi="Garamond"/>
          <w:sz w:val="22"/>
          <w:szCs w:val="22"/>
        </w:rPr>
        <w:t xml:space="preserve">12.7.1.1.2 The Standard Model</w:t>
      </w:r>
    </w:p>
    <w:p>
      <w:pPr>
        <w:spacing w:after="160" w:line="276"/>
        <w:ind w:left="720"/>
      </w:pPr>
      <w:r>
        <w:rPr>
          <w:rFonts w:ascii="Garamond" w:cs="Garamond" w:eastAsia="Garamond" w:hAnsi="Garamond"/>
          <w:sz w:val="22"/>
          <w:szCs w:val="22"/>
        </w:rPr>
        <w:t xml:space="preserve">The standard cosmological model (Lambda CDM) describes a universe that expanded from an initial singularity, underwent a brief period of exponential inflation, cooled through various phase transitions, and formed structure through gravitational collapse. The model successfully predicts the cosmic microwave background's temperature fluctuations, the abundances of hydrogen, helium, and lithium, and the large scale distribution of galaxies.</w:t>
      </w:r>
    </w:p>
    <w:p>
      <w:pPr>
        <w:spacing w:after="160" w:line="276"/>
        <w:ind w:left="720"/>
      </w:pPr>
      <w:r>
        <w:rPr>
          <w:rFonts w:ascii="Garamond" w:cs="Garamond" w:eastAsia="Garamond" w:hAnsi="Garamond"/>
          <w:sz w:val="22"/>
          <w:szCs w:val="22"/>
        </w:rPr>
        <w:t xml:space="preserve">12.7.1.1.3 Theological Significance</w:t>
      </w:r>
    </w:p>
    <w:p>
      <w:pPr>
        <w:spacing w:after="160" w:line="276"/>
        <w:ind w:left="720"/>
      </w:pPr>
      <w:r>
        <w:rPr>
          <w:rFonts w:ascii="Garamond" w:cs="Garamond" w:eastAsia="Garamond" w:hAnsi="Garamond"/>
          <w:sz w:val="22"/>
          <w:szCs w:val="22"/>
        </w:rPr>
        <w:t xml:space="preserve">The Big Bang model is not proof of creation, but it is consonant with creation. The discovery that the universe had a beginning, against the expectation of most physicists who assumed an eternal cosmos, surprised the scientific community. The temporality of the physical universe, its having a definite beginning in time, accords with the biblical narrative of creation, though the details differ radically.</w:t>
      </w:r>
    </w:p>
    <w:p>
      <w:pPr>
        <w:spacing w:after="160" w:line="276"/>
        <w:ind w:left="720"/>
      </w:pPr>
      <w:r>
        <w:rPr>
          <w:rFonts w:ascii="Garamond" w:cs="Garamond" w:eastAsia="Garamond" w:hAnsi="Garamond"/>
          <w:sz w:val="22"/>
          <w:szCs w:val="22"/>
        </w:rPr>
        <w:t xml:space="preserve">Care is required in drawing theological conclusions. The Big Bang is a physical event described by physical laws; creation ex nihilo is a metaphysical doctrine about the ontological dependence of all things on God. Physics cannot reach behind the initial singularity; theology confesses that God is there. The two affirmations are compatible but not identical.</w:t>
      </w:r>
    </w:p>
    <w:p>
      <w:pPr>
        <w:spacing w:after="200" w:line="276"/>
      </w:pPr>
      <w:r>
        <w:rPr>
          <w:rFonts w:ascii="Garamond" w:cs="Garamond" w:eastAsia="Garamond" w:hAnsi="Garamond"/>
          <w:sz w:val="24"/>
          <w:szCs w:val="24"/>
        </w:rPr>
        <w:t xml:space="preserve">12.7.1.3 The Fine-Tuning Argument</w:t>
      </w:r>
    </w:p>
    <w:p>
      <w:pPr>
        <w:spacing w:after="160" w:line="276"/>
        <w:ind w:left="720"/>
      </w:pPr>
      <w:r>
        <w:rPr>
          <w:rFonts w:ascii="Garamond" w:cs="Garamond" w:eastAsia="Garamond" w:hAnsi="Garamond"/>
          <w:sz w:val="22"/>
          <w:szCs w:val="22"/>
        </w:rPr>
        <w:t xml:space="preserve">One of the most striking features of contemporary cosmology is the discovery of cosmic fine tuning. The fundamental constants of physics, the initial conditions of the universe, and the laws governing physical processes appear to be "tuned" to permit the existence of complex structures, life, and observers. Small variations in these parameters would result in a universe inhospitable to any form of life.</w:t>
      </w:r>
    </w:p>
    <w:p>
      <w:pPr>
        <w:spacing w:after="160" w:line="276"/>
        <w:ind w:left="720"/>
      </w:pPr>
      <w:r>
        <w:rPr>
          <w:rFonts w:ascii="Garamond" w:cs="Garamond" w:eastAsia="Garamond" w:hAnsi="Garamond"/>
          <w:sz w:val="22"/>
          <w:szCs w:val="22"/>
        </w:rPr>
        <w:t xml:space="preserve">12.7.1.3.1 The Fundamental Constants</w:t>
      </w:r>
    </w:p>
    <w:p>
      <w:pPr>
        <w:spacing w:after="160" w:line="276"/>
        <w:ind w:left="720"/>
      </w:pPr>
      <w:r>
        <w:rPr>
          <w:rFonts w:ascii="Garamond" w:cs="Garamond" w:eastAsia="Garamond" w:hAnsi="Garamond"/>
          <w:sz w:val="22"/>
          <w:szCs w:val="22"/>
        </w:rPr>
        <w:t xml:space="preserve">The constants include: the cosmological constant (which determines the rate of cosmic expansion), the gravitational constant, the electromagnetic coupling constant, the strong nuclear force coupling, the mass ratios of fundamental particles, and many others. Each appears to lie within a narrow range compatible with a structured universe. The cosmological constant, in particular, is tuned to approximately one part in 10^120.</w:t>
      </w:r>
    </w:p>
    <w:p>
      <w:pPr>
        <w:spacing w:after="160" w:line="276"/>
        <w:ind w:left="720"/>
      </w:pPr>
      <w:r>
        <w:rPr>
          <w:rFonts w:ascii="Garamond" w:cs="Garamond" w:eastAsia="Garamond" w:hAnsi="Garamond"/>
          <w:sz w:val="22"/>
          <w:szCs w:val="22"/>
        </w:rPr>
        <w:t xml:space="preserve">12.7.1.3.2 The Anthropic Principle</w:t>
      </w:r>
    </w:p>
    <w:p>
      <w:pPr>
        <w:spacing w:after="160" w:line="276"/>
        <w:ind w:left="720"/>
      </w:pPr>
      <w:r>
        <w:rPr>
          <w:rFonts w:ascii="Garamond" w:cs="Garamond" w:eastAsia="Garamond" w:hAnsi="Garamond"/>
          <w:sz w:val="22"/>
          <w:szCs w:val="22"/>
        </w:rPr>
        <w:t xml:space="preserve">The anthropic principle notes that observed physical parameters must be compatible with the existence of observers. The weak anthropic principle (WAP) is tautological: we observe parameters compatible with our existence because we exist. The strong anthropic principle (SAP) makes the stronger claim that the universe must have properties permitting the development of observers at some point.</w:t>
      </w:r>
    </w:p>
    <w:p>
      <w:pPr>
        <w:spacing w:after="160" w:line="276"/>
        <w:ind w:left="720"/>
      </w:pPr>
      <w:r>
        <w:rPr>
          <w:rFonts w:ascii="Garamond" w:cs="Garamond" w:eastAsia="Garamond" w:hAnsi="Garamond"/>
          <w:sz w:val="22"/>
          <w:szCs w:val="22"/>
        </w:rPr>
        <w:t xml:space="preserve">12.7.1.3.3 Theological Interpretation</w:t>
      </w:r>
    </w:p>
    <w:p>
      <w:pPr>
        <w:spacing w:after="160" w:line="276"/>
        <w:ind w:left="720"/>
      </w:pPr>
      <w:r>
        <w:rPr>
          <w:rFonts w:ascii="Garamond" w:cs="Garamond" w:eastAsia="Garamond" w:hAnsi="Garamond"/>
          <w:sz w:val="22"/>
          <w:szCs w:val="22"/>
        </w:rPr>
        <w:t xml:space="preserve">Fine tuning invites theological interpretation as evidence of design. The precise adjustment of parameters suggests intentional ordering by an intelligent Creator. This is not a "God of the gaps" argument filling temporary ignorance but an inference from the positive character of the evidence. The alternative, the multiverse hypothesis, posits an ensemble of universes with varying parameters, rendering our fine tuned universe statistically unsurprising. But this hypothesis, while possible, is not empirically testable and involves its own metaphysical commitments.</w:t>
      </w:r>
    </w:p>
    <w:p>
      <w:r>
        <w:br w:type="page"/>
      </w:r>
    </w:p>
    <w:p>
      <w:pPr>
        <w:pStyle w:val="Heading4"/>
      </w:pPr>
      <w:r>
        <w:t xml:space="preserve">12.8 Mathematical Connections</w:t>
      </w:r>
    </w:p>
    <w:p>
      <w:pPr>
        <w:spacing w:after="200" w:line="276"/>
      </w:pPr>
      <w:r>
        <w:rPr>
          <w:rFonts w:ascii="Garamond" w:cs="Garamond" w:eastAsia="Garamond" w:hAnsi="Garamond"/>
          <w:sz w:val="24"/>
          <w:szCs w:val="24"/>
        </w:rPr>
        <w:t xml:space="preserve">Mathematics provides perhaps the deepest structural language for understanding the created order. The "unreasonable effectiveness of mathematics" in describing physical reality suggests that mathematical structure is intrinsic to creation, not merely a human projection. Theological interpretation sees this mathematical structure as reflecting the Logos through whom all things were made.</w:t>
      </w:r>
    </w:p>
    <w:p>
      <w:pPr>
        <w:pStyle w:val="Heading5"/>
      </w:pPr>
      <w:r>
        <w:t xml:space="preserve">12.8.1 Set Theory and Creation</w:t>
      </w:r>
    </w:p>
    <w:p>
      <w:pPr>
        <w:spacing w:after="200" w:line="276"/>
      </w:pPr>
      <w:r>
        <w:rPr>
          <w:rFonts w:ascii="Garamond" w:cs="Garamond" w:eastAsia="Garamond" w:hAnsi="Garamond"/>
          <w:sz w:val="24"/>
          <w:szCs w:val="24"/>
        </w:rPr>
        <w:t xml:space="preserve">Modern mathematics is founded on set theory, which begins with the concept of the empty set and builds all mathematical structures from this foundation. The parallel to creation ex nihilo, while not constituting proof, provides an illuminating analogy.</w:t>
      </w:r>
    </w:p>
    <w:p>
      <w:pPr>
        <w:spacing w:after="200" w:line="276"/>
      </w:pPr>
      <w:r>
        <w:rPr>
          <w:rFonts w:ascii="Garamond" w:cs="Garamond" w:eastAsia="Garamond" w:hAnsi="Garamond"/>
          <w:sz w:val="24"/>
          <w:szCs w:val="24"/>
        </w:rPr>
        <w:t xml:space="preserve">12.8.1.1 The Empty Set and "Nothing"</w:t>
      </w:r>
    </w:p>
    <w:p>
      <w:pPr>
        <w:spacing w:after="160" w:line="276"/>
        <w:ind w:left="720"/>
      </w:pPr>
      <w:r>
        <w:rPr>
          <w:rFonts w:ascii="Garamond" w:cs="Garamond" w:eastAsia="Garamond" w:hAnsi="Garamond"/>
          <w:sz w:val="22"/>
          <w:szCs w:val="22"/>
        </w:rPr>
        <w:t xml:space="preserve">The axiom of the empty set posits the existence of a set with no elements, denoted ∅. From this empty set, by iterative application of set forming operations, the entire hierarchy of sets can be constructed. The natural numbers emerge as ∅, {∅}, {∅, {∅}}, {∅, {∅}, {∅, {∅}}}, and so on. Mathematical structure arises from nothing through ordered operation.</w:t>
      </w:r>
    </w:p>
    <w:p>
      <w:pPr>
        <w:spacing w:after="160" w:line="276"/>
        <w:ind w:left="720"/>
      </w:pPr>
      <w:r>
        <w:rPr>
          <w:rFonts w:ascii="Garamond" w:cs="Garamond" w:eastAsia="Garamond" w:hAnsi="Garamond"/>
          <w:sz w:val="22"/>
          <w:szCs w:val="22"/>
        </w:rPr>
        <w:t xml:space="preserve">The analogy to creation is suggestive. God creates from nothing, not by finding nothing and making something from it, but by the sheer positing of existence where there was none. The set theoretic construction shows how rich structure can arise from a void through systematic operation. Of course, the analogy has limits: the set theoretic axioms and operations must be posited; they do not arise from the empty set itself. But the structural parallel illuminates the logical possibility of fullness from emptiness.</w:t>
      </w:r>
    </w:p>
    <w:p>
      <w:pPr>
        <w:spacing w:after="200" w:line="276"/>
      </w:pPr>
      <w:r>
        <w:rPr>
          <w:rFonts w:ascii="Garamond" w:cs="Garamond" w:eastAsia="Garamond" w:hAnsi="Garamond"/>
          <w:sz w:val="24"/>
          <w:szCs w:val="24"/>
        </w:rPr>
        <w:t xml:space="preserve">12.8.1.2 The Von Neumann Universe</w:t>
      </w:r>
    </w:p>
    <w:p>
      <w:pPr>
        <w:spacing w:after="160" w:line="276"/>
        <w:ind w:left="720"/>
      </w:pPr>
      <w:r>
        <w:rPr>
          <w:rFonts w:ascii="Garamond" w:cs="Garamond" w:eastAsia="Garamond" w:hAnsi="Garamond"/>
          <w:sz w:val="22"/>
          <w:szCs w:val="22"/>
        </w:rPr>
        <w:t xml:space="preserve">The Von Neumann universe V is the class of all well founded sets, constructed by transfinite iteration from the empty set. At stage 0, we have V₀ = ∅. At each successor stage, Vₐ₊₁ = P(Vₐ), the power set of the previous stage. At limit ordinals, Vₗ = ∪ₐ&lt;ₗVₐ. The entire mathematical universe unfolds from this construction.</w:t>
      </w:r>
    </w:p>
    <w:p>
      <w:pPr>
        <w:spacing w:after="160" w:line="276"/>
        <w:ind w:left="720"/>
      </w:pPr>
      <w:r>
        <w:rPr>
          <w:rFonts w:ascii="Garamond" w:cs="Garamond" w:eastAsia="Garamond" w:hAnsi="Garamond"/>
          <w:sz w:val="22"/>
          <w:szCs w:val="22"/>
        </w:rPr>
        <w:t xml:space="preserve">Theologically, this construction suggests how the one divine creative act can produce infinite variety. From the simple fiat of "Let there be," the entire cosmos unfolds through ordered development. The mathematical universe of sets provides a formal model of such unfolding, not as explanation but as analogy.</w:t>
      </w:r>
    </w:p>
    <w:p>
      <w:pPr>
        <w:pStyle w:val="Heading5"/>
      </w:pPr>
      <w:r>
        <w:t xml:space="preserve">12.8.3 Perfectoid Spaces and Theological Analogy</w:t>
      </w:r>
    </w:p>
    <w:p>
      <w:pPr>
        <w:spacing w:after="200" w:line="276"/>
      </w:pPr>
      <w:r>
        <w:rPr>
          <w:rFonts w:ascii="Garamond" w:cs="Garamond" w:eastAsia="Garamond" w:hAnsi="Garamond"/>
          <w:sz w:val="24"/>
          <w:szCs w:val="24"/>
        </w:rPr>
        <w:t xml:space="preserve">Among the most profound recent developments in mathematics is Peter Scholze's theory of perfectoid spaces, which has revolutionized arithmetic geometry and won Scholze the Fields Medal in 2018. This highly technical theory offers an unexpectedly rich source of theological analogy.</w:t>
      </w:r>
    </w:p>
    <w:p>
      <w:pPr>
        <w:spacing w:after="200" w:line="276"/>
      </w:pPr>
      <w:r>
        <w:rPr>
          <w:rFonts w:ascii="Garamond" w:cs="Garamond" w:eastAsia="Garamond" w:hAnsi="Garamond"/>
          <w:sz w:val="24"/>
          <w:szCs w:val="24"/>
        </w:rPr>
        <w:t xml:space="preserve">12.8.3.1 The Mathematical Theory</w:t>
      </w:r>
    </w:p>
    <w:p>
      <w:pPr>
        <w:spacing w:after="160" w:line="276"/>
        <w:ind w:left="720"/>
      </w:pPr>
      <w:r>
        <w:rPr>
          <w:rFonts w:ascii="Garamond" w:cs="Garamond" w:eastAsia="Garamond" w:hAnsi="Garamond"/>
          <w:sz w:val="22"/>
          <w:szCs w:val="22"/>
        </w:rPr>
        <w:t xml:space="preserve">Perfectoid spaces arise in the study of p adic geometry, where p is a prime number. The theory establishes a remarkable correspondence, called "tilting," between geometric objects in characteristic zero (where division by p is possible) and characteristic p (where p = 0). These two mathematical worlds appear incommensurable, yet perfectoid theory reveals deep structural isomorphisms between them.</w:t>
      </w:r>
    </w:p>
    <w:p>
      <w:pPr>
        <w:spacing w:after="160" w:line="276"/>
        <w:ind w:left="720"/>
      </w:pPr>
      <w:r>
        <w:rPr>
          <w:rFonts w:ascii="Garamond" w:cs="Garamond" w:eastAsia="Garamond" w:hAnsi="Garamond"/>
          <w:sz w:val="22"/>
          <w:szCs w:val="22"/>
        </w:rPr>
        <w:t xml:space="preserve">The tilting equivalence preserves vast amounts of geometric and arithmetic information while bridging apparently unbridgeable mathematical realms. Problems intractable in one characteristic can sometimes be solved by tilting to the other, solving the problem there, and tilting back. The theory has enabled solutions to long standing conjectures, including the weight monodromy conjecture and cases of the Langlands program.</w:t>
      </w:r>
    </w:p>
    <w:p>
      <w:pPr>
        <w:spacing w:after="200" w:line="276"/>
      </w:pPr>
      <w:r>
        <w:rPr>
          <w:rFonts w:ascii="Garamond" w:cs="Garamond" w:eastAsia="Garamond" w:hAnsi="Garamond"/>
          <w:sz w:val="24"/>
          <w:szCs w:val="24"/>
        </w:rPr>
        <w:t xml:space="preserve">12.8.3.2 The Theological Analogy</w:t>
      </w:r>
    </w:p>
    <w:p>
      <w:pPr>
        <w:spacing w:after="160" w:line="276"/>
        <w:ind w:left="720"/>
      </w:pPr>
      <w:r>
        <w:rPr>
          <w:rFonts w:ascii="Garamond" w:cs="Garamond" w:eastAsia="Garamond" w:hAnsi="Garamond"/>
          <w:sz w:val="22"/>
          <w:szCs w:val="22"/>
        </w:rPr>
        <w:t xml:space="preserve">The theological analogy concerns the relationship between the uncreated (God) and the created (the world). These two orders appear absolutely incommensurable: God is infinite, eternal, necessary; creation is finite, temporal, contingent. How can there be genuine relationship, real participation, true knowledge between such utterly different orders of being?</w:t>
      </w:r>
    </w:p>
    <w:p>
      <w:pPr>
        <w:spacing w:after="160" w:line="276"/>
        <w:ind w:left="720"/>
      </w:pPr>
      <w:r>
        <w:rPr>
          <w:rFonts w:ascii="Garamond" w:cs="Garamond" w:eastAsia="Garamond" w:hAnsi="Garamond"/>
          <w:sz w:val="22"/>
          <w:szCs w:val="22"/>
        </w:rPr>
        <w:t xml:space="preserve">The Logos provides the answer, and perfectoid tilting provides an analogy. Just as tilting bridges characteristic 0 and characteristic p while preserving structure, so the Logos bridges uncreated and created while maintaining the integrity of each. The Incarnation is the supreme instance: in Christ, divine and human natures are united without confusion, preserving their distinctness while achieving real union. The Logos "tilts" between the divine and the creaturely, making possible genuine participation without pantheistic confusion.</w:t>
      </w:r>
    </w:p>
    <w:p>
      <w:pPr>
        <w:spacing w:after="200" w:line="276"/>
      </w:pPr>
      <w:r>
        <w:rPr>
          <w:rFonts w:ascii="Garamond" w:cs="Garamond" w:eastAsia="Garamond" w:hAnsi="Garamond"/>
          <w:sz w:val="24"/>
          <w:szCs w:val="24"/>
        </w:rPr>
        <w:t xml:space="preserve">12.8.3.3 Participation Without Confusion</w:t>
      </w:r>
    </w:p>
    <w:p>
      <w:pPr>
        <w:spacing w:after="160" w:line="276"/>
        <w:ind w:left="720"/>
      </w:pPr>
      <w:r>
        <w:rPr>
          <w:rFonts w:ascii="Garamond" w:cs="Garamond" w:eastAsia="Garamond" w:hAnsi="Garamond"/>
          <w:sz w:val="22"/>
          <w:szCs w:val="22"/>
        </w:rPr>
        <w:t xml:space="preserve">The Palamite distinction between divine essence and energies finds resonance in this analogy. The divine essence remains inaccessible, like a mathematical structure that cannot be directly accessed from the wrong characteristic. But the divine energies, like the tilted image of that structure, are genuinely accessible while preserving structural correspondence with the inaccessible essence. Participation in the energies is real participation in God without comprehension of the essence.</w:t>
      </w:r>
    </w:p>
    <w:p>
      <w:pPr>
        <w:spacing w:after="160" w:line="276"/>
        <w:ind w:left="720"/>
      </w:pPr>
      <w:r>
        <w:rPr>
          <w:rFonts w:ascii="Garamond" w:cs="Garamond" w:eastAsia="Garamond" w:hAnsi="Garamond"/>
          <w:sz w:val="22"/>
          <w:szCs w:val="22"/>
        </w:rPr>
        <w:t xml:space="preserve">The analogy, of course, has limits. Mathematical structures are impersonal; God is supremely personal. Mathematical isomorphisms preserve abstract structure; the Incarnation involves personal union. The analogy illuminates but does not prove. Its value lies in showing that the theological claims, far from being incoherent, find structural parallels in the deepest levels of mathematical reality.</w:t>
      </w:r>
    </w:p>
    <w:p>
      <w:r>
        <w:br w:type="page"/>
      </w:r>
    </w:p>
    <w:p>
      <w:pPr>
        <w:pStyle w:val="Heading1"/>
      </w:pPr>
      <w:r>
        <w:t xml:space="preserve">MASTER OUTLINE: COMPLETE STRUCTURE</w:t>
      </w:r>
    </w:p>
    <w:p>
      <w:pPr>
        <w:spacing w:after="200" w:line="276"/>
      </w:pPr>
      <w:r>
        <w:rPr>
          <w:rFonts w:ascii="Garamond" w:cs="Garamond" w:eastAsia="Garamond" w:hAnsi="Garamond"/>
          <w:sz w:val="24"/>
          <w:szCs w:val="24"/>
        </w:rPr>
        <w:t xml:space="preserve">The following presents the complete structural outline of the Genesis Codex. Each entry represents a section to be developed with the depth demonstrated in the preceding chapters. The full work, when complete, would comprise an estimated 15,000 to 25,000 pages and 6 to 10 million words, representing a lifetime of scholarly and spiritual engagement with the sacred text.</w:t>
      </w:r>
    </w:p>
    <w:p>
      <w:r>
        <w:br w:type="page"/>
      </w:r>
    </w:p>
    <w:p>
      <w:pPr>
        <w:pStyle w:val="Heading2"/>
      </w:pPr>
      <w:r>
        <w:t xml:space="preserve">DIVISION BETA: TEXTUAL FOUNDATIONS</w:t>
      </w:r>
    </w:p>
    <w:p>
      <w:pPr>
        <w:pStyle w:val="Heading3"/>
      </w:pPr>
      <w:r>
        <w:t xml:space="preserve">BOOK II: THE SEPTUAGINT TEXT OF GENESIS</w:t>
      </w:r>
    </w:p>
    <w:p>
      <w:pPr>
        <w:spacing w:after="80"/>
        <w:ind w:left="0"/>
      </w:pPr>
      <w:r>
        <w:rPr>
          <w:rFonts w:ascii="Garamond" w:cs="Garamond" w:eastAsia="Garamond" w:hAnsi="Garamond"/>
          <w:sz w:val="22"/>
          <w:szCs w:val="22"/>
        </w:rPr>
        <w:t xml:space="preserve">Part One: The Greek Text</w:t>
      </w:r>
    </w:p>
    <w:p>
      <w:pPr>
        <w:spacing w:after="80"/>
        <w:ind w:left="360"/>
      </w:pPr>
      <w:r>
        <w:rPr>
          <w:rFonts w:ascii="Garamond" w:cs="Garamond" w:eastAsia="Garamond" w:hAnsi="Garamond"/>
          <w:sz w:val="22"/>
          <w:szCs w:val="22"/>
        </w:rPr>
        <w:t xml:space="preserve">Chapter 7: The Critical Text of Genesis</w:t>
      </w:r>
    </w:p>
    <w:p>
      <w:pPr>
        <w:spacing w:after="80"/>
        <w:ind w:left="720"/>
      </w:pPr>
      <w:r>
        <w:rPr>
          <w:rFonts w:ascii="Garamond" w:cs="Garamond" w:eastAsia="Garamond" w:hAnsi="Garamond"/>
          <w:sz w:val="22"/>
          <w:szCs w:val="22"/>
        </w:rPr>
        <w:t xml:space="preserve">7.1 The Göttingen Edition</w:t>
      </w:r>
    </w:p>
    <w:p>
      <w:pPr>
        <w:spacing w:after="80"/>
        <w:ind w:left="720"/>
      </w:pPr>
      <w:r>
        <w:rPr>
          <w:rFonts w:ascii="Garamond" w:cs="Garamond" w:eastAsia="Garamond" w:hAnsi="Garamond"/>
          <w:sz w:val="22"/>
          <w:szCs w:val="22"/>
        </w:rPr>
        <w:t xml:space="preserve">7.2 Alternative Editions</w:t>
      </w:r>
    </w:p>
    <w:p>
      <w:pPr>
        <w:spacing w:after="80"/>
        <w:ind w:left="360"/>
      </w:pPr>
      <w:r>
        <w:rPr>
          <w:rFonts w:ascii="Garamond" w:cs="Garamond" w:eastAsia="Garamond" w:hAnsi="Garamond"/>
          <w:sz w:val="22"/>
          <w:szCs w:val="22"/>
        </w:rPr>
        <w:t xml:space="preserve">Chapter 8: Manuscript Evidence for Genesis</w:t>
      </w:r>
    </w:p>
    <w:p>
      <w:pPr>
        <w:spacing w:after="80"/>
        <w:ind w:left="720"/>
      </w:pPr>
      <w:r>
        <w:rPr>
          <w:rFonts w:ascii="Garamond" w:cs="Garamond" w:eastAsia="Garamond" w:hAnsi="Garamond"/>
          <w:sz w:val="22"/>
          <w:szCs w:val="22"/>
        </w:rPr>
        <w:t xml:space="preserve">8.1 Papyri</w:t>
      </w:r>
    </w:p>
    <w:p>
      <w:pPr>
        <w:spacing w:after="80"/>
        <w:ind w:left="720"/>
      </w:pPr>
      <w:r>
        <w:rPr>
          <w:rFonts w:ascii="Garamond" w:cs="Garamond" w:eastAsia="Garamond" w:hAnsi="Garamond"/>
          <w:sz w:val="22"/>
          <w:szCs w:val="22"/>
        </w:rPr>
        <w:t xml:space="preserve">8.2 Uncial Codices</w:t>
      </w:r>
    </w:p>
    <w:p>
      <w:pPr>
        <w:spacing w:after="80"/>
        <w:ind w:left="720"/>
      </w:pPr>
      <w:r>
        <w:rPr>
          <w:rFonts w:ascii="Garamond" w:cs="Garamond" w:eastAsia="Garamond" w:hAnsi="Garamond"/>
          <w:sz w:val="22"/>
          <w:szCs w:val="22"/>
        </w:rPr>
        <w:t xml:space="preserve">8.3 Text Types and Families</w:t>
      </w:r>
    </w:p>
    <w:p>
      <w:pPr>
        <w:spacing w:after="80"/>
        <w:ind w:left="360"/>
      </w:pPr>
      <w:r>
        <w:rPr>
          <w:rFonts w:ascii="Garamond" w:cs="Garamond" w:eastAsia="Garamond" w:hAnsi="Garamond"/>
          <w:sz w:val="22"/>
          <w:szCs w:val="22"/>
        </w:rPr>
        <w:t xml:space="preserve">Chapter 9: The Translation Technique of LXX Genesis</w:t>
      </w:r>
    </w:p>
    <w:p>
      <w:pPr>
        <w:spacing w:after="80"/>
        <w:ind w:left="0"/>
      </w:pPr>
      <w:r>
        <w:rPr>
          <w:rFonts w:ascii="Garamond" w:cs="Garamond" w:eastAsia="Garamond" w:hAnsi="Garamond"/>
          <w:sz w:val="22"/>
          <w:szCs w:val="22"/>
        </w:rPr>
        <w:t xml:space="preserve">Part Two: Comparative Textual Analysis</w:t>
      </w:r>
    </w:p>
    <w:p>
      <w:pPr>
        <w:spacing w:after="80"/>
        <w:ind w:left="360"/>
      </w:pPr>
      <w:r>
        <w:rPr>
          <w:rFonts w:ascii="Garamond" w:cs="Garamond" w:eastAsia="Garamond" w:hAnsi="Garamond"/>
          <w:sz w:val="22"/>
          <w:szCs w:val="22"/>
        </w:rPr>
        <w:t xml:space="preserve">Chapter 10: LXX and Masoretic Text Comparison</w:t>
      </w:r>
    </w:p>
    <w:p>
      <w:pPr>
        <w:spacing w:after="80"/>
        <w:ind w:left="720"/>
      </w:pPr>
      <w:r>
        <w:rPr>
          <w:rFonts w:ascii="Garamond" w:cs="Garamond" w:eastAsia="Garamond" w:hAnsi="Garamond"/>
          <w:sz w:val="22"/>
          <w:szCs w:val="22"/>
        </w:rPr>
        <w:t xml:space="preserve">10.1 Systematic Differences</w:t>
      </w:r>
    </w:p>
    <w:p>
      <w:pPr>
        <w:spacing w:after="80"/>
        <w:ind w:left="1080"/>
      </w:pPr>
      <w:r>
        <w:rPr>
          <w:rFonts w:ascii="Garamond" w:cs="Garamond" w:eastAsia="Garamond" w:hAnsi="Garamond"/>
          <w:sz w:val="22"/>
          <w:szCs w:val="22"/>
        </w:rPr>
        <w:t xml:space="preserve">10.1.1 Chronological Expansions</w:t>
      </w:r>
    </w:p>
    <w:p>
      <w:pPr>
        <w:spacing w:after="80"/>
        <w:ind w:left="1080"/>
      </w:pPr>
      <w:r>
        <w:rPr>
          <w:rFonts w:ascii="Garamond" w:cs="Garamond" w:eastAsia="Garamond" w:hAnsi="Garamond"/>
          <w:sz w:val="22"/>
          <w:szCs w:val="22"/>
        </w:rPr>
        <w:t xml:space="preserve">10.1.2 Divine Name Translation</w:t>
      </w:r>
    </w:p>
    <w:p>
      <w:pPr>
        <w:spacing w:after="80"/>
        <w:ind w:left="1080"/>
      </w:pPr>
      <w:r>
        <w:rPr>
          <w:rFonts w:ascii="Garamond" w:cs="Garamond" w:eastAsia="Garamond" w:hAnsi="Garamond"/>
          <w:sz w:val="22"/>
          <w:szCs w:val="22"/>
        </w:rPr>
        <w:t xml:space="preserve">10.1.3 Messianic Readings</w:t>
      </w:r>
    </w:p>
    <w:p>
      <w:pPr>
        <w:spacing w:after="80"/>
        <w:ind w:left="360"/>
      </w:pPr>
      <w:r>
        <w:rPr>
          <w:rFonts w:ascii="Garamond" w:cs="Garamond" w:eastAsia="Garamond" w:hAnsi="Garamond"/>
          <w:sz w:val="22"/>
          <w:szCs w:val="22"/>
        </w:rPr>
        <w:t xml:space="preserve">Chapter 11: Other Textual Witnesses</w:t>
      </w:r>
    </w:p>
    <w:p>
      <w:pPr>
        <w:spacing w:after="80"/>
        <w:ind w:left="720"/>
      </w:pPr>
      <w:r>
        <w:rPr>
          <w:rFonts w:ascii="Garamond" w:cs="Garamond" w:eastAsia="Garamond" w:hAnsi="Garamond"/>
          <w:sz w:val="22"/>
          <w:szCs w:val="22"/>
        </w:rPr>
        <w:t xml:space="preserve">11.1 Dead Sea Scrolls Evidence</w:t>
      </w:r>
    </w:p>
    <w:p>
      <w:pPr>
        <w:spacing w:after="80"/>
        <w:ind w:left="720"/>
      </w:pPr>
      <w:r>
        <w:rPr>
          <w:rFonts w:ascii="Garamond" w:cs="Garamond" w:eastAsia="Garamond" w:hAnsi="Garamond"/>
          <w:sz w:val="22"/>
          <w:szCs w:val="22"/>
        </w:rPr>
        <w:t xml:space="preserve">11.2 Samaritan Pentateuch</w:t>
      </w:r>
    </w:p>
    <w:p>
      <w:pPr>
        <w:spacing w:after="80"/>
        <w:ind w:left="720"/>
      </w:pPr>
      <w:r>
        <w:rPr>
          <w:rFonts w:ascii="Garamond" w:cs="Garamond" w:eastAsia="Garamond" w:hAnsi="Garamond"/>
          <w:sz w:val="22"/>
          <w:szCs w:val="22"/>
        </w:rPr>
        <w:t xml:space="preserve">11.3 Targumim</w:t>
      </w:r>
    </w:p>
    <w:p>
      <w:pPr>
        <w:spacing w:after="80"/>
        <w:ind w:left="720"/>
      </w:pPr>
      <w:r>
        <w:rPr>
          <w:rFonts w:ascii="Garamond" w:cs="Garamond" w:eastAsia="Garamond" w:hAnsi="Garamond"/>
          <w:sz w:val="22"/>
          <w:szCs w:val="22"/>
        </w:rPr>
        <w:t xml:space="preserve">11.4 Peshitta</w:t>
      </w:r>
    </w:p>
    <w:p>
      <w:pPr>
        <w:spacing w:after="80"/>
        <w:ind w:left="720"/>
      </w:pPr>
      <w:r>
        <w:rPr>
          <w:rFonts w:ascii="Garamond" w:cs="Garamond" w:eastAsia="Garamond" w:hAnsi="Garamond"/>
          <w:sz w:val="22"/>
          <w:szCs w:val="22"/>
        </w:rPr>
        <w:t xml:space="preserve">11.5 Vulgate</w:t>
      </w:r>
    </w:p>
    <w:p>
      <w:r>
        <w:br w:type="page"/>
      </w:r>
    </w:p>
    <w:p>
      <w:pPr>
        <w:pStyle w:val="Heading2"/>
      </w:pPr>
      <w:r>
        <w:t xml:space="preserve">DIVISION GAMMA CONTINUED: VERSE-BY-VERSE ANALYSIS</w:t>
      </w:r>
    </w:p>
    <w:p>
      <w:pPr>
        <w:pStyle w:val="Heading3"/>
      </w:pPr>
      <w:r>
        <w:t xml:space="preserve">Genesis 1:2 through 2:3 — The Hexaemeron</w:t>
      </w:r>
    </w:p>
    <w:p>
      <w:pPr>
        <w:spacing w:after="80"/>
        <w:ind w:left="360"/>
      </w:pPr>
      <w:r>
        <w:rPr>
          <w:rFonts w:ascii="Garamond" w:cs="Garamond" w:eastAsia="Garamond" w:hAnsi="Garamond"/>
          <w:sz w:val="22"/>
          <w:szCs w:val="22"/>
        </w:rPr>
        <w:t xml:space="preserve">Chapter 13: Genesis 1:2 — The Primordial State</w:t>
      </w:r>
    </w:p>
    <w:p>
      <w:pPr>
        <w:spacing w:after="80"/>
        <w:ind w:left="360"/>
      </w:pPr>
      <w:r>
        <w:rPr>
          <w:rFonts w:ascii="Garamond" w:cs="Garamond" w:eastAsia="Garamond" w:hAnsi="Garamond"/>
          <w:sz w:val="22"/>
          <w:szCs w:val="22"/>
        </w:rPr>
        <w:t xml:space="preserve">Chapter 14: Genesis 1:3-5 — Day One: Light</w:t>
      </w:r>
    </w:p>
    <w:p>
      <w:pPr>
        <w:spacing w:after="80"/>
        <w:ind w:left="360"/>
      </w:pPr>
      <w:r>
        <w:rPr>
          <w:rFonts w:ascii="Garamond" w:cs="Garamond" w:eastAsia="Garamond" w:hAnsi="Garamond"/>
          <w:sz w:val="22"/>
          <w:szCs w:val="22"/>
        </w:rPr>
        <w:t xml:space="preserve">Chapter 15: Genesis 1:6-8 — Day Two: The Firmament</w:t>
      </w:r>
    </w:p>
    <w:p>
      <w:pPr>
        <w:spacing w:after="80"/>
        <w:ind w:left="360"/>
      </w:pPr>
      <w:r>
        <w:rPr>
          <w:rFonts w:ascii="Garamond" w:cs="Garamond" w:eastAsia="Garamond" w:hAnsi="Garamond"/>
          <w:sz w:val="22"/>
          <w:szCs w:val="22"/>
        </w:rPr>
        <w:t xml:space="preserve">Chapter 16: Genesis 1:9-13 — Day Three: Land, Seas, Vegetation</w:t>
      </w:r>
    </w:p>
    <w:p>
      <w:pPr>
        <w:spacing w:after="80"/>
        <w:ind w:left="360"/>
      </w:pPr>
      <w:r>
        <w:rPr>
          <w:rFonts w:ascii="Garamond" w:cs="Garamond" w:eastAsia="Garamond" w:hAnsi="Garamond"/>
          <w:sz w:val="22"/>
          <w:szCs w:val="22"/>
        </w:rPr>
        <w:t xml:space="preserve">Chapter 17: Genesis 1:14-19 — Day Four: Luminaries</w:t>
      </w:r>
    </w:p>
    <w:p>
      <w:pPr>
        <w:spacing w:after="80"/>
        <w:ind w:left="360"/>
      </w:pPr>
      <w:r>
        <w:rPr>
          <w:rFonts w:ascii="Garamond" w:cs="Garamond" w:eastAsia="Garamond" w:hAnsi="Garamond"/>
          <w:sz w:val="22"/>
          <w:szCs w:val="22"/>
        </w:rPr>
        <w:t xml:space="preserve">Chapter 18: Genesis 1:20-23 — Day Five: Sea Creatures and Birds</w:t>
      </w:r>
    </w:p>
    <w:p>
      <w:pPr>
        <w:spacing w:after="80"/>
        <w:ind w:left="360"/>
      </w:pPr>
      <w:r>
        <w:rPr>
          <w:rFonts w:ascii="Garamond" w:cs="Garamond" w:eastAsia="Garamond" w:hAnsi="Garamond"/>
          <w:sz w:val="22"/>
          <w:szCs w:val="22"/>
        </w:rPr>
        <w:t xml:space="preserve">Chapter 19: Genesis 1:24-31 — Day Six: Land Animals and Humanity</w:t>
      </w:r>
    </w:p>
    <w:p>
      <w:pPr>
        <w:spacing w:after="80"/>
        <w:ind w:left="720"/>
      </w:pPr>
      <w:r>
        <w:rPr>
          <w:rFonts w:ascii="Garamond" w:cs="Garamond" w:eastAsia="Garamond" w:hAnsi="Garamond"/>
          <w:sz w:val="22"/>
          <w:szCs w:val="22"/>
        </w:rPr>
        <w:t xml:space="preserve">Special Topic: The Image of God (εἰκὼν καὶ ὁμοίωσις)</w:t>
      </w:r>
    </w:p>
    <w:p>
      <w:pPr>
        <w:spacing w:after="80"/>
        <w:ind w:left="360"/>
      </w:pPr>
      <w:r>
        <w:rPr>
          <w:rFonts w:ascii="Garamond" w:cs="Garamond" w:eastAsia="Garamond" w:hAnsi="Garamond"/>
          <w:sz w:val="22"/>
          <w:szCs w:val="22"/>
        </w:rPr>
        <w:t xml:space="preserve">Chapter 20: Genesis 2:1-3 — Day Seven: The Sabbath</w:t>
      </w:r>
    </w:p>
    <w:p>
      <w:pPr>
        <w:spacing w:after="80"/>
        <w:ind w:left="720"/>
      </w:pPr>
      <w:r>
        <w:rPr>
          <w:rFonts w:ascii="Garamond" w:cs="Garamond" w:eastAsia="Garamond" w:hAnsi="Garamond"/>
          <w:sz w:val="22"/>
          <w:szCs w:val="22"/>
        </w:rPr>
        <w:t xml:space="preserve">Special Topic: The Eighth Day and New Creation</w:t>
      </w:r>
    </w:p>
    <w:p>
      <w:pPr>
        <w:pStyle w:val="Heading3"/>
      </w:pPr>
      <w:r>
        <w:t xml:space="preserve">Genesis 2:4-25 — The Garden Narrative</w:t>
      </w:r>
    </w:p>
    <w:p>
      <w:pPr>
        <w:spacing w:after="80"/>
        <w:ind w:left="360"/>
      </w:pPr>
      <w:r>
        <w:rPr>
          <w:rFonts w:ascii="Garamond" w:cs="Garamond" w:eastAsia="Garamond" w:hAnsi="Garamond"/>
          <w:sz w:val="22"/>
          <w:szCs w:val="22"/>
        </w:rPr>
        <w:t xml:space="preserve">Chapter 21: Genesis 2:4-7 — The Second Account and Formation of Adam</w:t>
      </w:r>
    </w:p>
    <w:p>
      <w:pPr>
        <w:spacing w:after="80"/>
        <w:ind w:left="360"/>
      </w:pPr>
      <w:r>
        <w:rPr>
          <w:rFonts w:ascii="Garamond" w:cs="Garamond" w:eastAsia="Garamond" w:hAnsi="Garamond"/>
          <w:sz w:val="22"/>
          <w:szCs w:val="22"/>
        </w:rPr>
        <w:t xml:space="preserve">Chapter 22: Genesis 2:8-17 — The Garden, Trees, and Command</w:t>
      </w:r>
    </w:p>
    <w:p>
      <w:pPr>
        <w:spacing w:after="80"/>
        <w:ind w:left="360"/>
      </w:pPr>
      <w:r>
        <w:rPr>
          <w:rFonts w:ascii="Garamond" w:cs="Garamond" w:eastAsia="Garamond" w:hAnsi="Garamond"/>
          <w:sz w:val="22"/>
          <w:szCs w:val="22"/>
        </w:rPr>
        <w:t xml:space="preserve">Chapter 23: Genesis 2:18-25 — Naming of Animals and Creation of Woman</w:t>
      </w:r>
    </w:p>
    <w:p>
      <w:pPr>
        <w:spacing w:after="80"/>
        <w:ind w:left="720"/>
      </w:pPr>
      <w:r>
        <w:rPr>
          <w:rFonts w:ascii="Garamond" w:cs="Garamond" w:eastAsia="Garamond" w:hAnsi="Garamond"/>
          <w:sz w:val="22"/>
          <w:szCs w:val="22"/>
        </w:rPr>
        <w:t xml:space="preserve">Special Topic: The Typology of Eve and Mary</w:t>
      </w:r>
    </w:p>
    <w:p>
      <w:pPr>
        <w:spacing w:after="80"/>
        <w:ind w:left="720"/>
      </w:pPr>
      <w:r>
        <w:rPr>
          <w:rFonts w:ascii="Garamond" w:cs="Garamond" w:eastAsia="Garamond" w:hAnsi="Garamond"/>
          <w:sz w:val="22"/>
          <w:szCs w:val="22"/>
        </w:rPr>
        <w:t xml:space="preserve">Special Topic: Marriage in Genesis and Orthodox Theology</w:t>
      </w:r>
    </w:p>
    <w:p>
      <w:pPr>
        <w:pStyle w:val="Heading3"/>
      </w:pPr>
      <w:r>
        <w:t xml:space="preserve">Genesis 3 — The Fall</w:t>
      </w:r>
    </w:p>
    <w:p>
      <w:pPr>
        <w:spacing w:after="80"/>
        <w:ind w:left="360"/>
      </w:pPr>
      <w:r>
        <w:rPr>
          <w:rFonts w:ascii="Garamond" w:cs="Garamond" w:eastAsia="Garamond" w:hAnsi="Garamond"/>
          <w:sz w:val="22"/>
          <w:szCs w:val="22"/>
        </w:rPr>
        <w:t xml:space="preserve">Chapter 24: Genesis 3:1-7 — The Temptation and Fall</w:t>
      </w:r>
    </w:p>
    <w:p>
      <w:pPr>
        <w:spacing w:after="80"/>
        <w:ind w:left="720"/>
      </w:pPr>
      <w:r>
        <w:rPr>
          <w:rFonts w:ascii="Garamond" w:cs="Garamond" w:eastAsia="Garamond" w:hAnsi="Garamond"/>
          <w:sz w:val="22"/>
          <w:szCs w:val="22"/>
        </w:rPr>
        <w:t xml:space="preserve">Special Topic: The Psychology of Sin</w:t>
      </w:r>
    </w:p>
    <w:p>
      <w:pPr>
        <w:spacing w:after="80"/>
        <w:ind w:left="360"/>
      </w:pPr>
      <w:r>
        <w:rPr>
          <w:rFonts w:ascii="Garamond" w:cs="Garamond" w:eastAsia="Garamond" w:hAnsi="Garamond"/>
          <w:sz w:val="22"/>
          <w:szCs w:val="22"/>
        </w:rPr>
        <w:t xml:space="preserve">Chapter 25: Genesis 3:8-13 — The Divine Questioning</w:t>
      </w:r>
    </w:p>
    <w:p>
      <w:pPr>
        <w:spacing w:after="80"/>
        <w:ind w:left="360"/>
      </w:pPr>
      <w:r>
        <w:rPr>
          <w:rFonts w:ascii="Garamond" w:cs="Garamond" w:eastAsia="Garamond" w:hAnsi="Garamond"/>
          <w:sz w:val="22"/>
          <w:szCs w:val="22"/>
        </w:rPr>
        <w:t xml:space="preserve">Chapter 26: Genesis 3:14-19 — The Judgments</w:t>
      </w:r>
    </w:p>
    <w:p>
      <w:pPr>
        <w:spacing w:after="80"/>
        <w:ind w:left="720"/>
      </w:pPr>
      <w:r>
        <w:rPr>
          <w:rFonts w:ascii="Garamond" w:cs="Garamond" w:eastAsia="Garamond" w:hAnsi="Garamond"/>
          <w:sz w:val="22"/>
          <w:szCs w:val="22"/>
        </w:rPr>
        <w:t xml:space="preserve">Special Topic: Genesis 3:15 — The Proto-Evangelium</w:t>
      </w:r>
    </w:p>
    <w:p>
      <w:pPr>
        <w:spacing w:after="80"/>
        <w:ind w:left="360"/>
      </w:pPr>
      <w:r>
        <w:rPr>
          <w:rFonts w:ascii="Garamond" w:cs="Garamond" w:eastAsia="Garamond" w:hAnsi="Garamond"/>
          <w:sz w:val="22"/>
          <w:szCs w:val="22"/>
        </w:rPr>
        <w:t xml:space="preserve">Chapter 27: Genesis 3:20-24 — Naming, Clothing, Expulsion</w:t>
      </w:r>
    </w:p>
    <w:p>
      <w:pPr>
        <w:pStyle w:val="Heading3"/>
      </w:pPr>
      <w:r>
        <w:t xml:space="preserve">Genesis 4-11 — The Spread of Sin and Grace</w:t>
      </w:r>
    </w:p>
    <w:p>
      <w:pPr>
        <w:spacing w:after="80"/>
        <w:ind w:left="360"/>
      </w:pPr>
      <w:r>
        <w:rPr>
          <w:rFonts w:ascii="Garamond" w:cs="Garamond" w:eastAsia="Garamond" w:hAnsi="Garamond"/>
          <w:sz w:val="22"/>
          <w:szCs w:val="22"/>
        </w:rPr>
        <w:t xml:space="preserve">Chapter 28: Genesis 4 — Cain and Abel</w:t>
      </w:r>
    </w:p>
    <w:p>
      <w:pPr>
        <w:spacing w:after="80"/>
        <w:ind w:left="360"/>
      </w:pPr>
      <w:r>
        <w:rPr>
          <w:rFonts w:ascii="Garamond" w:cs="Garamond" w:eastAsia="Garamond" w:hAnsi="Garamond"/>
          <w:sz w:val="22"/>
          <w:szCs w:val="22"/>
        </w:rPr>
        <w:t xml:space="preserve">Chapter 29: Genesis 5 — Genealogy of Adam to Noah</w:t>
      </w:r>
    </w:p>
    <w:p>
      <w:pPr>
        <w:spacing w:after="80"/>
        <w:ind w:left="720"/>
      </w:pPr>
      <w:r>
        <w:rPr>
          <w:rFonts w:ascii="Garamond" w:cs="Garamond" w:eastAsia="Garamond" w:hAnsi="Garamond"/>
          <w:sz w:val="22"/>
          <w:szCs w:val="22"/>
        </w:rPr>
        <w:t xml:space="preserve">Special Topic: The Antediluvian Chronology</w:t>
      </w:r>
    </w:p>
    <w:p>
      <w:pPr>
        <w:spacing w:after="80"/>
        <w:ind w:left="360"/>
      </w:pPr>
      <w:r>
        <w:rPr>
          <w:rFonts w:ascii="Garamond" w:cs="Garamond" w:eastAsia="Garamond" w:hAnsi="Garamond"/>
          <w:sz w:val="22"/>
          <w:szCs w:val="22"/>
        </w:rPr>
        <w:t xml:space="preserve">Chapter 30: Genesis 6:1-8 — Sons of God and Daughters of Men</w:t>
      </w:r>
    </w:p>
    <w:p>
      <w:pPr>
        <w:spacing w:after="80"/>
        <w:ind w:left="720"/>
      </w:pPr>
      <w:r>
        <w:rPr>
          <w:rFonts w:ascii="Garamond" w:cs="Garamond" w:eastAsia="Garamond" w:hAnsi="Garamond"/>
          <w:sz w:val="22"/>
          <w:szCs w:val="22"/>
        </w:rPr>
        <w:t xml:space="preserve">Special Topic: The Nephilim and Angelic Beings</w:t>
      </w:r>
    </w:p>
    <w:p>
      <w:pPr>
        <w:spacing w:after="80"/>
        <w:ind w:left="360"/>
      </w:pPr>
      <w:r>
        <w:rPr>
          <w:rFonts w:ascii="Garamond" w:cs="Garamond" w:eastAsia="Garamond" w:hAnsi="Garamond"/>
          <w:sz w:val="22"/>
          <w:szCs w:val="22"/>
        </w:rPr>
        <w:t xml:space="preserve">Chapter 31: Genesis 6:9-9:29 — Noah and the Flood</w:t>
      </w:r>
    </w:p>
    <w:p>
      <w:pPr>
        <w:spacing w:after="80"/>
        <w:ind w:left="720"/>
      </w:pPr>
      <w:r>
        <w:rPr>
          <w:rFonts w:ascii="Garamond" w:cs="Garamond" w:eastAsia="Garamond" w:hAnsi="Garamond"/>
          <w:sz w:val="22"/>
          <w:szCs w:val="22"/>
        </w:rPr>
        <w:t xml:space="preserve">Special Topic: The Ark as Type of the Church</w:t>
      </w:r>
    </w:p>
    <w:p>
      <w:pPr>
        <w:spacing w:after="80"/>
        <w:ind w:left="720"/>
      </w:pPr>
      <w:r>
        <w:rPr>
          <w:rFonts w:ascii="Garamond" w:cs="Garamond" w:eastAsia="Garamond" w:hAnsi="Garamond"/>
          <w:sz w:val="22"/>
          <w:szCs w:val="22"/>
        </w:rPr>
        <w:t xml:space="preserve">Special Topic: Flood Typology and Baptism</w:t>
      </w:r>
    </w:p>
    <w:p>
      <w:pPr>
        <w:spacing w:after="80"/>
        <w:ind w:left="360"/>
      </w:pPr>
      <w:r>
        <w:rPr>
          <w:rFonts w:ascii="Garamond" w:cs="Garamond" w:eastAsia="Garamond" w:hAnsi="Garamond"/>
          <w:sz w:val="22"/>
          <w:szCs w:val="22"/>
        </w:rPr>
        <w:t xml:space="preserve">Chapter 32: Genesis 10 — The Table of Nations</w:t>
      </w:r>
    </w:p>
    <w:p>
      <w:pPr>
        <w:spacing w:after="80"/>
        <w:ind w:left="360"/>
      </w:pPr>
      <w:r>
        <w:rPr>
          <w:rFonts w:ascii="Garamond" w:cs="Garamond" w:eastAsia="Garamond" w:hAnsi="Garamond"/>
          <w:sz w:val="22"/>
          <w:szCs w:val="22"/>
        </w:rPr>
        <w:t xml:space="preserve">Chapter 33: Genesis 11:1-9 — The Tower of Babel</w:t>
      </w:r>
    </w:p>
    <w:p>
      <w:pPr>
        <w:spacing w:after="80"/>
        <w:ind w:left="720"/>
      </w:pPr>
      <w:r>
        <w:rPr>
          <w:rFonts w:ascii="Garamond" w:cs="Garamond" w:eastAsia="Garamond" w:hAnsi="Garamond"/>
          <w:sz w:val="22"/>
          <w:szCs w:val="22"/>
        </w:rPr>
        <w:t xml:space="preserve">Special Topic: Babel and Pentecost</w:t>
      </w:r>
    </w:p>
    <w:p>
      <w:pPr>
        <w:spacing w:after="80"/>
        <w:ind w:left="360"/>
      </w:pPr>
      <w:r>
        <w:rPr>
          <w:rFonts w:ascii="Garamond" w:cs="Garamond" w:eastAsia="Garamond" w:hAnsi="Garamond"/>
          <w:sz w:val="22"/>
          <w:szCs w:val="22"/>
        </w:rPr>
        <w:t xml:space="preserve">Chapter 34: Genesis 11:10-32 — Genealogy to Abraham</w:t>
      </w:r>
    </w:p>
    <w:p>
      <w:r>
        <w:br w:type="page"/>
      </w:r>
    </w:p>
    <w:p>
      <w:pPr>
        <w:pStyle w:val="Heading2"/>
      </w:pPr>
      <w:r>
        <w:t xml:space="preserve">BOOKS IV-VI: THE PATRIARCHAL HISTORY (GENESIS 12-50)</w:t>
      </w:r>
    </w:p>
    <w:p>
      <w:pPr>
        <w:pStyle w:val="Heading3"/>
      </w:pPr>
      <w:r>
        <w:t xml:space="preserve">BOOK IV: ABRAHAM (Genesis 12-25)</w:t>
      </w:r>
    </w:p>
    <w:p>
      <w:pPr>
        <w:spacing w:after="80"/>
        <w:ind w:left="360"/>
      </w:pPr>
      <w:r>
        <w:rPr>
          <w:rFonts w:ascii="Garamond" w:cs="Garamond" w:eastAsia="Garamond" w:hAnsi="Garamond"/>
          <w:sz w:val="22"/>
          <w:szCs w:val="22"/>
        </w:rPr>
        <w:t xml:space="preserve">Part One: The Call and Early Journeys (Genesis 12-14)</w:t>
      </w:r>
    </w:p>
    <w:p>
      <w:pPr>
        <w:spacing w:after="80"/>
        <w:ind w:left="360"/>
      </w:pPr>
      <w:r>
        <w:rPr>
          <w:rFonts w:ascii="Garamond" w:cs="Garamond" w:eastAsia="Garamond" w:hAnsi="Garamond"/>
          <w:sz w:val="22"/>
          <w:szCs w:val="22"/>
        </w:rPr>
        <w:t xml:space="preserve">Part Two: The Covenant (Genesis 15-17)</w:t>
      </w:r>
    </w:p>
    <w:p>
      <w:pPr>
        <w:spacing w:after="80"/>
        <w:ind w:left="720"/>
      </w:pPr>
      <w:r>
        <w:rPr>
          <w:rFonts w:ascii="Garamond" w:cs="Garamond" w:eastAsia="Garamond" w:hAnsi="Garamond"/>
          <w:sz w:val="22"/>
          <w:szCs w:val="22"/>
        </w:rPr>
        <w:t xml:space="preserve">Special Topic: Genesis 15:6 — Faith and Righteousness</w:t>
      </w:r>
    </w:p>
    <w:p>
      <w:pPr>
        <w:spacing w:after="80"/>
        <w:ind w:left="720"/>
      </w:pPr>
      <w:r>
        <w:rPr>
          <w:rFonts w:ascii="Garamond" w:cs="Garamond" w:eastAsia="Garamond" w:hAnsi="Garamond"/>
          <w:sz w:val="22"/>
          <w:szCs w:val="22"/>
        </w:rPr>
        <w:t xml:space="preserve">Special Topic: Circumcision as Sign</w:t>
      </w:r>
    </w:p>
    <w:p>
      <w:pPr>
        <w:spacing w:after="80"/>
        <w:ind w:left="360"/>
      </w:pPr>
      <w:r>
        <w:rPr>
          <w:rFonts w:ascii="Garamond" w:cs="Garamond" w:eastAsia="Garamond" w:hAnsi="Garamond"/>
          <w:sz w:val="22"/>
          <w:szCs w:val="22"/>
        </w:rPr>
        <w:t xml:space="preserve">Part Three: Sodom and Isaac (Genesis 18-22)</w:t>
      </w:r>
    </w:p>
    <w:p>
      <w:pPr>
        <w:spacing w:after="80"/>
        <w:ind w:left="720"/>
      </w:pPr>
      <w:r>
        <w:rPr>
          <w:rFonts w:ascii="Garamond" w:cs="Garamond" w:eastAsia="Garamond" w:hAnsi="Garamond"/>
          <w:sz w:val="22"/>
          <w:szCs w:val="22"/>
        </w:rPr>
        <w:t xml:space="preserve">Special Topic: The Hospitality of Abraham (Trinity Icon)</w:t>
      </w:r>
    </w:p>
    <w:p>
      <w:pPr>
        <w:spacing w:after="80"/>
        <w:ind w:left="720"/>
      </w:pPr>
      <w:r>
        <w:rPr>
          <w:rFonts w:ascii="Garamond" w:cs="Garamond" w:eastAsia="Garamond" w:hAnsi="Garamond"/>
          <w:sz w:val="22"/>
          <w:szCs w:val="22"/>
        </w:rPr>
        <w:t xml:space="preserve">Special Topic: The Sacrifice of Isaac — Complete Typological Analysis</w:t>
      </w:r>
    </w:p>
    <w:p>
      <w:pPr>
        <w:spacing w:after="80"/>
        <w:ind w:left="360"/>
      </w:pPr>
      <w:r>
        <w:rPr>
          <w:rFonts w:ascii="Garamond" w:cs="Garamond" w:eastAsia="Garamond" w:hAnsi="Garamond"/>
          <w:sz w:val="22"/>
          <w:szCs w:val="22"/>
        </w:rPr>
        <w:t xml:space="preserve">Part Four: Sarah, Rebekah, Abraham's Death (Genesis 23-25)</w:t>
      </w:r>
    </w:p>
    <w:p>
      <w:pPr>
        <w:pStyle w:val="Heading3"/>
      </w:pPr>
      <w:r>
        <w:t xml:space="preserve">BOOK V: JACOB (Genesis 25-36)</w:t>
      </w:r>
    </w:p>
    <w:p>
      <w:pPr>
        <w:spacing w:after="80"/>
        <w:ind w:left="360"/>
      </w:pPr>
      <w:r>
        <w:rPr>
          <w:rFonts w:ascii="Garamond" w:cs="Garamond" w:eastAsia="Garamond" w:hAnsi="Garamond"/>
          <w:sz w:val="22"/>
          <w:szCs w:val="22"/>
        </w:rPr>
        <w:t xml:space="preserve">Special Topic: Jacob and Esau — Election and Mystery</w:t>
      </w:r>
    </w:p>
    <w:p>
      <w:pPr>
        <w:spacing w:after="80"/>
        <w:ind w:left="360"/>
      </w:pPr>
      <w:r>
        <w:rPr>
          <w:rFonts w:ascii="Garamond" w:cs="Garamond" w:eastAsia="Garamond" w:hAnsi="Garamond"/>
          <w:sz w:val="22"/>
          <w:szCs w:val="22"/>
        </w:rPr>
        <w:t xml:space="preserve">Special Topic: Jacob's Ladder — Christological Analysis</w:t>
      </w:r>
    </w:p>
    <w:p>
      <w:pPr>
        <w:spacing w:after="80"/>
        <w:ind w:left="360"/>
      </w:pPr>
      <w:r>
        <w:rPr>
          <w:rFonts w:ascii="Garamond" w:cs="Garamond" w:eastAsia="Garamond" w:hAnsi="Garamond"/>
          <w:sz w:val="22"/>
          <w:szCs w:val="22"/>
        </w:rPr>
        <w:t xml:space="preserve">Special Topic: Wrestling with God — Theophany and Transformation</w:t>
      </w:r>
    </w:p>
    <w:p>
      <w:pPr>
        <w:spacing w:after="80"/>
        <w:ind w:left="360"/>
      </w:pPr>
      <w:r>
        <w:rPr>
          <w:rFonts w:ascii="Garamond" w:cs="Garamond" w:eastAsia="Garamond" w:hAnsi="Garamond"/>
          <w:sz w:val="22"/>
          <w:szCs w:val="22"/>
        </w:rPr>
        <w:t xml:space="preserve">Special Topic: The Twelve Tribes — Ecclesiological Significance</w:t>
      </w:r>
    </w:p>
    <w:p>
      <w:pPr>
        <w:pStyle w:val="Heading3"/>
      </w:pPr>
      <w:r>
        <w:t xml:space="preserve">BOOK VI: JOSEPH (Genesis 37-50)</w:t>
      </w:r>
    </w:p>
    <w:p>
      <w:pPr>
        <w:spacing w:after="80"/>
        <w:ind w:left="360"/>
      </w:pPr>
      <w:r>
        <w:rPr>
          <w:rFonts w:ascii="Garamond" w:cs="Garamond" w:eastAsia="Garamond" w:hAnsi="Garamond"/>
          <w:sz w:val="22"/>
          <w:szCs w:val="22"/>
        </w:rPr>
        <w:t xml:space="preserve">Special Topic: Joseph as Complete Type of Christ</w:t>
      </w:r>
    </w:p>
    <w:p>
      <w:pPr>
        <w:spacing w:after="80"/>
        <w:ind w:left="360"/>
      </w:pPr>
      <w:r>
        <w:rPr>
          <w:rFonts w:ascii="Garamond" w:cs="Garamond" w:eastAsia="Garamond" w:hAnsi="Garamond"/>
          <w:sz w:val="22"/>
          <w:szCs w:val="22"/>
        </w:rPr>
        <w:t xml:space="preserve">Special Topic: Genesis 50:20 — Providence and Evil</w:t>
      </w:r>
    </w:p>
    <w:p>
      <w:pPr>
        <w:spacing w:after="80"/>
        <w:ind w:left="360"/>
      </w:pPr>
      <w:r>
        <w:rPr>
          <w:rFonts w:ascii="Garamond" w:cs="Garamond" w:eastAsia="Garamond" w:hAnsi="Garamond"/>
          <w:sz w:val="22"/>
          <w:szCs w:val="22"/>
        </w:rPr>
        <w:t xml:space="preserve">Special Topic: The Coffin in Egypt — The Unfinished Story</w:t>
      </w:r>
    </w:p>
    <w:p>
      <w:r>
        <w:br w:type="page"/>
      </w:r>
    </w:p>
    <w:p>
      <w:pPr>
        <w:pStyle w:val="Heading1"/>
      </w:pPr>
      <w:r>
        <w:t xml:space="preserve">DIVISION DELTA: THEMATIC STUDIES</w:t>
      </w:r>
    </w:p>
    <w:p>
      <w:pPr>
        <w:pStyle w:val="Heading2"/>
      </w:pPr>
      <w:r>
        <w:t xml:space="preserve">BOOK VII: CREATION THEOLOGY</w:t>
      </w:r>
    </w:p>
    <w:p>
      <w:pPr>
        <w:spacing w:after="80"/>
        <w:ind w:left="360"/>
      </w:pPr>
      <w:r>
        <w:rPr>
          <w:rFonts w:ascii="Garamond" w:cs="Garamond" w:eastAsia="Garamond" w:hAnsi="Garamond"/>
          <w:sz w:val="22"/>
          <w:szCs w:val="22"/>
        </w:rPr>
        <w:t xml:space="preserve">Chapter 200: The Doctrine of Creation</w:t>
      </w:r>
    </w:p>
    <w:p>
      <w:pPr>
        <w:spacing w:after="80"/>
        <w:ind w:left="360"/>
      </w:pPr>
      <w:r>
        <w:rPr>
          <w:rFonts w:ascii="Garamond" w:cs="Garamond" w:eastAsia="Garamond" w:hAnsi="Garamond"/>
          <w:sz w:val="22"/>
          <w:szCs w:val="22"/>
        </w:rPr>
        <w:t xml:space="preserve">Chapter 201: Creation ex nihilo — Comprehensive Treatment</w:t>
      </w:r>
    </w:p>
    <w:p>
      <w:pPr>
        <w:spacing w:after="80"/>
        <w:ind w:left="360"/>
      </w:pPr>
      <w:r>
        <w:rPr>
          <w:rFonts w:ascii="Garamond" w:cs="Garamond" w:eastAsia="Garamond" w:hAnsi="Garamond"/>
          <w:sz w:val="22"/>
          <w:szCs w:val="22"/>
        </w:rPr>
        <w:t xml:space="preserve">Chapter 202: The Logos and Creation</w:t>
      </w:r>
    </w:p>
    <w:p>
      <w:pPr>
        <w:spacing w:after="80"/>
        <w:ind w:left="360"/>
      </w:pPr>
      <w:r>
        <w:rPr>
          <w:rFonts w:ascii="Garamond" w:cs="Garamond" w:eastAsia="Garamond" w:hAnsi="Garamond"/>
          <w:sz w:val="22"/>
          <w:szCs w:val="22"/>
        </w:rPr>
        <w:t xml:space="preserve">Chapter 203: The Spirit and Creation</w:t>
      </w:r>
    </w:p>
    <w:p>
      <w:pPr>
        <w:spacing w:after="80"/>
        <w:ind w:left="360"/>
      </w:pPr>
      <w:r>
        <w:rPr>
          <w:rFonts w:ascii="Garamond" w:cs="Garamond" w:eastAsia="Garamond" w:hAnsi="Garamond"/>
          <w:sz w:val="22"/>
          <w:szCs w:val="22"/>
        </w:rPr>
        <w:t xml:space="preserve">Chapter 204: The Trinity and Creation</w:t>
      </w:r>
    </w:p>
    <w:p>
      <w:pPr>
        <w:spacing w:after="80"/>
        <w:ind w:left="360"/>
      </w:pPr>
      <w:r>
        <w:rPr>
          <w:rFonts w:ascii="Garamond" w:cs="Garamond" w:eastAsia="Garamond" w:hAnsi="Garamond"/>
          <w:sz w:val="22"/>
          <w:szCs w:val="22"/>
        </w:rPr>
        <w:t xml:space="preserve">Chapter 205: Divine Providence</w:t>
      </w:r>
    </w:p>
    <w:p>
      <w:pPr>
        <w:spacing w:after="80"/>
        <w:ind w:left="360"/>
      </w:pPr>
      <w:r>
        <w:rPr>
          <w:rFonts w:ascii="Garamond" w:cs="Garamond" w:eastAsia="Garamond" w:hAnsi="Garamond"/>
          <w:sz w:val="22"/>
          <w:szCs w:val="22"/>
        </w:rPr>
        <w:t xml:space="preserve">Chapter 206: The Goodness of Creation</w:t>
      </w:r>
    </w:p>
    <w:p>
      <w:pPr>
        <w:spacing w:after="80"/>
        <w:ind w:left="360"/>
      </w:pPr>
      <w:r>
        <w:rPr>
          <w:rFonts w:ascii="Garamond" w:cs="Garamond" w:eastAsia="Garamond" w:hAnsi="Garamond"/>
          <w:sz w:val="22"/>
          <w:szCs w:val="22"/>
        </w:rPr>
        <w:t xml:space="preserve">Chapter 207: Angels in Genesis and Orthodox Theology</w:t>
      </w:r>
    </w:p>
    <w:p>
      <w:pPr>
        <w:pStyle w:val="Heading2"/>
      </w:pPr>
      <w:r>
        <w:t xml:space="preserve">BOOK VIII: ANTHROPOLOGY</w:t>
      </w:r>
    </w:p>
    <w:p>
      <w:pPr>
        <w:spacing w:after="80"/>
        <w:ind w:left="360"/>
      </w:pPr>
      <w:r>
        <w:rPr>
          <w:rFonts w:ascii="Garamond" w:cs="Garamond" w:eastAsia="Garamond" w:hAnsi="Garamond"/>
          <w:sz w:val="22"/>
          <w:szCs w:val="22"/>
        </w:rPr>
        <w:t xml:space="preserve">Chapter 220: Biblical Anthropology</w:t>
      </w:r>
    </w:p>
    <w:p>
      <w:pPr>
        <w:spacing w:after="80"/>
        <w:ind w:left="360"/>
      </w:pPr>
      <w:r>
        <w:rPr>
          <w:rFonts w:ascii="Garamond" w:cs="Garamond" w:eastAsia="Garamond" w:hAnsi="Garamond"/>
          <w:sz w:val="22"/>
          <w:szCs w:val="22"/>
        </w:rPr>
        <w:t xml:space="preserve">Chapter 221: Patristic Anthropology</w:t>
      </w:r>
    </w:p>
    <w:p>
      <w:pPr>
        <w:spacing w:after="80"/>
        <w:ind w:left="360"/>
      </w:pPr>
      <w:r>
        <w:rPr>
          <w:rFonts w:ascii="Garamond" w:cs="Garamond" w:eastAsia="Garamond" w:hAnsi="Garamond"/>
          <w:sz w:val="22"/>
          <w:szCs w:val="22"/>
        </w:rPr>
        <w:t xml:space="preserve">Chapter 222: The Orthodox Doctrine of Theosis</w:t>
      </w:r>
    </w:p>
    <w:p>
      <w:pPr>
        <w:spacing w:after="80"/>
        <w:ind w:left="360"/>
      </w:pPr>
      <w:r>
        <w:rPr>
          <w:rFonts w:ascii="Garamond" w:cs="Garamond" w:eastAsia="Garamond" w:hAnsi="Garamond"/>
          <w:sz w:val="22"/>
          <w:szCs w:val="22"/>
        </w:rPr>
        <w:t xml:space="preserve">Chapter 223: Body, Soul, Spirit</w:t>
      </w:r>
    </w:p>
    <w:p>
      <w:pPr>
        <w:spacing w:after="80"/>
        <w:ind w:left="360"/>
      </w:pPr>
      <w:r>
        <w:rPr>
          <w:rFonts w:ascii="Garamond" w:cs="Garamond" w:eastAsia="Garamond" w:hAnsi="Garamond"/>
          <w:sz w:val="22"/>
          <w:szCs w:val="22"/>
        </w:rPr>
        <w:t xml:space="preserve">Chapter 224: Male and Female</w:t>
      </w:r>
    </w:p>
    <w:p>
      <w:pPr>
        <w:spacing w:after="80"/>
        <w:ind w:left="360"/>
      </w:pPr>
      <w:r>
        <w:rPr>
          <w:rFonts w:ascii="Garamond" w:cs="Garamond" w:eastAsia="Garamond" w:hAnsi="Garamond"/>
          <w:sz w:val="22"/>
          <w:szCs w:val="22"/>
        </w:rPr>
        <w:t xml:space="preserve">Chapter 225: Human Vocation: Priest, King, Prophet</w:t>
      </w:r>
    </w:p>
    <w:p>
      <w:pPr>
        <w:spacing w:after="80"/>
        <w:ind w:left="360"/>
      </w:pPr>
      <w:r>
        <w:rPr>
          <w:rFonts w:ascii="Garamond" w:cs="Garamond" w:eastAsia="Garamond" w:hAnsi="Garamond"/>
          <w:sz w:val="22"/>
          <w:szCs w:val="22"/>
        </w:rPr>
        <w:t xml:space="preserve">Chapter 226: The Fall and Its Effects</w:t>
      </w:r>
    </w:p>
    <w:p>
      <w:pPr>
        <w:spacing w:after="80"/>
        <w:ind w:left="360"/>
      </w:pPr>
      <w:r>
        <w:rPr>
          <w:rFonts w:ascii="Garamond" w:cs="Garamond" w:eastAsia="Garamond" w:hAnsi="Garamond"/>
          <w:sz w:val="22"/>
          <w:szCs w:val="22"/>
        </w:rPr>
        <w:t xml:space="preserve">Chapter 227: Ancestral Sin — Orthodox Teaching</w:t>
      </w:r>
    </w:p>
    <w:p>
      <w:pPr>
        <w:pStyle w:val="Heading2"/>
      </w:pPr>
      <w:r>
        <w:t xml:space="preserve">BOOK IX: COVENANT THEOLOGY</w:t>
      </w:r>
    </w:p>
    <w:p>
      <w:pPr>
        <w:spacing w:after="80"/>
        <w:ind w:left="360"/>
      </w:pPr>
      <w:r>
        <w:rPr>
          <w:rFonts w:ascii="Garamond" w:cs="Garamond" w:eastAsia="Garamond" w:hAnsi="Garamond"/>
          <w:sz w:val="22"/>
          <w:szCs w:val="22"/>
        </w:rPr>
        <w:t xml:space="preserve">Chapter 240: The Nature of Covenant</w:t>
      </w:r>
    </w:p>
    <w:p>
      <w:pPr>
        <w:spacing w:after="80"/>
        <w:ind w:left="360"/>
      </w:pPr>
      <w:r>
        <w:rPr>
          <w:rFonts w:ascii="Garamond" w:cs="Garamond" w:eastAsia="Garamond" w:hAnsi="Garamond"/>
          <w:sz w:val="22"/>
          <w:szCs w:val="22"/>
        </w:rPr>
        <w:t xml:space="preserve">Chapter 241: The Adamic Covenant</w:t>
      </w:r>
    </w:p>
    <w:p>
      <w:pPr>
        <w:spacing w:after="80"/>
        <w:ind w:left="360"/>
      </w:pPr>
      <w:r>
        <w:rPr>
          <w:rFonts w:ascii="Garamond" w:cs="Garamond" w:eastAsia="Garamond" w:hAnsi="Garamond"/>
          <w:sz w:val="22"/>
          <w:szCs w:val="22"/>
        </w:rPr>
        <w:t xml:space="preserve">Chapter 242: The Noahic Covenant</w:t>
      </w:r>
    </w:p>
    <w:p>
      <w:pPr>
        <w:spacing w:after="80"/>
        <w:ind w:left="360"/>
      </w:pPr>
      <w:r>
        <w:rPr>
          <w:rFonts w:ascii="Garamond" w:cs="Garamond" w:eastAsia="Garamond" w:hAnsi="Garamond"/>
          <w:sz w:val="22"/>
          <w:szCs w:val="22"/>
        </w:rPr>
        <w:t xml:space="preserve">Chapter 243: The Abrahamic Covenant</w:t>
      </w:r>
    </w:p>
    <w:p>
      <w:pPr>
        <w:spacing w:after="80"/>
        <w:ind w:left="360"/>
      </w:pPr>
      <w:r>
        <w:rPr>
          <w:rFonts w:ascii="Garamond" w:cs="Garamond" w:eastAsia="Garamond" w:hAnsi="Garamond"/>
          <w:sz w:val="22"/>
          <w:szCs w:val="22"/>
        </w:rPr>
        <w:t xml:space="preserve">Chapter 244: Covenant and Christ</w:t>
      </w:r>
    </w:p>
    <w:p>
      <w:pPr>
        <w:pStyle w:val="Heading2"/>
      </w:pPr>
      <w:r>
        <w:t xml:space="preserve">BOOK X: TYPOLOGY AND CHRISTOLOGY</w:t>
      </w:r>
    </w:p>
    <w:p>
      <w:pPr>
        <w:spacing w:after="80"/>
        <w:ind w:left="360"/>
      </w:pPr>
      <w:r>
        <w:rPr>
          <w:rFonts w:ascii="Garamond" w:cs="Garamond" w:eastAsia="Garamond" w:hAnsi="Garamond"/>
          <w:sz w:val="22"/>
          <w:szCs w:val="22"/>
        </w:rPr>
        <w:t xml:space="preserve">Chapter 250: The Principles of Typology</w:t>
      </w:r>
    </w:p>
    <w:p>
      <w:pPr>
        <w:spacing w:after="80"/>
        <w:ind w:left="360"/>
      </w:pPr>
      <w:r>
        <w:rPr>
          <w:rFonts w:ascii="Garamond" w:cs="Garamond" w:eastAsia="Garamond" w:hAnsi="Garamond"/>
          <w:sz w:val="22"/>
          <w:szCs w:val="22"/>
        </w:rPr>
        <w:t xml:space="preserve">Chapter 253: Adam and Christ — Complete Study</w:t>
      </w:r>
    </w:p>
    <w:p>
      <w:pPr>
        <w:spacing w:after="80"/>
        <w:ind w:left="360"/>
      </w:pPr>
      <w:r>
        <w:rPr>
          <w:rFonts w:ascii="Garamond" w:cs="Garamond" w:eastAsia="Garamond" w:hAnsi="Garamond"/>
          <w:sz w:val="22"/>
          <w:szCs w:val="22"/>
        </w:rPr>
        <w:t xml:space="preserve">Chapter 254: Eve and Mary — Complete Study</w:t>
      </w:r>
    </w:p>
    <w:p>
      <w:pPr>
        <w:spacing w:after="80"/>
        <w:ind w:left="360"/>
      </w:pPr>
      <w:r>
        <w:rPr>
          <w:rFonts w:ascii="Garamond" w:cs="Garamond" w:eastAsia="Garamond" w:hAnsi="Garamond"/>
          <w:sz w:val="22"/>
          <w:szCs w:val="22"/>
        </w:rPr>
        <w:t xml:space="preserve">Chapter 255: Abel and Christ</w:t>
      </w:r>
    </w:p>
    <w:p>
      <w:pPr>
        <w:spacing w:after="80"/>
        <w:ind w:left="360"/>
      </w:pPr>
      <w:r>
        <w:rPr>
          <w:rFonts w:ascii="Garamond" w:cs="Garamond" w:eastAsia="Garamond" w:hAnsi="Garamond"/>
          <w:sz w:val="22"/>
          <w:szCs w:val="22"/>
        </w:rPr>
        <w:t xml:space="preserve">Chapter 256: Noah and the Ark — Complete Study</w:t>
      </w:r>
    </w:p>
    <w:p>
      <w:pPr>
        <w:spacing w:after="80"/>
        <w:ind w:left="360"/>
      </w:pPr>
      <w:r>
        <w:rPr>
          <w:rFonts w:ascii="Garamond" w:cs="Garamond" w:eastAsia="Garamond" w:hAnsi="Garamond"/>
          <w:sz w:val="22"/>
          <w:szCs w:val="22"/>
        </w:rPr>
        <w:t xml:space="preserve">Chapter 257: Melchizedek — Complete Study</w:t>
      </w:r>
    </w:p>
    <w:p>
      <w:pPr>
        <w:spacing w:after="80"/>
        <w:ind w:left="360"/>
      </w:pPr>
      <w:r>
        <w:rPr>
          <w:rFonts w:ascii="Garamond" w:cs="Garamond" w:eastAsia="Garamond" w:hAnsi="Garamond"/>
          <w:sz w:val="22"/>
          <w:szCs w:val="22"/>
        </w:rPr>
        <w:t xml:space="preserve">Chapter 258: Isaac — Complete Study</w:t>
      </w:r>
    </w:p>
    <w:p>
      <w:pPr>
        <w:spacing w:after="80"/>
        <w:ind w:left="360"/>
      </w:pPr>
      <w:r>
        <w:rPr>
          <w:rFonts w:ascii="Garamond" w:cs="Garamond" w:eastAsia="Garamond" w:hAnsi="Garamond"/>
          <w:sz w:val="22"/>
          <w:szCs w:val="22"/>
        </w:rPr>
        <w:t xml:space="preserve">Chapter 259: Jacob — Complete Study</w:t>
      </w:r>
    </w:p>
    <w:p>
      <w:pPr>
        <w:spacing w:after="80"/>
        <w:ind w:left="360"/>
      </w:pPr>
      <w:r>
        <w:rPr>
          <w:rFonts w:ascii="Garamond" w:cs="Garamond" w:eastAsia="Garamond" w:hAnsi="Garamond"/>
          <w:sz w:val="22"/>
          <w:szCs w:val="22"/>
        </w:rPr>
        <w:t xml:space="preserve">Chapter 260: Joseph — Complete Study</w:t>
      </w:r>
    </w:p>
    <w:p>
      <w:r>
        <w:br w:type="page"/>
      </w:r>
    </w:p>
    <w:p>
      <w:pPr>
        <w:pStyle w:val="Heading1"/>
      </w:pPr>
      <w:r>
        <w:t xml:space="preserve">DIVISION EPSILON: INTERDISCIPLINARY STUDIES</w:t>
      </w:r>
    </w:p>
    <w:p>
      <w:pPr>
        <w:pStyle w:val="Heading2"/>
      </w:pPr>
      <w:r>
        <w:t xml:space="preserve">BOOK XIII: GENESIS AND PHILOSOPHY</w:t>
      </w:r>
    </w:p>
    <w:p>
      <w:pPr>
        <w:spacing w:after="80"/>
        <w:ind w:left="360"/>
      </w:pPr>
      <w:r>
        <w:rPr>
          <w:rFonts w:ascii="Garamond" w:cs="Garamond" w:eastAsia="Garamond" w:hAnsi="Garamond"/>
          <w:sz w:val="22"/>
          <w:szCs w:val="22"/>
        </w:rPr>
        <w:t xml:space="preserve">Part One: Ontology</w:t>
      </w:r>
    </w:p>
    <w:p>
      <w:pPr>
        <w:spacing w:after="80"/>
        <w:ind w:left="720"/>
      </w:pPr>
      <w:r>
        <w:rPr>
          <w:rFonts w:ascii="Garamond" w:cs="Garamond" w:eastAsia="Garamond" w:hAnsi="Garamond"/>
          <w:sz w:val="22"/>
          <w:szCs w:val="22"/>
        </w:rPr>
        <w:t xml:space="preserve">Chapter 300: Being and Creation</w:t>
      </w:r>
    </w:p>
    <w:p>
      <w:pPr>
        <w:spacing w:after="80"/>
        <w:ind w:left="720"/>
      </w:pPr>
      <w:r>
        <w:rPr>
          <w:rFonts w:ascii="Garamond" w:cs="Garamond" w:eastAsia="Garamond" w:hAnsi="Garamond"/>
          <w:sz w:val="22"/>
          <w:szCs w:val="22"/>
        </w:rPr>
        <w:t xml:space="preserve">Chapter 301: Substance and Accident</w:t>
      </w:r>
    </w:p>
    <w:p>
      <w:pPr>
        <w:spacing w:after="80"/>
        <w:ind w:left="720"/>
      </w:pPr>
      <w:r>
        <w:rPr>
          <w:rFonts w:ascii="Garamond" w:cs="Garamond" w:eastAsia="Garamond" w:hAnsi="Garamond"/>
          <w:sz w:val="22"/>
          <w:szCs w:val="22"/>
        </w:rPr>
        <w:t xml:space="preserve">Chapter 305: The Essence-Energies Distinction</w:t>
      </w:r>
    </w:p>
    <w:p>
      <w:pPr>
        <w:spacing w:after="80"/>
        <w:ind w:left="360"/>
      </w:pPr>
      <w:r>
        <w:rPr>
          <w:rFonts w:ascii="Garamond" w:cs="Garamond" w:eastAsia="Garamond" w:hAnsi="Garamond"/>
          <w:sz w:val="22"/>
          <w:szCs w:val="22"/>
        </w:rPr>
        <w:t xml:space="preserve">Part Two: Epistemology</w:t>
      </w:r>
    </w:p>
    <w:p>
      <w:pPr>
        <w:spacing w:after="80"/>
        <w:ind w:left="360"/>
      </w:pPr>
      <w:r>
        <w:rPr>
          <w:rFonts w:ascii="Garamond" w:cs="Garamond" w:eastAsia="Garamond" w:hAnsi="Garamond"/>
          <w:sz w:val="22"/>
          <w:szCs w:val="22"/>
        </w:rPr>
        <w:t xml:space="preserve">Part Three: Ethics</w:t>
      </w:r>
    </w:p>
    <w:p>
      <w:pPr>
        <w:spacing w:after="80"/>
        <w:ind w:left="360"/>
      </w:pPr>
      <w:r>
        <w:rPr>
          <w:rFonts w:ascii="Garamond" w:cs="Garamond" w:eastAsia="Garamond" w:hAnsi="Garamond"/>
          <w:sz w:val="22"/>
          <w:szCs w:val="22"/>
        </w:rPr>
        <w:t xml:space="preserve">Part Four: Aesthetics</w:t>
      </w:r>
    </w:p>
    <w:p>
      <w:pPr>
        <w:pStyle w:val="Heading2"/>
      </w:pPr>
      <w:r>
        <w:t xml:space="preserve">BOOK XIV: GENESIS AND MATHEMATICS</w:t>
      </w:r>
    </w:p>
    <w:p>
      <w:pPr>
        <w:spacing w:after="80"/>
        <w:ind w:left="360"/>
      </w:pPr>
      <w:r>
        <w:rPr>
          <w:rFonts w:ascii="Garamond" w:cs="Garamond" w:eastAsia="Garamond" w:hAnsi="Garamond"/>
          <w:sz w:val="22"/>
          <w:szCs w:val="22"/>
        </w:rPr>
        <w:t xml:space="preserve">Part One: Foundations</w:t>
      </w:r>
    </w:p>
    <w:p>
      <w:pPr>
        <w:spacing w:after="80"/>
        <w:ind w:left="720"/>
      </w:pPr>
      <w:r>
        <w:rPr>
          <w:rFonts w:ascii="Garamond" w:cs="Garamond" w:eastAsia="Garamond" w:hAnsi="Garamond"/>
          <w:sz w:val="22"/>
          <w:szCs w:val="22"/>
        </w:rPr>
        <w:t xml:space="preserve">Chapter 400: Mathematics and Theology: The Relationship</w:t>
      </w:r>
    </w:p>
    <w:p>
      <w:pPr>
        <w:spacing w:after="80"/>
        <w:ind w:left="720"/>
      </w:pPr>
      <w:r>
        <w:rPr>
          <w:rFonts w:ascii="Garamond" w:cs="Garamond" w:eastAsia="Garamond" w:hAnsi="Garamond"/>
          <w:sz w:val="22"/>
          <w:szCs w:val="22"/>
        </w:rPr>
        <w:t xml:space="preserve">Chapter 401: The Unreasonable Effectiveness of Mathematics</w:t>
      </w:r>
    </w:p>
    <w:p>
      <w:pPr>
        <w:spacing w:after="80"/>
        <w:ind w:left="360"/>
      </w:pPr>
      <w:r>
        <w:rPr>
          <w:rFonts w:ascii="Garamond" w:cs="Garamond" w:eastAsia="Garamond" w:hAnsi="Garamond"/>
          <w:sz w:val="22"/>
          <w:szCs w:val="22"/>
        </w:rPr>
        <w:t xml:space="preserve">Part Two: Set Theory and Logic</w:t>
      </w:r>
    </w:p>
    <w:p>
      <w:pPr>
        <w:spacing w:after="80"/>
        <w:ind w:left="720"/>
      </w:pPr>
      <w:r>
        <w:rPr>
          <w:rFonts w:ascii="Garamond" w:cs="Garamond" w:eastAsia="Garamond" w:hAnsi="Garamond"/>
          <w:sz w:val="22"/>
          <w:szCs w:val="22"/>
        </w:rPr>
        <w:t xml:space="preserve">Chapter 410: Set Theory and Creation</w:t>
      </w:r>
    </w:p>
    <w:p>
      <w:pPr>
        <w:spacing w:after="80"/>
        <w:ind w:left="720"/>
      </w:pPr>
      <w:r>
        <w:rPr>
          <w:rFonts w:ascii="Garamond" w:cs="Garamond" w:eastAsia="Garamond" w:hAnsi="Garamond"/>
          <w:sz w:val="22"/>
          <w:szCs w:val="22"/>
        </w:rPr>
        <w:t xml:space="preserve">Chapter 411: Logic and the Logos</w:t>
      </w:r>
    </w:p>
    <w:p>
      <w:pPr>
        <w:spacing w:after="80"/>
        <w:ind w:left="360"/>
      </w:pPr>
      <w:r>
        <w:rPr>
          <w:rFonts w:ascii="Garamond" w:cs="Garamond" w:eastAsia="Garamond" w:hAnsi="Garamond"/>
          <w:sz w:val="22"/>
          <w:szCs w:val="22"/>
        </w:rPr>
        <w:t xml:space="preserve">Part Three: Algebra</w:t>
      </w:r>
    </w:p>
    <w:p>
      <w:pPr>
        <w:spacing w:after="80"/>
        <w:ind w:left="720"/>
      </w:pPr>
      <w:r>
        <w:rPr>
          <w:rFonts w:ascii="Garamond" w:cs="Garamond" w:eastAsia="Garamond" w:hAnsi="Garamond"/>
          <w:sz w:val="22"/>
          <w:szCs w:val="22"/>
        </w:rPr>
        <w:t xml:space="preserve">Chapter 420: Group Theory and Genesis</w:t>
      </w:r>
    </w:p>
    <w:p>
      <w:pPr>
        <w:spacing w:after="80"/>
        <w:ind w:left="360"/>
      </w:pPr>
      <w:r>
        <w:rPr>
          <w:rFonts w:ascii="Garamond" w:cs="Garamond" w:eastAsia="Garamond" w:hAnsi="Garamond"/>
          <w:sz w:val="22"/>
          <w:szCs w:val="22"/>
        </w:rPr>
        <w:t xml:space="preserve">Part Four: Geometry and Topology</w:t>
      </w:r>
    </w:p>
    <w:p>
      <w:pPr>
        <w:spacing w:after="80"/>
        <w:ind w:left="720"/>
      </w:pPr>
      <w:r>
        <w:rPr>
          <w:rFonts w:ascii="Garamond" w:cs="Garamond" w:eastAsia="Garamond" w:hAnsi="Garamond"/>
          <w:sz w:val="22"/>
          <w:szCs w:val="22"/>
        </w:rPr>
        <w:t xml:space="preserve">Chapter 430: The Geometry of Creation</w:t>
      </w:r>
    </w:p>
    <w:p>
      <w:pPr>
        <w:spacing w:after="80"/>
        <w:ind w:left="720"/>
      </w:pPr>
      <w:r>
        <w:rPr>
          <w:rFonts w:ascii="Garamond" w:cs="Garamond" w:eastAsia="Garamond" w:hAnsi="Garamond"/>
          <w:sz w:val="22"/>
          <w:szCs w:val="22"/>
        </w:rPr>
        <w:t xml:space="preserve">Chapter 431: Topology and Genesis</w:t>
      </w:r>
    </w:p>
    <w:p>
      <w:pPr>
        <w:spacing w:after="80"/>
        <w:ind w:left="360"/>
      </w:pPr>
      <w:r>
        <w:rPr>
          <w:rFonts w:ascii="Garamond" w:cs="Garamond" w:eastAsia="Garamond" w:hAnsi="Garamond"/>
          <w:sz w:val="22"/>
          <w:szCs w:val="22"/>
        </w:rPr>
        <w:t xml:space="preserve">Part Five: Number Theory</w:t>
      </w:r>
    </w:p>
    <w:p>
      <w:pPr>
        <w:spacing w:after="80"/>
        <w:ind w:left="720"/>
      </w:pPr>
      <w:r>
        <w:rPr>
          <w:rFonts w:ascii="Garamond" w:cs="Garamond" w:eastAsia="Garamond" w:hAnsi="Garamond"/>
          <w:sz w:val="22"/>
          <w:szCs w:val="22"/>
        </w:rPr>
        <w:t xml:space="preserve">Chapter 450: Number and Scripture</w:t>
      </w:r>
    </w:p>
    <w:p>
      <w:pPr>
        <w:spacing w:after="80"/>
        <w:ind w:left="360"/>
      </w:pPr>
      <w:r>
        <w:rPr>
          <w:rFonts w:ascii="Garamond" w:cs="Garamond" w:eastAsia="Garamond" w:hAnsi="Garamond"/>
          <w:sz w:val="22"/>
          <w:szCs w:val="22"/>
        </w:rPr>
        <w:t xml:space="preserve">Part Six: Advanced Structures</w:t>
      </w:r>
    </w:p>
    <w:p>
      <w:pPr>
        <w:spacing w:after="80"/>
        <w:ind w:left="720"/>
      </w:pPr>
      <w:r>
        <w:rPr>
          <w:rFonts w:ascii="Garamond" w:cs="Garamond" w:eastAsia="Garamond" w:hAnsi="Garamond"/>
          <w:sz w:val="22"/>
          <w:szCs w:val="22"/>
        </w:rPr>
        <w:t xml:space="preserve">Chapter 460: Category Theory and Theology</w:t>
      </w:r>
    </w:p>
    <w:p>
      <w:pPr>
        <w:spacing w:after="80"/>
        <w:ind w:left="720"/>
      </w:pPr>
      <w:r>
        <w:rPr>
          <w:rFonts w:ascii="Garamond" w:cs="Garamond" w:eastAsia="Garamond" w:hAnsi="Garamond"/>
          <w:sz w:val="22"/>
          <w:szCs w:val="22"/>
        </w:rPr>
        <w:t xml:space="preserve">Chapter 461: Topos Theory</w:t>
      </w:r>
    </w:p>
    <w:p>
      <w:pPr>
        <w:spacing w:after="80"/>
        <w:ind w:left="720"/>
      </w:pPr>
      <w:r>
        <w:rPr>
          <w:rFonts w:ascii="Garamond" w:cs="Garamond" w:eastAsia="Garamond" w:hAnsi="Garamond"/>
          <w:sz w:val="22"/>
          <w:szCs w:val="22"/>
        </w:rPr>
        <w:t xml:space="preserve">Chapter 463: Homotopy Type Theory</w:t>
      </w:r>
    </w:p>
    <w:p>
      <w:pPr>
        <w:spacing w:after="80"/>
        <w:ind w:left="720"/>
      </w:pPr>
      <w:r>
        <w:rPr>
          <w:rFonts w:ascii="Garamond" w:cs="Garamond" w:eastAsia="Garamond" w:hAnsi="Garamond"/>
          <w:sz w:val="22"/>
          <w:szCs w:val="22"/>
        </w:rPr>
        <w:t xml:space="preserve">Chapter 465: Perfectoid Spaces and Theology — Extended Study</w:t>
      </w:r>
    </w:p>
    <w:p>
      <w:pPr>
        <w:pStyle w:val="Heading2"/>
      </w:pPr>
      <w:r>
        <w:t xml:space="preserve">BOOK XV: GENESIS AND PHYSICS</w:t>
      </w:r>
    </w:p>
    <w:p>
      <w:pPr>
        <w:spacing w:after="80"/>
        <w:ind w:left="360"/>
      </w:pPr>
      <w:r>
        <w:rPr>
          <w:rFonts w:ascii="Garamond" w:cs="Garamond" w:eastAsia="Garamond" w:hAnsi="Garamond"/>
          <w:sz w:val="22"/>
          <w:szCs w:val="22"/>
        </w:rPr>
        <w:t xml:space="preserve">Part One: Classical Physics</w:t>
      </w:r>
    </w:p>
    <w:p>
      <w:pPr>
        <w:spacing w:after="80"/>
        <w:ind w:left="360"/>
      </w:pPr>
      <w:r>
        <w:rPr>
          <w:rFonts w:ascii="Garamond" w:cs="Garamond" w:eastAsia="Garamond" w:hAnsi="Garamond"/>
          <w:sz w:val="22"/>
          <w:szCs w:val="22"/>
        </w:rPr>
        <w:t xml:space="preserve">Part Two: Relativity</w:t>
      </w:r>
    </w:p>
    <w:p>
      <w:pPr>
        <w:spacing w:after="80"/>
        <w:ind w:left="720"/>
      </w:pPr>
      <w:r>
        <w:rPr>
          <w:rFonts w:ascii="Garamond" w:cs="Garamond" w:eastAsia="Garamond" w:hAnsi="Garamond"/>
          <w:sz w:val="22"/>
          <w:szCs w:val="22"/>
        </w:rPr>
        <w:t xml:space="preserve">Chapter 510: Special Relativity</w:t>
      </w:r>
    </w:p>
    <w:p>
      <w:pPr>
        <w:spacing w:after="80"/>
        <w:ind w:left="720"/>
      </w:pPr>
      <w:r>
        <w:rPr>
          <w:rFonts w:ascii="Garamond" w:cs="Garamond" w:eastAsia="Garamond" w:hAnsi="Garamond"/>
          <w:sz w:val="22"/>
          <w:szCs w:val="22"/>
        </w:rPr>
        <w:t xml:space="preserve">Chapter 511: General Relativity</w:t>
      </w:r>
    </w:p>
    <w:p>
      <w:pPr>
        <w:spacing w:after="80"/>
        <w:ind w:left="360"/>
      </w:pPr>
      <w:r>
        <w:rPr>
          <w:rFonts w:ascii="Garamond" w:cs="Garamond" w:eastAsia="Garamond" w:hAnsi="Garamond"/>
          <w:sz w:val="22"/>
          <w:szCs w:val="22"/>
        </w:rPr>
        <w:t xml:space="preserve">Part Three: Quantum Mechanics</w:t>
      </w:r>
    </w:p>
    <w:p>
      <w:pPr>
        <w:spacing w:after="80"/>
        <w:ind w:left="720"/>
      </w:pPr>
      <w:r>
        <w:rPr>
          <w:rFonts w:ascii="Garamond" w:cs="Garamond" w:eastAsia="Garamond" w:hAnsi="Garamond"/>
          <w:sz w:val="22"/>
          <w:szCs w:val="22"/>
        </w:rPr>
        <w:t xml:space="preserve">Chapter 520: The Quantum Revolution</w:t>
      </w:r>
    </w:p>
    <w:p>
      <w:pPr>
        <w:spacing w:after="80"/>
        <w:ind w:left="720"/>
      </w:pPr>
      <w:r>
        <w:rPr>
          <w:rFonts w:ascii="Garamond" w:cs="Garamond" w:eastAsia="Garamond" w:hAnsi="Garamond"/>
          <w:sz w:val="22"/>
          <w:szCs w:val="22"/>
        </w:rPr>
        <w:t xml:space="preserve">Chapter 521: Interpretations of Quantum Mechanics</w:t>
      </w:r>
    </w:p>
    <w:p>
      <w:pPr>
        <w:spacing w:after="80"/>
        <w:ind w:left="360"/>
      </w:pPr>
      <w:r>
        <w:rPr>
          <w:rFonts w:ascii="Garamond" w:cs="Garamond" w:eastAsia="Garamond" w:hAnsi="Garamond"/>
          <w:sz w:val="22"/>
          <w:szCs w:val="22"/>
        </w:rPr>
        <w:t xml:space="preserve">Part Four: Cosmology</w:t>
      </w:r>
    </w:p>
    <w:p>
      <w:pPr>
        <w:spacing w:after="80"/>
        <w:ind w:left="720"/>
      </w:pPr>
      <w:r>
        <w:rPr>
          <w:rFonts w:ascii="Garamond" w:cs="Garamond" w:eastAsia="Garamond" w:hAnsi="Garamond"/>
          <w:sz w:val="22"/>
          <w:szCs w:val="22"/>
        </w:rPr>
        <w:t xml:space="preserve">Chapter 530: Big Bang Cosmology — Extended Treatment</w:t>
      </w:r>
    </w:p>
    <w:p>
      <w:pPr>
        <w:spacing w:after="80"/>
        <w:ind w:left="720"/>
      </w:pPr>
      <w:r>
        <w:rPr>
          <w:rFonts w:ascii="Garamond" w:cs="Garamond" w:eastAsia="Garamond" w:hAnsi="Garamond"/>
          <w:sz w:val="22"/>
          <w:szCs w:val="22"/>
        </w:rPr>
        <w:t xml:space="preserve">Chapter 532: The Multiverse</w:t>
      </w:r>
    </w:p>
    <w:p>
      <w:pPr>
        <w:spacing w:after="80"/>
        <w:ind w:left="720"/>
      </w:pPr>
      <w:r>
        <w:rPr>
          <w:rFonts w:ascii="Garamond" w:cs="Garamond" w:eastAsia="Garamond" w:hAnsi="Garamond"/>
          <w:sz w:val="22"/>
          <w:szCs w:val="22"/>
        </w:rPr>
        <w:t xml:space="preserve">Chapter 533: The Anthropic Principle — Extended Treatment</w:t>
      </w:r>
    </w:p>
    <w:p>
      <w:pPr>
        <w:spacing w:after="80"/>
        <w:ind w:left="360"/>
      </w:pPr>
      <w:r>
        <w:rPr>
          <w:rFonts w:ascii="Garamond" w:cs="Garamond" w:eastAsia="Garamond" w:hAnsi="Garamond"/>
          <w:sz w:val="22"/>
          <w:szCs w:val="22"/>
        </w:rPr>
        <w:t xml:space="preserve">Part Five: Fundamental Physics</w:t>
      </w:r>
    </w:p>
    <w:p>
      <w:pPr>
        <w:spacing w:after="80"/>
        <w:ind w:left="720"/>
      </w:pPr>
      <w:r>
        <w:rPr>
          <w:rFonts w:ascii="Garamond" w:cs="Garamond" w:eastAsia="Garamond" w:hAnsi="Garamond"/>
          <w:sz w:val="22"/>
          <w:szCs w:val="22"/>
        </w:rPr>
        <w:t xml:space="preserve">Chapter 540: String Theory — Extended Treatment</w:t>
      </w:r>
    </w:p>
    <w:p>
      <w:pPr>
        <w:spacing w:after="80"/>
        <w:ind w:left="720"/>
      </w:pPr>
      <w:r>
        <w:rPr>
          <w:rFonts w:ascii="Garamond" w:cs="Garamond" w:eastAsia="Garamond" w:hAnsi="Garamond"/>
          <w:sz w:val="22"/>
          <w:szCs w:val="22"/>
        </w:rPr>
        <w:t xml:space="preserve">Chapter 541: Loop Quantum Gravity</w:t>
      </w:r>
    </w:p>
    <w:p>
      <w:pPr>
        <w:pStyle w:val="Heading2"/>
      </w:pPr>
      <w:r>
        <w:t xml:space="preserve">BOOK XVI: GENESIS AND BIOLOGY</w:t>
      </w:r>
    </w:p>
    <w:p>
      <w:pPr>
        <w:spacing w:after="80"/>
        <w:ind w:left="360"/>
      </w:pPr>
      <w:r>
        <w:rPr>
          <w:rFonts w:ascii="Garamond" w:cs="Garamond" w:eastAsia="Garamond" w:hAnsi="Garamond"/>
          <w:sz w:val="22"/>
          <w:szCs w:val="22"/>
        </w:rPr>
        <w:t xml:space="preserve">Part One: The Origin of Life</w:t>
      </w:r>
    </w:p>
    <w:p>
      <w:pPr>
        <w:spacing w:after="80"/>
        <w:ind w:left="360"/>
      </w:pPr>
      <w:r>
        <w:rPr>
          <w:rFonts w:ascii="Garamond" w:cs="Garamond" w:eastAsia="Garamond" w:hAnsi="Garamond"/>
          <w:sz w:val="22"/>
          <w:szCs w:val="22"/>
        </w:rPr>
        <w:t xml:space="preserve">Part Two: Evolution and Genesis</w:t>
      </w:r>
    </w:p>
    <w:p>
      <w:pPr>
        <w:spacing w:after="80"/>
        <w:ind w:left="720"/>
      </w:pPr>
      <w:r>
        <w:rPr>
          <w:rFonts w:ascii="Garamond" w:cs="Garamond" w:eastAsia="Garamond" w:hAnsi="Garamond"/>
          <w:sz w:val="22"/>
          <w:szCs w:val="22"/>
        </w:rPr>
        <w:t xml:space="preserve">Chapter 611: Orthodox Approaches to Evolution</w:t>
      </w:r>
    </w:p>
    <w:p>
      <w:pPr>
        <w:spacing w:after="80"/>
        <w:ind w:left="720"/>
      </w:pPr>
      <w:r>
        <w:rPr>
          <w:rFonts w:ascii="Garamond" w:cs="Garamond" w:eastAsia="Garamond" w:hAnsi="Garamond"/>
          <w:sz w:val="22"/>
          <w:szCs w:val="22"/>
        </w:rPr>
        <w:t xml:space="preserve">Chapter 612: Adam and Human Origins</w:t>
      </w:r>
    </w:p>
    <w:p>
      <w:pPr>
        <w:spacing w:after="80"/>
        <w:ind w:left="360"/>
      </w:pPr>
      <w:r>
        <w:rPr>
          <w:rFonts w:ascii="Garamond" w:cs="Garamond" w:eastAsia="Garamond" w:hAnsi="Garamond"/>
          <w:sz w:val="22"/>
          <w:szCs w:val="22"/>
        </w:rPr>
        <w:t xml:space="preserve">Part Three: Genetics and Genesis</w:t>
      </w:r>
    </w:p>
    <w:p>
      <w:pPr>
        <w:spacing w:after="80"/>
        <w:ind w:left="360"/>
      </w:pPr>
      <w:r>
        <w:rPr>
          <w:rFonts w:ascii="Garamond" w:cs="Garamond" w:eastAsia="Garamond" w:hAnsi="Garamond"/>
          <w:sz w:val="22"/>
          <w:szCs w:val="22"/>
        </w:rPr>
        <w:t xml:space="preserve">Part Four: Consciousness and the Image</w:t>
      </w:r>
    </w:p>
    <w:p>
      <w:pPr>
        <w:spacing w:after="80"/>
        <w:ind w:left="360"/>
      </w:pPr>
      <w:r>
        <w:rPr>
          <w:rFonts w:ascii="Garamond" w:cs="Garamond" w:eastAsia="Garamond" w:hAnsi="Garamond"/>
          <w:sz w:val="22"/>
          <w:szCs w:val="22"/>
        </w:rPr>
        <w:t xml:space="preserve">Part Five: Ecology and Genesis</w:t>
      </w:r>
    </w:p>
    <w:p>
      <w:r>
        <w:br w:type="page"/>
      </w:r>
    </w:p>
    <w:p>
      <w:pPr>
        <w:pStyle w:val="Heading1"/>
      </w:pPr>
      <w:r>
        <w:t xml:space="preserve">DIVISION ZETA: SYNTHESIS AND APPLICATION</w:t>
      </w:r>
    </w:p>
    <w:p>
      <w:pPr>
        <w:pStyle w:val="Heading2"/>
      </w:pPr>
      <w:r>
        <w:t xml:space="preserve">BOOK XX: THE UNITY OF GENESIS</w:t>
      </w:r>
    </w:p>
    <w:p>
      <w:pPr>
        <w:spacing w:after="80"/>
        <w:ind w:left="360"/>
      </w:pPr>
      <w:r>
        <w:rPr>
          <w:rFonts w:ascii="Garamond" w:cs="Garamond" w:eastAsia="Garamond" w:hAnsi="Garamond"/>
          <w:sz w:val="22"/>
          <w:szCs w:val="22"/>
        </w:rPr>
        <w:t xml:space="preserve">Chapter 1000: The Narrative Unity</w:t>
      </w:r>
    </w:p>
    <w:p>
      <w:pPr>
        <w:spacing w:after="80"/>
        <w:ind w:left="360"/>
      </w:pPr>
      <w:r>
        <w:rPr>
          <w:rFonts w:ascii="Garamond" w:cs="Garamond" w:eastAsia="Garamond" w:hAnsi="Garamond"/>
          <w:sz w:val="22"/>
          <w:szCs w:val="22"/>
        </w:rPr>
        <w:t xml:space="preserve">Chapter 1001: The Theological Unity</w:t>
      </w:r>
    </w:p>
    <w:p>
      <w:pPr>
        <w:spacing w:after="80"/>
        <w:ind w:left="360"/>
      </w:pPr>
      <w:r>
        <w:rPr>
          <w:rFonts w:ascii="Garamond" w:cs="Garamond" w:eastAsia="Garamond" w:hAnsi="Garamond"/>
          <w:sz w:val="22"/>
          <w:szCs w:val="22"/>
        </w:rPr>
        <w:t xml:space="preserve">Chapter 1002: Genesis and the Canon</w:t>
      </w:r>
    </w:p>
    <w:p>
      <w:pPr>
        <w:spacing w:after="80"/>
        <w:ind w:left="360"/>
      </w:pPr>
      <w:r>
        <w:rPr>
          <w:rFonts w:ascii="Garamond" w:cs="Garamond" w:eastAsia="Garamond" w:hAnsi="Garamond"/>
          <w:sz w:val="22"/>
          <w:szCs w:val="22"/>
        </w:rPr>
        <w:t xml:space="preserve">Chapter 1003: Genesis and Christ</w:t>
      </w:r>
    </w:p>
    <w:p>
      <w:pPr>
        <w:spacing w:after="80"/>
        <w:ind w:left="360"/>
      </w:pPr>
      <w:r>
        <w:rPr>
          <w:rFonts w:ascii="Garamond" w:cs="Garamond" w:eastAsia="Garamond" w:hAnsi="Garamond"/>
          <w:sz w:val="22"/>
          <w:szCs w:val="22"/>
        </w:rPr>
        <w:t xml:space="preserve">Chapter 1004: Genesis and the Church</w:t>
      </w:r>
    </w:p>
    <w:p>
      <w:pPr>
        <w:spacing w:after="80"/>
        <w:ind w:left="360"/>
      </w:pPr>
      <w:r>
        <w:rPr>
          <w:rFonts w:ascii="Garamond" w:cs="Garamond" w:eastAsia="Garamond" w:hAnsi="Garamond"/>
          <w:sz w:val="22"/>
          <w:szCs w:val="22"/>
        </w:rPr>
        <w:t xml:space="preserve">Chapter 1005: Genesis and the World to Come</w:t>
      </w:r>
    </w:p>
    <w:p>
      <w:pPr>
        <w:pStyle w:val="Heading2"/>
      </w:pPr>
      <w:r>
        <w:t xml:space="preserve">BOOK XXI: SPIRITUAL APPLICATION</w:t>
      </w:r>
    </w:p>
    <w:p>
      <w:pPr>
        <w:spacing w:after="80"/>
        <w:ind w:left="360"/>
      </w:pPr>
      <w:r>
        <w:rPr>
          <w:rFonts w:ascii="Garamond" w:cs="Garamond" w:eastAsia="Garamond" w:hAnsi="Garamond"/>
          <w:sz w:val="22"/>
          <w:szCs w:val="22"/>
        </w:rPr>
        <w:t xml:space="preserve">Chapter 1010: Genesis and Prayer</w:t>
      </w:r>
    </w:p>
    <w:p>
      <w:pPr>
        <w:spacing w:after="80"/>
        <w:ind w:left="360"/>
      </w:pPr>
      <w:r>
        <w:rPr>
          <w:rFonts w:ascii="Garamond" w:cs="Garamond" w:eastAsia="Garamond" w:hAnsi="Garamond"/>
          <w:sz w:val="22"/>
          <w:szCs w:val="22"/>
        </w:rPr>
        <w:t xml:space="preserve">Chapter 1011: Genesis and Contemplation</w:t>
      </w:r>
    </w:p>
    <w:p>
      <w:pPr>
        <w:spacing w:after="80"/>
        <w:ind w:left="360"/>
      </w:pPr>
      <w:r>
        <w:rPr>
          <w:rFonts w:ascii="Garamond" w:cs="Garamond" w:eastAsia="Garamond" w:hAnsi="Garamond"/>
          <w:sz w:val="22"/>
          <w:szCs w:val="22"/>
        </w:rPr>
        <w:t xml:space="preserve">Chapter 1012: Genesis and Asceticism</w:t>
      </w:r>
    </w:p>
    <w:p>
      <w:pPr>
        <w:spacing w:after="80"/>
        <w:ind w:left="360"/>
      </w:pPr>
      <w:r>
        <w:rPr>
          <w:rFonts w:ascii="Garamond" w:cs="Garamond" w:eastAsia="Garamond" w:hAnsi="Garamond"/>
          <w:sz w:val="22"/>
          <w:szCs w:val="22"/>
        </w:rPr>
        <w:t xml:space="preserve">Chapter 1013: Genesis and Theosis</w:t>
      </w:r>
    </w:p>
    <w:p>
      <w:pPr>
        <w:spacing w:after="80"/>
        <w:ind w:left="360"/>
      </w:pPr>
      <w:r>
        <w:rPr>
          <w:rFonts w:ascii="Garamond" w:cs="Garamond" w:eastAsia="Garamond" w:hAnsi="Garamond"/>
          <w:sz w:val="22"/>
          <w:szCs w:val="22"/>
        </w:rPr>
        <w:t xml:space="preserve">Chapter 1014: Genesis and Daily Life</w:t>
      </w:r>
    </w:p>
    <w:p>
      <w:pPr>
        <w:pStyle w:val="Heading2"/>
      </w:pPr>
      <w:r>
        <w:t xml:space="preserve">BOOK XXII: APOLOGETICS AND ENGAGEMENT</w:t>
      </w:r>
    </w:p>
    <w:p>
      <w:pPr>
        <w:spacing w:after="80"/>
        <w:ind w:left="360"/>
      </w:pPr>
      <w:r>
        <w:rPr>
          <w:rFonts w:ascii="Garamond" w:cs="Garamond" w:eastAsia="Garamond" w:hAnsi="Garamond"/>
          <w:sz w:val="22"/>
          <w:szCs w:val="22"/>
        </w:rPr>
        <w:t xml:space="preserve">Chapter 1020: Genesis and Modern Atheism</w:t>
      </w:r>
    </w:p>
    <w:p>
      <w:pPr>
        <w:spacing w:after="80"/>
        <w:ind w:left="360"/>
      </w:pPr>
      <w:r>
        <w:rPr>
          <w:rFonts w:ascii="Garamond" w:cs="Garamond" w:eastAsia="Garamond" w:hAnsi="Garamond"/>
          <w:sz w:val="22"/>
          <w:szCs w:val="22"/>
        </w:rPr>
        <w:t xml:space="preserve">Chapter 1021: Genesis and Secularism</w:t>
      </w:r>
    </w:p>
    <w:p>
      <w:pPr>
        <w:spacing w:after="80"/>
        <w:ind w:left="360"/>
      </w:pPr>
      <w:r>
        <w:rPr>
          <w:rFonts w:ascii="Garamond" w:cs="Garamond" w:eastAsia="Garamond" w:hAnsi="Garamond"/>
          <w:sz w:val="22"/>
          <w:szCs w:val="22"/>
        </w:rPr>
        <w:t xml:space="preserve">Chapter 1022: Genesis and Pluralism</w:t>
      </w:r>
    </w:p>
    <w:p>
      <w:pPr>
        <w:spacing w:after="80"/>
        <w:ind w:left="360"/>
      </w:pPr>
      <w:r>
        <w:rPr>
          <w:rFonts w:ascii="Garamond" w:cs="Garamond" w:eastAsia="Garamond" w:hAnsi="Garamond"/>
          <w:sz w:val="22"/>
          <w:szCs w:val="22"/>
        </w:rPr>
        <w:t xml:space="preserve">Chapter 1023: The Defense of Genesis</w:t>
      </w:r>
    </w:p>
    <w:p>
      <w:r>
        <w:br w:type="page"/>
      </w:r>
    </w:p>
    <w:p>
      <w:pPr>
        <w:pStyle w:val="Heading1"/>
      </w:pPr>
      <w:r>
        <w:t xml:space="preserve">DIVISION ETA: APPENDICES</w:t>
      </w:r>
    </w:p>
    <w:p>
      <w:pPr>
        <w:spacing w:after="80"/>
        <w:ind w:left="360"/>
      </w:pPr>
      <w:r>
        <w:rPr>
          <w:rFonts w:ascii="Garamond" w:cs="Garamond" w:eastAsia="Garamond" w:hAnsi="Garamond"/>
          <w:sz w:val="22"/>
          <w:szCs w:val="22"/>
        </w:rPr>
        <w:t xml:space="preserve">APPENDIX A: The Complete Greek Text of Genesis (LXX)</w:t>
      </w:r>
    </w:p>
    <w:p>
      <w:pPr>
        <w:spacing w:after="80"/>
        <w:ind w:left="360"/>
      </w:pPr>
      <w:r>
        <w:rPr>
          <w:rFonts w:ascii="Garamond" w:cs="Garamond" w:eastAsia="Garamond" w:hAnsi="Garamond"/>
          <w:sz w:val="22"/>
          <w:szCs w:val="22"/>
        </w:rPr>
        <w:t xml:space="preserve">APPENDIX B: Comparative Texts (LXX, MT, SP, Targum, Peshitta, Vulgate)</w:t>
      </w:r>
    </w:p>
    <w:p>
      <w:pPr>
        <w:spacing w:after="80"/>
        <w:ind w:left="360"/>
      </w:pPr>
      <w:r>
        <w:rPr>
          <w:rFonts w:ascii="Garamond" w:cs="Garamond" w:eastAsia="Garamond" w:hAnsi="Garamond"/>
          <w:sz w:val="22"/>
          <w:szCs w:val="22"/>
        </w:rPr>
        <w:t xml:space="preserve">APPENDIX C: Patristic Testimonia (Complete Inventory by Verse)</w:t>
      </w:r>
    </w:p>
    <w:p>
      <w:pPr>
        <w:spacing w:after="80"/>
        <w:ind w:left="360"/>
      </w:pPr>
      <w:r>
        <w:rPr>
          <w:rFonts w:ascii="Garamond" w:cs="Garamond" w:eastAsia="Garamond" w:hAnsi="Garamond"/>
          <w:sz w:val="22"/>
          <w:szCs w:val="22"/>
        </w:rPr>
        <w:t xml:space="preserve">APPENDIX D: Liturgical Texts</w:t>
      </w:r>
    </w:p>
    <w:p>
      <w:pPr>
        <w:spacing w:after="80"/>
        <w:ind w:left="360"/>
      </w:pPr>
      <w:r>
        <w:rPr>
          <w:rFonts w:ascii="Garamond" w:cs="Garamond" w:eastAsia="Garamond" w:hAnsi="Garamond"/>
          <w:sz w:val="22"/>
          <w:szCs w:val="22"/>
        </w:rPr>
        <w:t xml:space="preserve">APPENDIX E: Chronological Tables</w:t>
      </w:r>
    </w:p>
    <w:p>
      <w:pPr>
        <w:spacing w:after="80"/>
        <w:ind w:left="360"/>
      </w:pPr>
      <w:r>
        <w:rPr>
          <w:rFonts w:ascii="Garamond" w:cs="Garamond" w:eastAsia="Garamond" w:hAnsi="Garamond"/>
          <w:sz w:val="22"/>
          <w:szCs w:val="22"/>
        </w:rPr>
        <w:t xml:space="preserve">APPENDIX F: Maps and Illustrations</w:t>
      </w:r>
    </w:p>
    <w:p>
      <w:pPr>
        <w:spacing w:after="80"/>
        <w:ind w:left="360"/>
      </w:pPr>
      <w:r>
        <w:rPr>
          <w:rFonts w:ascii="Garamond" w:cs="Garamond" w:eastAsia="Garamond" w:hAnsi="Garamond"/>
          <w:sz w:val="22"/>
          <w:szCs w:val="22"/>
        </w:rPr>
        <w:t xml:space="preserve">APPENDIX G: Glossaries (Greek, Hebrew, Theological, Philosophical, Scientific, Mathematical)</w:t>
      </w:r>
    </w:p>
    <w:p>
      <w:pPr>
        <w:spacing w:after="80"/>
        <w:ind w:left="360"/>
      </w:pPr>
      <w:r>
        <w:rPr>
          <w:rFonts w:ascii="Garamond" w:cs="Garamond" w:eastAsia="Garamond" w:hAnsi="Garamond"/>
          <w:sz w:val="22"/>
          <w:szCs w:val="22"/>
        </w:rPr>
        <w:t xml:space="preserve">APPENDIX H: Bibliography</w:t>
      </w:r>
    </w:p>
    <w:p>
      <w:pPr>
        <w:spacing w:after="80"/>
        <w:ind w:left="360"/>
      </w:pPr>
      <w:r>
        <w:rPr>
          <w:rFonts w:ascii="Garamond" w:cs="Garamond" w:eastAsia="Garamond" w:hAnsi="Garamond"/>
          <w:sz w:val="22"/>
          <w:szCs w:val="22"/>
        </w:rPr>
        <w:t xml:space="preserve">APPENDIX I: Indices</w:t>
      </w:r>
    </w:p>
    <w:p>
      <w:r>
        <w:br w:type="page"/>
      </w:r>
    </w:p>
    <w:p>
      <w:pPr>
        <w:pStyle w:val="Heading1"/>
      </w:pPr>
      <w:r>
        <w:t xml:space="preserve">PRINCIPLES FOR LIFELONG DEVELOPMENT</w:t>
      </w:r>
    </w:p>
    <w:p>
      <w:pPr>
        <w:spacing w:after="200" w:line="276"/>
      </w:pPr>
      <w:r>
        <w:rPr>
          <w:rFonts w:ascii="Garamond" w:cs="Garamond" w:eastAsia="Garamond" w:hAnsi="Garamond"/>
          <w:sz w:val="24"/>
          <w:szCs w:val="24"/>
        </w:rPr>
        <w:t xml:space="preserve">This framework is designed not as a completed work but as a structure for lifelong expansion. Each section can be deepened indefinitely. New scientific discoveries, mathematical developments, and scholarly work can be continuously integrated.</w:t>
      </w:r>
    </w:p>
    <w:p>
      <w:pPr>
        <w:pStyle w:val="Heading3"/>
      </w:pPr>
      <w:r>
        <w:t xml:space="preserve">The Iterative Process</w:t>
      </w:r>
    </w:p>
    <w:p>
      <w:pPr>
        <w:spacing w:after="200" w:line="276"/>
      </w:pPr>
      <w:r>
        <w:rPr>
          <w:rFonts w:ascii="Garamond" w:cs="Garamond" w:eastAsia="Garamond" w:hAnsi="Garamond"/>
          <w:sz w:val="24"/>
          <w:szCs w:val="24"/>
        </w:rPr>
        <w:t xml:space="preserve">First Pass: Basic structure and essential content. Second Pass: Patristic depth. Third Pass: Scientific integration. Fourth Pass: Mathematical connections. Subsequent Passes: Continuous refinement through prayer, study, and contemplation.</w:t>
      </w:r>
    </w:p>
    <w:p>
      <w:pPr>
        <w:pStyle w:val="Heading3"/>
      </w:pPr>
      <w:r>
        <w:t xml:space="preserve">The Living Document</w:t>
      </w:r>
    </w:p>
    <w:p>
      <w:pPr>
        <w:spacing w:after="200" w:line="276"/>
      </w:pPr>
      <w:r>
        <w:rPr>
          <w:rFonts w:ascii="Garamond" w:cs="Garamond" w:eastAsia="Garamond" w:hAnsi="Garamond"/>
          <w:sz w:val="24"/>
          <w:szCs w:val="24"/>
        </w:rPr>
        <w:t xml:space="preserve">The work should be conceived as a living repository of wisdom, growing organically as understanding deepens through prayer and contemplation, liturgical participation, academic study, scientific engagement, and dialogue with others.</w:t>
      </w:r>
    </w:p>
    <w:p>
      <w:pPr>
        <w:pStyle w:val="Heading3"/>
      </w:pPr>
      <w:r>
        <w:t xml:space="preserve">The Ultimate Goal</w:t>
      </w:r>
    </w:p>
    <w:p>
      <w:pPr>
        <w:spacing w:after="200" w:line="276"/>
      </w:pPr>
      <w:r>
        <w:rPr>
          <w:rFonts w:ascii="Garamond" w:cs="Garamond" w:eastAsia="Garamond" w:hAnsi="Garamond"/>
          <w:sz w:val="24"/>
          <w:szCs w:val="24"/>
        </w:rPr>
        <w:t xml:space="preserve">Θέωσις — Theosis: The project is not merely academic but spiritual. The comprehensive study of Genesis is a means of sanctification, drawing the student into ever deeper communion with the God who reveals Himself in creation, in Scripture, and supremely in Christ.</w:t>
      </w:r>
    </w:p>
    <w:p>
      <w:pPr>
        <w:spacing w:before="800"/>
      </w:pPr>
    </w:p>
    <w:p>
      <w:pPr>
        <w:jc w:val="center"/>
      </w:pPr>
      <w:r>
        <w:rPr>
          <w:sz w:val="48"/>
          <w:szCs w:val="48"/>
        </w:rPr>
        <w:t xml:space="preserve">❧</w:t>
      </w:r>
    </w:p>
    <w:p>
      <w:pPr>
        <w:spacing w:before="400"/>
        <w:jc w:val="center"/>
      </w:pPr>
      <w:r>
        <w:rPr>
          <w:rFonts w:ascii="Times New Roman" w:cs="Times New Roman" w:eastAsia="Times New Roman" w:hAnsi="Times New Roman"/>
          <w:i/>
          <w:iCs/>
          <w:sz w:val="32"/>
          <w:szCs w:val="32"/>
        </w:rPr>
        <w:t xml:space="preserve">Δόξα τῷ Θεῷ πάντων ἕνεκεν</w:t>
      </w:r>
    </w:p>
    <w:p>
      <w:pPr>
        <w:spacing w:before="100"/>
        <w:jc w:val="center"/>
      </w:pPr>
      <w:r>
        <w:rPr>
          <w:rFonts w:ascii="Garamond" w:cs="Garamond" w:eastAsia="Garamond" w:hAnsi="Garamond"/>
          <w:i/>
          <w:iCs/>
          <w:sz w:val="28"/>
          <w:szCs w:val="28"/>
        </w:rPr>
        <w:t xml:space="preserve">Glory to God for all things</w:t>
      </w:r>
    </w:p>
    <w:sectPr>
      <w:headerReference w:type="default" r:id="rId6"/>
      <w:footerReference w:type="default" r:id="rId7"/>
      <w:pgSz w:w="11906" w:h="16838" w:orient="portrait"/>
      <w:pgMar w:top="1440" w:right="1440" w:bottom="1440" w:left="172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sz w:val="20"/>
        <w:szCs w:val="20"/>
      </w:rPr>
      <w:t xml:space="preserve">ΒΊΒΛΟΣ ΓΕΝΈΣΕΩΣ: THE GENESIS CODEX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Trajan Pro" w:cs="Trajan Pro" w:eastAsia="Trajan Pro" w:hAnsi="Trajan Pro"/>
      <w:b/>
      <w:bCs/>
      <w:color w:val="1a1a2e"/>
      <w:sz w:val="72"/>
      <w:szCs w:val="72"/>
    </w:rPr>
  </w:style>
  <w:style w:type="paragraph" w:styleId="Heading1">
    <w:name w:val="Heading 1"/>
    <w:basedOn w:val="Normal"/>
    <w:next w:val="Normal"/>
    <w:qFormat/>
    <w:pPr>
      <w:spacing w:before="400" w:after="200"/>
      <w:outlineLvl w:val="0"/>
    </w:pPr>
    <w:rPr>
      <w:rFonts w:ascii="Garamond" w:cs="Garamond" w:eastAsia="Garamond" w:hAnsi="Garamond"/>
      <w:b/>
      <w:bCs/>
      <w:color w:val="1a1a2e"/>
      <w:sz w:val="36"/>
      <w:szCs w:val="36"/>
    </w:rPr>
  </w:style>
  <w:style w:type="paragraph" w:styleId="Heading2">
    <w:name w:val="Heading 2"/>
    <w:basedOn w:val="Normal"/>
    <w:next w:val="Normal"/>
    <w:qFormat/>
    <w:pPr>
      <w:spacing w:before="320" w:after="160"/>
      <w:outlineLvl w:val="1"/>
    </w:pPr>
    <w:rPr>
      <w:rFonts w:ascii="Garamond" w:cs="Garamond" w:eastAsia="Garamond" w:hAnsi="Garamond"/>
      <w:b/>
      <w:bCs/>
      <w:color w:val="2d2d44"/>
      <w:sz w:val="32"/>
      <w:szCs w:val="32"/>
    </w:rPr>
  </w:style>
  <w:style w:type="paragraph" w:styleId="Heading3">
    <w:name w:val="Heading 3"/>
    <w:basedOn w:val="Normal"/>
    <w:next w:val="Normal"/>
    <w:qFormat/>
    <w:pPr>
      <w:spacing w:before="280" w:after="140"/>
      <w:outlineLvl w:val="2"/>
    </w:pPr>
    <w:rPr>
      <w:rFonts w:ascii="Garamond" w:cs="Garamond" w:eastAsia="Garamond" w:hAnsi="Garamond"/>
      <w:b/>
      <w:bCs/>
      <w:color w:val="3d3d5c"/>
      <w:sz w:val="28"/>
      <w:szCs w:val="28"/>
    </w:rPr>
  </w:style>
  <w:style w:type="paragraph" w:styleId="Heading4">
    <w:name w:val="Heading 4"/>
    <w:basedOn w:val="Normal"/>
    <w:next w:val="Normal"/>
    <w:qFormat/>
    <w:pPr>
      <w:spacing w:before="240" w:after="120"/>
      <w:outlineLvl w:val="3"/>
    </w:pPr>
    <w:rPr>
      <w:rFonts w:ascii="Garamond" w:cs="Garamond" w:eastAsia="Garamond" w:hAnsi="Garamond"/>
      <w:b/>
      <w:bCs/>
      <w:i/>
      <w:iCs/>
      <w:color w:val="4d4d6d"/>
      <w:sz w:val="26"/>
      <w:szCs w:val="26"/>
    </w:rPr>
  </w:style>
  <w:style w:type="paragraph" w:styleId="Heading5">
    <w:name w:val="Heading 5"/>
    <w:basedOn w:val="Normal"/>
    <w:next w:val="Normal"/>
    <w:qFormat/>
    <w:pPr>
      <w:spacing w:before="200" w:after="100"/>
      <w:outlineLvl w:val="4"/>
    </w:pPr>
    <w:rPr>
      <w:rFonts w:ascii="Garamond" w:cs="Garamond" w:eastAsia="Garamond" w:hAnsi="Garamond"/>
      <w:b/>
      <w:bCs/>
      <w:color w:val="5d5d7d"/>
      <w:sz w:val="24"/>
      <w:szCs w:val="24"/>
    </w:rPr>
  </w:style>
  <w:style w:type="paragraph" w:styleId="Heading6">
    <w:name w:val="Heading 6"/>
    <w:basedOn w:val="Normal"/>
    <w:next w:val="Normal"/>
    <w:qFormat/>
    <w:pPr>
      <w:spacing w:before="160" w:after="80"/>
      <w:outlineLvl w:val="5"/>
    </w:pPr>
    <w:rPr>
      <w:rFonts w:ascii="Garamond" w:cs="Garamond" w:eastAsia="Garamond" w:hAnsi="Garamond"/>
      <w:i/>
      <w:iCs/>
      <w:color w:val="6d6d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2025-12-04T00:11:21.481Z</dcterms:created>
  <dcterms:modified xsi:type="dcterms:W3CDTF">2025-12-04T00:11:21.482Z</dcterms:modified>
</cp:coreProperties>
</file>

<file path=docProps/custom.xml><?xml version="1.0" encoding="utf-8"?>
<Properties xmlns="http://schemas.openxmlformats.org/officeDocument/2006/custom-properties" xmlns:vt="http://schemas.openxmlformats.org/officeDocument/2006/docPropsVTypes"/>
</file>