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Профиль должности на вакансию Администратор туров</w:t>
      </w:r>
    </w:p>
    <w:tbl>
      <w:tblPr>
        <w:tblStyle w:val="Table1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990"/>
        <w:tblGridChange w:id="0">
          <w:tblGrid>
            <w:gridCol w:w="2250"/>
            <w:gridCol w:w="69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Название должности</w:t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tabs>
                <w:tab w:val="left" w:leader="none" w:pos="180"/>
              </w:tabs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Администратор туров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Место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180"/>
              </w:tabs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80"/>
              </w:tabs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Удаленно, часовой пояс МСК+4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Наличие подчиненных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На старте — нет,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в перспективе — возможно управление ассистентами или операторами чатов.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Желаемый возраст, пол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20-32 года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Не принципиально.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Плюс: сфера туризма, гостиничного бизнеса, сервис, менеджмент.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Уровень знания ПК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Выше среднего: Уверенный пользователь: Google Sheets, Google Docs, Trello/CRM, мессенджеры, облачные сервисы.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Уровень знания английского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Не ниже среднего (B1–B2).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Общение с партнёрами и персоналом в Таиланде.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180"/>
              </w:tabs>
              <w:spacing w:after="780" w:before="780" w:lineRule="auto"/>
              <w:rPr/>
            </w:pPr>
            <w:r w:rsidDel="00000000" w:rsidR="00000000" w:rsidRPr="00000000">
              <w:rPr>
                <w:rtl w:val="0"/>
              </w:rPr>
              <w:t xml:space="preserve">PAEI по Адизесу</w:t>
              <w:br w:type="textWrapping"/>
              <w:br w:type="textWrapping"/>
              <w:t xml:space="preserve">https://paei.denero.ru/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180"/>
              </w:tabs>
              <w:spacing w:after="220" w:before="220" w:lineRule="auto"/>
              <w:ind w:left="72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(A)dministrating</w:t>
            </w: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– администрирование, обеспечивающее эффективность организации.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180"/>
              </w:tabs>
              <w:spacing w:after="220" w:before="220" w:lineRule="auto"/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pAeI.</w:t>
            </w: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Лидер, преуспевающий и в администрировании (А), и в интеграции (I),</w:t>
            </w:r>
            <w:sdt>
              <w:sdtPr>
                <w:id w:val="-1727844663"/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62626"/>
                <w:sz w:val="21"/>
                <w:szCs w:val="21"/>
                <w:highlight w:val="yellow"/>
                <w:rtl w:val="0"/>
              </w:rPr>
              <w:t xml:space="preserve">который способен удовлетворительно справляться с производством результатов (P) и предпринимательством (E)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sdt>
              <w:sdtPr>
                <w:id w:val="-966525988"/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b w:val="1"/>
                <w:color w:val="333333"/>
                <w:rtl w:val="0"/>
              </w:rPr>
              <w:t xml:space="preserve">Функциональные обязанности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Контроль получения и подтверждения заявок от партнёров.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Формирование групп и распределение по программам и датам.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Ответы клиентам в чате поддержки.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Приём и контроль оплат.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Финальное подтверждение поездок с партнёрами.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Информирование клиентов о деталях поездки (время, транспорт).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Отслеживание водителей через GPS.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Поддержка клиентов во время поездки.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Сбор обратной связи после тура.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Предложение новых развлечений существующим клиентам.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Ведение клиентских карточек в Trello.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Коммуникация с партнёрами и тайским персоналом.</w:t>
              <w:br w:type="textWrapping"/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Оперативное решение проблемных и внештатных ситуаций во время поездки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Разработка новых маршрутов поездок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40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Отслеживание интересных мероприятий в регионе и организация их посещения для клиентов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Критерии оценки на собеседовании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Знание ПК (Google Sheets, Trello, мессенджеры) — по шкале 1–10.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Английский язык — базовый/средний/отличный.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Скорость реакции на задачи — 1–10.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Качество исполнения — 1–10.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Стрессоустойчивость и клиентоориентированность — по кейсу на собеседовании.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График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5 дней в неделю, 10:00–18:00 (МСК+4),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2 плавающих выходных среди недели.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Приоритет — кандидаты, готовые работать 6/1.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Тип оформления трудовых отношений   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Договор на внештатного сотрудника Prohuahin Rent Co., Ltd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180"/>
              </w:tabs>
              <w:rPr/>
            </w:pPr>
            <w:sdt>
              <w:sdtPr>
                <w:id w:val="1043529962"/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Оплата труда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Испытательный срок (2 месяца) — 50 000 ₽ фикс.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После испытательного срока — 50 000 ₽ </w:t>
            </w:r>
            <w:r w:rsidDel="00000000" w:rsidR="00000000" w:rsidRPr="00000000">
              <w:rPr>
                <w:rtl w:val="0"/>
              </w:rPr>
              <w:t xml:space="preserve">+ премия согласно KPI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80"/>
              </w:tabs>
              <w:rPr/>
            </w:pPr>
            <w:r w:rsidDel="00000000" w:rsidR="00000000" w:rsidRPr="00000000">
              <w:rPr>
                <w:rtl w:val="0"/>
              </w:rPr>
              <w:t xml:space="preserve"> Особенности исп. срока ( показатели пройденного испытательного срока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180"/>
              </w:tabs>
              <w:rPr>
                <w:color w:val="2f5496"/>
              </w:rPr>
            </w:pPr>
            <w:sdt>
              <w:sdtPr>
                <w:id w:val="573862153"/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color w:val="2f5496"/>
                <w:rtl w:val="0"/>
              </w:rPr>
              <w:t xml:space="preserve">Успешное выполнение зада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color w:val="2f5496"/>
                <w:rtl w:val="0"/>
              </w:rPr>
              <w:t xml:space="preserve">ч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Высокий уровень вовлечённости.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Проявленная инициативность.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80"/>
              </w:tabs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Способность самостоятельно организовать работу.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Плановые показатели, пример расчета мотивации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tabs>
                <w:tab w:val="left" w:leader="none" w:pos="180"/>
              </w:tabs>
              <w:ind w:left="720" w:hanging="360"/>
              <w:rPr>
                <w:sz w:val="46"/>
                <w:szCs w:val="46"/>
              </w:rPr>
            </w:pPr>
            <w:bookmarkStart w:colFirst="0" w:colLast="0" w:name="_heading=h.t33ltltqd1b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📌 KPI администратора туров PROHUAHIN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180"/>
              </w:tabs>
              <w:spacing w:after="280" w:before="2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Базовый оклад: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50 000 ₽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KPI-бонус: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до +100% от оклада (ещё 50 000 ₽)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180"/>
              </w:tabs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tabs>
                <w:tab w:val="left" w:leader="none" w:pos="180"/>
              </w:tabs>
              <w:ind w:left="720" w:hanging="360"/>
              <w:rPr>
                <w:sz w:val="26"/>
                <w:szCs w:val="26"/>
              </w:rPr>
            </w:pPr>
            <w:bookmarkStart w:colFirst="0" w:colLast="0" w:name="_heading=h.nwedkzjuc4ya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🔹 1. Продажи и загрузка туров (+40%)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leader="none" w:pos="180"/>
              </w:tabs>
              <w:spacing w:after="0" w:afterAutospacing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Заполняемость групп ≥90%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180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Конверсия заявок в бронирования ≥80%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28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Доля апселлов — не менее 30% клиентов покупают доп.услуги.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280" w:before="28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Повторные туры — не менее 20% клиентов возвращаются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80"/>
              </w:tabs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tabs>
                <w:tab w:val="left" w:leader="none" w:pos="180"/>
              </w:tabs>
              <w:ind w:left="720" w:hanging="360"/>
              <w:rPr>
                <w:sz w:val="26"/>
                <w:szCs w:val="26"/>
              </w:rPr>
            </w:pPr>
            <w:bookmarkStart w:colFirst="0" w:colLast="0" w:name="_heading=h.1ncp0it0bhiz" w:id="2"/>
            <w:bookmarkEnd w:id="2"/>
            <w:r w:rsidDel="00000000" w:rsidR="00000000" w:rsidRPr="00000000">
              <w:rPr>
                <w:sz w:val="26"/>
                <w:szCs w:val="26"/>
                <w:rtl w:val="0"/>
              </w:rPr>
              <w:t xml:space="preserve">🔹 2. Отзывы и качество сервиса (+25%)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tabs>
                <w:tab w:val="left" w:leader="none" w:pos="180"/>
              </w:tabs>
              <w:spacing w:after="0" w:afterAutospacing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 оценка ≥4,7 из 5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leader="none" w:pos="180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положительных отзывов 30%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leader="none" w:pos="180"/>
              </w:tabs>
              <w:spacing w:after="28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Личная оценка администратора ≥4,7 из 5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180"/>
              </w:tabs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tabs>
                <w:tab w:val="left" w:leader="none" w:pos="180"/>
              </w:tabs>
              <w:ind w:left="720" w:hanging="360"/>
              <w:rPr>
                <w:sz w:val="26"/>
                <w:szCs w:val="26"/>
              </w:rPr>
            </w:pPr>
            <w:bookmarkStart w:colFirst="0" w:colLast="0" w:name="_heading=h.tcm6cxmg2kjg" w:id="3"/>
            <w:bookmarkEnd w:id="3"/>
            <w:r w:rsidDel="00000000" w:rsidR="00000000" w:rsidRPr="00000000">
              <w:rPr>
                <w:sz w:val="26"/>
                <w:szCs w:val="26"/>
                <w:rtl w:val="0"/>
              </w:rPr>
              <w:t xml:space="preserve">🔹 3. Новые маршруты и партнёры/оптимизация существующих (+20%)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tabs>
                <w:tab w:val="left" w:leader="none" w:pos="180"/>
              </w:tabs>
              <w:spacing w:after="0" w:afterAutospacing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2+ новых идей/предложений в месяц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tabs>
                <w:tab w:val="left" w:leader="none" w:pos="180"/>
              </w:tabs>
              <w:spacing w:after="28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Внедрение ≥1 идеи в квартал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180"/>
              </w:tabs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tabs>
                <w:tab w:val="left" w:leader="none" w:pos="180"/>
              </w:tabs>
              <w:ind w:left="720" w:hanging="360"/>
              <w:rPr>
                <w:sz w:val="26"/>
                <w:szCs w:val="26"/>
              </w:rPr>
            </w:pPr>
            <w:bookmarkStart w:colFirst="0" w:colLast="0" w:name="_heading=h.8cvsv29vix2u" w:id="4"/>
            <w:bookmarkEnd w:id="4"/>
            <w:r w:rsidDel="00000000" w:rsidR="00000000" w:rsidRPr="00000000">
              <w:rPr>
                <w:sz w:val="26"/>
                <w:szCs w:val="26"/>
                <w:rtl w:val="0"/>
              </w:rPr>
              <w:t xml:space="preserve">🔹 4. Работа с партнёрами (+15%)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tabs>
                <w:tab w:val="left" w:leader="none" w:pos="180"/>
              </w:tabs>
              <w:spacing w:after="0" w:afterAutospacing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Подтверждения заявок ≥95%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tabs>
                <w:tab w:val="left" w:leader="none" w:pos="180"/>
              </w:tabs>
              <w:spacing w:after="28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 рекламаций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180"/>
              </w:tabs>
              <w:spacing w:after="280" w:before="2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180"/>
              </w:tabs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tabs>
                <w:tab w:val="left" w:leader="none" w:pos="18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bookmarkStart w:colFirst="0" w:colLast="0" w:name="_heading=h.9zobkwfz7u6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📊 Пример дохода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after="0" w:afterAutospacing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Оклад: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50 000 ₽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after="28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 (продажи + отзывы + идеи + партнёры):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50 000 ₽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(100% бонус)</w:t>
              <w:br w:type="textWrapping"/>
              <w:t xml:space="preserve">👉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Итог: 100 000 ₽/мес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при максимальном выполнении KPI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180"/>
              </w:tabs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180"/>
              </w:tabs>
              <w:spacing w:after="280" w:before="2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Таким образом: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tabs>
                <w:tab w:val="left" w:leader="none" w:pos="180"/>
              </w:tabs>
              <w:spacing w:after="0" w:afterAutospacing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Продажи (включая апселлы) = до +40%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tabs>
                <w:tab w:val="left" w:leader="none" w:pos="180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Отзывы = до +25%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tabs>
                <w:tab w:val="left" w:leader="none" w:pos="180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Новые маршруты/партнёры = до +20%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tabs>
                <w:tab w:val="left" w:leader="none" w:pos="180"/>
              </w:tabs>
              <w:spacing w:after="28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с партнёрами = до +15%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80"/>
              </w:tabs>
              <w:spacing w:after="280" w:before="2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 = +100% к окладу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xey Ivanov" w:id="3" w:date="2025-09-16T02:36:45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Успешное выполнение задач.</w:t>
      </w:r>
    </w:p>
  </w:comment>
  <w:comment w:author="Alexey Ivanov" w:id="2" w:date="2025-09-16T02:35:49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премия согласно KPI</w:t>
      </w:r>
    </w:p>
  </w:comment>
  <w:comment w:author="Alexey Ivanov" w:id="0" w:date="2025-09-16T02:43:13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способный эффективно влиять на результаты, работать автономно и проявлять инициативу</w:t>
      </w:r>
    </w:p>
  </w:comment>
  <w:comment w:author="Alexey Ivanov" w:id="1" w:date="2025-09-16T02:34:05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Оперативное решение проблемных и внештатных ситуаций во время поездки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новых маршрутов поездок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Отслеживание интересных мероприятий в регионе и организация их посещения для клиентов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3" w15:done="0"/>
  <w15:commentEx w15:paraId="00000064" w15:done="0"/>
  <w15:commentEx w15:paraId="00000065" w15:done="0"/>
  <w15:commentEx w15:paraId="0000006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64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6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6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6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6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tyle_4">
    <w:name w:val="toc 2"/>
    <w:next w:val="Style_2"/>
    <w:link w:val="Style_4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4_ch">
    <w:name w:val="toc 2"/>
    <w:link w:val="Style_4"/>
    <w:rPr>
      <w:rFonts w:ascii="XO Thames" w:hAnsi="XO Thames"/>
      <w:sz w:val="28"/>
    </w:rPr>
  </w:style>
  <w:style w:type="paragraph" w:styleId="Style_5">
    <w:name w:val="toc 4"/>
    <w:next w:val="Style_2"/>
    <w:link w:val="Style_5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5_ch">
    <w:name w:val="toc 4"/>
    <w:link w:val="Style_5"/>
    <w:rPr>
      <w:rFonts w:ascii="XO Thames" w:hAnsi="XO Thames"/>
      <w:sz w:val="28"/>
    </w:rPr>
  </w:style>
  <w:style w:type="paragraph" w:styleId="Style_6">
    <w:name w:val="toc 6"/>
    <w:next w:val="Style_2"/>
    <w:link w:val="Style_6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6_ch">
    <w:name w:val="toc 6"/>
    <w:link w:val="Style_6"/>
    <w:rPr>
      <w:rFonts w:ascii="XO Thames" w:hAnsi="XO Thames"/>
      <w:sz w:val="28"/>
    </w:rPr>
  </w:style>
  <w:style w:type="paragraph" w:styleId="Style_8">
    <w:name w:val="toc 7"/>
    <w:next w:val="Style_2"/>
    <w:link w:val="Style_8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8_ch">
    <w:name w:val="toc 7"/>
    <w:link w:val="Style_8"/>
    <w:rPr>
      <w:rFonts w:ascii="XO Thames" w:hAnsi="XO Thames"/>
      <w:sz w:val="28"/>
    </w:rPr>
  </w:style>
  <w:style w:type="paragraph" w:styleId="Style_13">
    <w:name w:val="bloko-section-header-2"/>
    <w:basedOn w:val="Style_14"/>
    <w:link w:val="Style_13_ch"/>
  </w:style>
  <w:style w:type="character" w:styleId="Style_13_ch">
    <w:name w:val="bloko-section-header-2"/>
    <w:basedOn w:val="Style_14_ch"/>
    <w:link w:val="Style_13"/>
  </w:style>
  <w:style w:type="paragraph" w:styleId="Style_16">
    <w:name w:val="toc 3"/>
    <w:next w:val="Style_2"/>
    <w:link w:val="Style_16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16_ch">
    <w:name w:val="toc 3"/>
    <w:link w:val="Style_16"/>
    <w:rPr>
      <w:rFonts w:ascii="XO Thames" w:hAnsi="XO Thames"/>
      <w:sz w:val="28"/>
    </w:rPr>
  </w:style>
  <w:style w:type="paragraph" w:styleId="Style_17">
    <w:name w:val="List Paragraph"/>
    <w:link w:val="Style_17_ch"/>
    <w:pPr>
      <w:ind w:left="720" w:firstLine="0"/>
      <w:contextualSpacing w:val="1"/>
    </w:pPr>
  </w:style>
  <w:style w:type="character" w:styleId="Style_17_ch">
    <w:name w:val="List Paragraph"/>
    <w:link w:val="Style_17"/>
  </w:style>
  <w:style w:type="paragraph" w:styleId="Style_18">
    <w:name w:val="highlighted"/>
    <w:basedOn w:val="Style_14"/>
    <w:link w:val="Style_18_ch"/>
  </w:style>
  <w:style w:type="character" w:styleId="Style_18_ch">
    <w:name w:val="highlighted"/>
    <w:basedOn w:val="Style_14_ch"/>
    <w:link w:val="Style_18"/>
  </w:style>
  <w:style w:type="paragraph" w:styleId="Style_21">
    <w:name w:val="Неразрешенное упоминание1"/>
    <w:basedOn w:val="Style_14"/>
    <w:link w:val="Style_21_ch"/>
    <w:rPr>
      <w:color w:val="808080"/>
      <w:shd w:fill="e6e6e6" w:val="clear"/>
    </w:rPr>
  </w:style>
  <w:style w:type="character" w:styleId="Style_21_ch">
    <w:name w:val="Неразрешенное упоминание1"/>
    <w:basedOn w:val="Style_14_ch"/>
    <w:link w:val="Style_21"/>
    <w:rPr>
      <w:color w:val="808080"/>
      <w:shd w:fill="e6e6e6" w:val="clear"/>
    </w:rPr>
  </w:style>
  <w:style w:type="paragraph" w:styleId="Style_22">
    <w:name w:val="Normal (Web)"/>
    <w:link w:val="Style_22_ch"/>
    <w:pPr>
      <w:spacing w:afterAutospacing="1" w:beforeAutospacing="1" w:line="240" w:lineRule="auto"/>
      <w:ind/>
    </w:pPr>
    <w:rPr>
      <w:rFonts w:ascii="Times New Roman" w:hAnsi="Times New Roman"/>
      <w:sz w:val="24"/>
    </w:rPr>
  </w:style>
  <w:style w:type="character" w:styleId="Style_22_ch">
    <w:name w:val="Normal (Web)"/>
    <w:link w:val="Style_22"/>
    <w:rPr>
      <w:rFonts w:ascii="Times New Roman" w:hAnsi="Times New Roman"/>
      <w:sz w:val="24"/>
    </w:rPr>
  </w:style>
  <w:style w:type="paragraph" w:styleId="Style_24">
    <w:name w:val="Hyperlink"/>
    <w:basedOn w:val="Style_14"/>
    <w:link w:val="Style_24_ch"/>
    <w:rPr>
      <w:color w:val="0563c1" w:themeColor="hyperlink"/>
      <w:u w:val="single"/>
    </w:rPr>
  </w:style>
  <w:style w:type="character" w:styleId="Style_24_ch">
    <w:name w:val="Hyperlink"/>
    <w:basedOn w:val="Style_14_ch"/>
    <w:link w:val="Style_24"/>
    <w:rPr>
      <w:color w:val="0563c1" w:themeColor="hyperlink"/>
      <w:u w:val="single"/>
    </w:rPr>
  </w:style>
  <w:style w:type="paragraph" w:styleId="Style_25">
    <w:name w:val="Footnote"/>
    <w:link w:val="Style_25_ch"/>
    <w:pPr>
      <w:ind w:left="0" w:firstLine="851"/>
      <w:jc w:val="both"/>
    </w:pPr>
    <w:rPr>
      <w:rFonts w:ascii="XO Thames" w:hAnsi="XO Thames"/>
      <w:sz w:val="22"/>
    </w:rPr>
  </w:style>
  <w:style w:type="character" w:styleId="Style_25_ch">
    <w:name w:val="Footnote"/>
    <w:link w:val="Style_25"/>
    <w:rPr>
      <w:rFonts w:ascii="XO Thames" w:hAnsi="XO Thames"/>
      <w:sz w:val="22"/>
    </w:rPr>
  </w:style>
  <w:style w:type="paragraph" w:styleId="Style_27">
    <w:name w:val="metro-station"/>
    <w:basedOn w:val="Style_14"/>
    <w:link w:val="Style_27_ch"/>
  </w:style>
  <w:style w:type="character" w:styleId="Style_27_ch">
    <w:name w:val="metro-station"/>
    <w:basedOn w:val="Style_14_ch"/>
    <w:link w:val="Style_27"/>
  </w:style>
  <w:style w:type="paragraph" w:styleId="Style_28">
    <w:name w:val="toc 1"/>
    <w:next w:val="Style_2"/>
    <w:link w:val="Style_28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28_ch">
    <w:name w:val="toc 1"/>
    <w:link w:val="Style_28"/>
    <w:rPr>
      <w:rFonts w:ascii="XO Thames" w:hAnsi="XO Thames"/>
      <w:b w:val="1"/>
      <w:sz w:val="28"/>
    </w:rPr>
  </w:style>
  <w:style w:type="paragraph" w:styleId="Style_29">
    <w:name w:val="Header and Footer"/>
    <w:link w:val="Style_29_ch"/>
    <w:pPr>
      <w:spacing w:line="240" w:lineRule="auto"/>
      <w:ind/>
      <w:jc w:val="both"/>
    </w:pPr>
    <w:rPr>
      <w:rFonts w:ascii="XO Thames" w:hAnsi="XO Thames"/>
      <w:sz w:val="20"/>
    </w:rPr>
  </w:style>
  <w:style w:type="character" w:styleId="Style_29_ch">
    <w:name w:val="Header and Footer"/>
    <w:link w:val="Style_29"/>
    <w:rPr>
      <w:rFonts w:ascii="XO Thames" w:hAnsi="XO Thames"/>
      <w:sz w:val="20"/>
    </w:rPr>
  </w:style>
  <w:style w:type="paragraph" w:styleId="Style_30">
    <w:name w:val="toc 9"/>
    <w:next w:val="Style_2"/>
    <w:link w:val="Style_30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30_ch">
    <w:name w:val="toc 9"/>
    <w:link w:val="Style_30"/>
    <w:rPr>
      <w:rFonts w:ascii="XO Thames" w:hAnsi="XO Thames"/>
      <w:sz w:val="28"/>
    </w:rPr>
  </w:style>
  <w:style w:type="paragraph" w:styleId="Style_14">
    <w:name w:val="Default Paragraph Font"/>
    <w:link w:val="Style_14_ch"/>
  </w:style>
  <w:style w:type="character" w:styleId="Style_14_ch">
    <w:name w:val="Default Paragraph Font"/>
    <w:link w:val="Style_14"/>
  </w:style>
  <w:style w:type="paragraph" w:styleId="Style_33">
    <w:name w:val="toc 8"/>
    <w:next w:val="Style_2"/>
    <w:link w:val="Style_33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33_ch">
    <w:name w:val="toc 8"/>
    <w:link w:val="Style_33"/>
    <w:rPr>
      <w:rFonts w:ascii="XO Thames" w:hAnsi="XO Thames"/>
      <w:sz w:val="28"/>
    </w:rPr>
  </w:style>
  <w:style w:type="paragraph" w:styleId="Style_37">
    <w:name w:val="toc 5"/>
    <w:next w:val="Style_2"/>
    <w:link w:val="Style_37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37_ch">
    <w:name w:val="toc 5"/>
    <w:link w:val="Style_37"/>
    <w:rPr>
      <w:rFonts w:ascii="XO Thames" w:hAnsi="XO Thames"/>
      <w:sz w:val="28"/>
    </w:rPr>
  </w:style>
  <w:style w:type="paragraph" w:styleId="Style_39">
    <w:name w:val="msonormal_mr_css_attr"/>
    <w:link w:val="Style_39_ch"/>
    <w:pPr>
      <w:spacing w:afterAutospacing="1" w:beforeAutospacing="1" w:line="240" w:lineRule="auto"/>
      <w:ind/>
    </w:pPr>
    <w:rPr>
      <w:rFonts w:ascii="Times New Roman" w:hAnsi="Times New Roman"/>
      <w:sz w:val="24"/>
    </w:rPr>
  </w:style>
  <w:style w:type="character" w:styleId="Style_39_ch">
    <w:name w:val="msonormal_mr_css_attr"/>
    <w:link w:val="Style_39"/>
    <w:rPr>
      <w:rFonts w:ascii="Times New Roman" w:hAnsi="Times New Roman"/>
      <w:sz w:val="24"/>
    </w:rPr>
  </w:style>
  <w:style w:type="table" w:styleId="Style_47" w:default="1">
    <w:name w:val="Table Normal"/>
  </w:style>
  <w:style w:type="table" w:styleId="Style_48">
    <w:basedOn w:val="Style_47"/>
    <w:semiHidden w:val="1"/>
    <w:unhideWhenUsed w:val="1"/>
    <w:pPr>
      <w:spacing w:after="0" w:line="240" w:lineRule="auto"/>
      <w:ind/>
    </w:pPr>
    <w:rPr>
      <w:rFonts w:ascii="Times New Roman" w:hAnsi="Times New Roman"/>
      <w:sz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1">
    <w:basedOn w:val="Style_47"/>
    <w:semiHidden w:val="1"/>
    <w:unhideWhenUsed w:val="1"/>
    <w:pPr>
      <w:spacing w:after="0" w:line="240" w:lineRule="auto"/>
      <w:ind/>
    </w:pPr>
    <w:rPr>
      <w:rFonts w:ascii="Times New Roman" w:hAnsi="Times New Roman"/>
      <w:sz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9">
    <w:name w:val="Table Grid"/>
    <w:pPr>
      <w:spacing w:after="0" w:line="240" w:lineRule="auto"/>
      <w:ind/>
    </w:pPr>
    <w:rPr>
      <w:rFonts w:ascii="Times New Roman" w:hAnsi="Times New Roman"/>
      <w:sz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Style_50">
    <w:basedOn w:val="Style_47"/>
    <w:semiHidden w:val="1"/>
    <w:unhideWhenUsed w:val="1"/>
    <w:pPr>
      <w:spacing w:after="0" w:line="240" w:lineRule="auto"/>
      <w:ind/>
    </w:pPr>
    <w:rPr>
      <w:rFonts w:ascii="Times New Roman" w:hAnsi="Times New Roman"/>
      <w:sz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4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BQJvRCGKYL4hfwpqVqP9o+s2rQ==">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