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1669" w14:textId="53EB843F" w:rsidR="00056850" w:rsidRDefault="007F14CB" w:rsidP="00FD02C8">
      <w:pPr>
        <w:jc w:val="both"/>
        <w:rPr>
          <w:rFonts w:ascii="Arial" w:hAnsi="Arial" w:cs="Arial"/>
          <w:bCs/>
          <w:sz w:val="24"/>
          <w:szCs w:val="24"/>
          <w:lang w:val="es-CO"/>
        </w:rPr>
      </w:pPr>
      <w:r>
        <w:rPr>
          <w:rFonts w:ascii="Arial" w:hAnsi="Arial" w:cs="Arial"/>
          <w:bCs/>
          <w:sz w:val="24"/>
          <w:szCs w:val="24"/>
          <w:lang w:val="es-CO"/>
        </w:rPr>
        <w:t>Con l</w:t>
      </w:r>
      <w:r w:rsidR="00BD16F8">
        <w:rPr>
          <w:rFonts w:ascii="Arial" w:hAnsi="Arial" w:cs="Arial"/>
          <w:bCs/>
          <w:sz w:val="24"/>
          <w:szCs w:val="24"/>
          <w:lang w:val="es-CO"/>
        </w:rPr>
        <w:t>a llegada del C</w:t>
      </w:r>
      <w:r w:rsidR="0020115E">
        <w:rPr>
          <w:rFonts w:ascii="Arial" w:hAnsi="Arial" w:cs="Arial"/>
          <w:bCs/>
          <w:sz w:val="24"/>
          <w:szCs w:val="24"/>
          <w:lang w:val="es-CO"/>
        </w:rPr>
        <w:t>OVID</w:t>
      </w:r>
      <w:r w:rsidR="00BD16F8">
        <w:rPr>
          <w:rFonts w:ascii="Arial" w:hAnsi="Arial" w:cs="Arial"/>
          <w:bCs/>
          <w:sz w:val="24"/>
          <w:szCs w:val="24"/>
          <w:lang w:val="es-CO"/>
        </w:rPr>
        <w:t xml:space="preserve">-19 al país y </w:t>
      </w:r>
      <w:r w:rsidR="00056850">
        <w:rPr>
          <w:rFonts w:ascii="Arial" w:hAnsi="Arial" w:cs="Arial"/>
          <w:bCs/>
          <w:sz w:val="24"/>
          <w:szCs w:val="24"/>
          <w:lang w:val="es-CO"/>
        </w:rPr>
        <w:t xml:space="preserve">las consecuentes </w:t>
      </w:r>
      <w:r w:rsidR="00BD16F8">
        <w:rPr>
          <w:rFonts w:ascii="Arial" w:hAnsi="Arial" w:cs="Arial"/>
          <w:bCs/>
          <w:sz w:val="24"/>
          <w:szCs w:val="24"/>
          <w:lang w:val="es-CO"/>
        </w:rPr>
        <w:t xml:space="preserve">medidas </w:t>
      </w:r>
      <w:r w:rsidR="00056850">
        <w:rPr>
          <w:rFonts w:ascii="Arial" w:hAnsi="Arial" w:cs="Arial"/>
          <w:bCs/>
          <w:sz w:val="24"/>
          <w:szCs w:val="24"/>
          <w:lang w:val="es-CO"/>
        </w:rPr>
        <w:t xml:space="preserve">adoptadas </w:t>
      </w:r>
      <w:r w:rsidR="00BD16F8">
        <w:rPr>
          <w:rFonts w:ascii="Arial" w:hAnsi="Arial" w:cs="Arial"/>
          <w:bCs/>
          <w:sz w:val="24"/>
          <w:szCs w:val="24"/>
          <w:lang w:val="es-CO"/>
        </w:rPr>
        <w:t xml:space="preserve">para contener </w:t>
      </w:r>
      <w:r>
        <w:rPr>
          <w:rFonts w:ascii="Arial" w:hAnsi="Arial" w:cs="Arial"/>
          <w:bCs/>
          <w:sz w:val="24"/>
          <w:szCs w:val="24"/>
          <w:lang w:val="es-CO"/>
        </w:rPr>
        <w:t xml:space="preserve">la </w:t>
      </w:r>
      <w:r w:rsidR="00BD16F8">
        <w:rPr>
          <w:rFonts w:ascii="Arial" w:hAnsi="Arial" w:cs="Arial"/>
          <w:bCs/>
          <w:sz w:val="24"/>
          <w:szCs w:val="24"/>
          <w:lang w:val="es-CO"/>
        </w:rPr>
        <w:t>velocidad de su propagación</w:t>
      </w:r>
      <w:r>
        <w:rPr>
          <w:rFonts w:ascii="Arial" w:hAnsi="Arial" w:cs="Arial"/>
          <w:bCs/>
          <w:sz w:val="24"/>
          <w:szCs w:val="24"/>
          <w:lang w:val="es-CO"/>
        </w:rPr>
        <w:t xml:space="preserve"> y preservar la vida, la dinámica en los hábitos y capacidad de pago de los deudores del sistema financiero se alteró de forma inesperada y significativa</w:t>
      </w:r>
      <w:r w:rsidR="00056850">
        <w:rPr>
          <w:rFonts w:ascii="Arial" w:hAnsi="Arial" w:cs="Arial"/>
          <w:bCs/>
          <w:sz w:val="24"/>
          <w:szCs w:val="24"/>
          <w:lang w:val="es-CO"/>
        </w:rPr>
        <w:t xml:space="preserve">. </w:t>
      </w:r>
    </w:p>
    <w:p w14:paraId="330FAAEA" w14:textId="77777777" w:rsidR="00056850" w:rsidRDefault="00056850" w:rsidP="00FD02C8">
      <w:pPr>
        <w:jc w:val="both"/>
        <w:rPr>
          <w:rFonts w:ascii="Arial" w:hAnsi="Arial" w:cs="Arial"/>
          <w:bCs/>
          <w:sz w:val="24"/>
          <w:szCs w:val="24"/>
          <w:lang w:val="es-CO"/>
        </w:rPr>
      </w:pPr>
    </w:p>
    <w:p w14:paraId="7B1C94B7" w14:textId="6051AE9A" w:rsidR="00355816" w:rsidRDefault="00355816" w:rsidP="00FD02C8">
      <w:pPr>
        <w:jc w:val="both"/>
        <w:rPr>
          <w:rFonts w:ascii="Arial" w:hAnsi="Arial" w:cs="Arial"/>
          <w:bCs/>
          <w:sz w:val="24"/>
          <w:szCs w:val="24"/>
          <w:lang w:val="es-CO"/>
        </w:rPr>
      </w:pPr>
      <w:r w:rsidRPr="00BE3C11">
        <w:rPr>
          <w:rFonts w:ascii="Arial" w:hAnsi="Arial" w:cs="Arial"/>
          <w:bCs/>
          <w:sz w:val="24"/>
          <w:szCs w:val="24"/>
          <w:lang w:val="es-CO"/>
        </w:rPr>
        <w:t>Por esta razón, d</w:t>
      </w:r>
      <w:r w:rsidR="00056850" w:rsidRPr="00BE3C11">
        <w:rPr>
          <w:rFonts w:ascii="Arial" w:hAnsi="Arial" w:cs="Arial"/>
          <w:bCs/>
          <w:sz w:val="24"/>
          <w:szCs w:val="24"/>
          <w:lang w:val="es-CO"/>
        </w:rPr>
        <w:t>esde marzo de 20</w:t>
      </w:r>
      <w:r w:rsidRPr="00BE3C11">
        <w:rPr>
          <w:rFonts w:ascii="Arial" w:hAnsi="Arial" w:cs="Arial"/>
          <w:bCs/>
          <w:sz w:val="24"/>
          <w:szCs w:val="24"/>
          <w:lang w:val="es-CO"/>
        </w:rPr>
        <w:t>2</w:t>
      </w:r>
      <w:r w:rsidR="00056850" w:rsidRPr="00BE3C11">
        <w:rPr>
          <w:rFonts w:ascii="Arial" w:hAnsi="Arial" w:cs="Arial"/>
          <w:bCs/>
          <w:sz w:val="24"/>
          <w:szCs w:val="24"/>
          <w:lang w:val="es-CO"/>
        </w:rPr>
        <w:t xml:space="preserve">0 </w:t>
      </w:r>
      <w:r w:rsidRPr="00BE3C11">
        <w:rPr>
          <w:rFonts w:ascii="Arial" w:hAnsi="Arial" w:cs="Arial"/>
          <w:bCs/>
          <w:sz w:val="24"/>
          <w:szCs w:val="24"/>
          <w:lang w:val="es-CO"/>
        </w:rPr>
        <w:t>la Superintendencia Financiera de Colombia – SFC -</w:t>
      </w:r>
      <w:r w:rsidR="00056850" w:rsidRPr="00BE3C11">
        <w:rPr>
          <w:rFonts w:ascii="Arial" w:hAnsi="Arial" w:cs="Arial"/>
          <w:bCs/>
          <w:sz w:val="24"/>
          <w:szCs w:val="24"/>
          <w:lang w:val="es-CO"/>
        </w:rPr>
        <w:t xml:space="preserve"> ha impartido instrucciones a los establecimientos de crédito para </w:t>
      </w:r>
      <w:r w:rsidR="00BE3C11" w:rsidRPr="00BE3C11">
        <w:rPr>
          <w:rFonts w:ascii="Arial" w:hAnsi="Arial" w:cs="Arial"/>
          <w:bCs/>
          <w:sz w:val="24"/>
          <w:szCs w:val="24"/>
          <w:lang w:val="es-CO"/>
        </w:rPr>
        <w:t>definir</w:t>
      </w:r>
      <w:r w:rsidR="00056850" w:rsidRPr="00BE3C11">
        <w:rPr>
          <w:rFonts w:ascii="Arial" w:hAnsi="Arial" w:cs="Arial"/>
          <w:bCs/>
          <w:sz w:val="24"/>
          <w:szCs w:val="24"/>
          <w:lang w:val="es-CO"/>
        </w:rPr>
        <w:t xml:space="preserve"> mecanismos que les </w:t>
      </w:r>
      <w:r w:rsidR="00056850" w:rsidRPr="0020115E">
        <w:rPr>
          <w:rFonts w:ascii="Arial" w:hAnsi="Arial" w:cs="Arial"/>
          <w:bCs/>
          <w:sz w:val="24"/>
          <w:szCs w:val="24"/>
          <w:lang w:val="es-CO"/>
        </w:rPr>
        <w:t>permit</w:t>
      </w:r>
      <w:r w:rsidR="00BE3C11" w:rsidRPr="0020115E">
        <w:rPr>
          <w:rFonts w:ascii="Arial" w:hAnsi="Arial" w:cs="Arial"/>
          <w:bCs/>
          <w:sz w:val="24"/>
          <w:szCs w:val="24"/>
          <w:lang w:val="es-CO"/>
        </w:rPr>
        <w:t>an</w:t>
      </w:r>
      <w:r w:rsidR="00056850" w:rsidRPr="0020115E">
        <w:rPr>
          <w:rFonts w:ascii="Arial" w:hAnsi="Arial" w:cs="Arial"/>
          <w:bCs/>
          <w:sz w:val="24"/>
          <w:szCs w:val="24"/>
          <w:lang w:val="es-CO"/>
        </w:rPr>
        <w:t xml:space="preserve"> a los deudores </w:t>
      </w:r>
      <w:r w:rsidR="00E6477C" w:rsidRPr="0020115E">
        <w:rPr>
          <w:rFonts w:ascii="Arial" w:hAnsi="Arial" w:cs="Arial"/>
          <w:bCs/>
          <w:sz w:val="24"/>
          <w:szCs w:val="24"/>
          <w:lang w:val="es-CO"/>
        </w:rPr>
        <w:t>cumplir con</w:t>
      </w:r>
      <w:r w:rsidR="00056850" w:rsidRPr="0020115E">
        <w:rPr>
          <w:rFonts w:ascii="Arial" w:hAnsi="Arial" w:cs="Arial"/>
          <w:bCs/>
          <w:sz w:val="24"/>
          <w:szCs w:val="24"/>
          <w:lang w:val="es-CO"/>
        </w:rPr>
        <w:t xml:space="preserve"> el pago</w:t>
      </w:r>
      <w:r w:rsidR="00056850">
        <w:rPr>
          <w:rFonts w:ascii="Arial" w:hAnsi="Arial" w:cs="Arial"/>
          <w:bCs/>
          <w:sz w:val="24"/>
          <w:szCs w:val="24"/>
          <w:lang w:val="es-CO"/>
        </w:rPr>
        <w:t xml:space="preserve"> de sus obligaciones. </w:t>
      </w:r>
    </w:p>
    <w:p w14:paraId="12823C26" w14:textId="77777777" w:rsidR="00355816" w:rsidRDefault="00355816" w:rsidP="00FD02C8">
      <w:pPr>
        <w:jc w:val="both"/>
        <w:rPr>
          <w:rFonts w:ascii="Arial" w:hAnsi="Arial" w:cs="Arial"/>
          <w:bCs/>
          <w:sz w:val="24"/>
          <w:szCs w:val="24"/>
          <w:lang w:val="es-CO"/>
        </w:rPr>
      </w:pPr>
    </w:p>
    <w:p w14:paraId="294A4776" w14:textId="77777777" w:rsidR="00355816" w:rsidRPr="00355816" w:rsidRDefault="00355816" w:rsidP="00355816">
      <w:pPr>
        <w:pStyle w:val="Prrafodelista"/>
        <w:numPr>
          <w:ilvl w:val="0"/>
          <w:numId w:val="32"/>
        </w:numPr>
        <w:jc w:val="both"/>
        <w:rPr>
          <w:rFonts w:ascii="Arial" w:hAnsi="Arial" w:cs="Arial"/>
          <w:bCs/>
          <w:sz w:val="24"/>
          <w:szCs w:val="24"/>
          <w:lang w:val="es-CO"/>
        </w:rPr>
      </w:pPr>
      <w:r>
        <w:rPr>
          <w:rFonts w:ascii="Arial" w:hAnsi="Arial" w:cs="Arial"/>
          <w:b/>
          <w:sz w:val="24"/>
          <w:szCs w:val="24"/>
        </w:rPr>
        <w:t xml:space="preserve">Si ya se estaban aplicando unas normas para deudores afectados por </w:t>
      </w:r>
      <w:r w:rsidR="00507FC5">
        <w:rPr>
          <w:rFonts w:ascii="Arial" w:hAnsi="Arial" w:cs="Arial"/>
          <w:b/>
          <w:sz w:val="24"/>
          <w:szCs w:val="24"/>
        </w:rPr>
        <w:t>COVID-19</w:t>
      </w:r>
      <w:r>
        <w:rPr>
          <w:rFonts w:ascii="Arial" w:hAnsi="Arial" w:cs="Arial"/>
          <w:b/>
          <w:sz w:val="24"/>
          <w:szCs w:val="24"/>
        </w:rPr>
        <w:t xml:space="preserve">, </w:t>
      </w:r>
      <w:r w:rsidRPr="00355816">
        <w:rPr>
          <w:rFonts w:ascii="Arial" w:hAnsi="Arial" w:cs="Arial"/>
          <w:b/>
          <w:sz w:val="24"/>
          <w:szCs w:val="24"/>
        </w:rPr>
        <w:t>¿</w:t>
      </w:r>
      <w:r>
        <w:rPr>
          <w:rFonts w:ascii="Arial" w:hAnsi="Arial" w:cs="Arial"/>
          <w:b/>
          <w:sz w:val="24"/>
          <w:szCs w:val="24"/>
        </w:rPr>
        <w:t xml:space="preserve">por qué la Superintendencia Financiera </w:t>
      </w:r>
      <w:r w:rsidR="0021487B">
        <w:rPr>
          <w:rFonts w:ascii="Arial" w:hAnsi="Arial" w:cs="Arial"/>
          <w:b/>
          <w:sz w:val="24"/>
          <w:szCs w:val="24"/>
        </w:rPr>
        <w:t xml:space="preserve">crea el </w:t>
      </w:r>
      <w:r w:rsidR="0021487B" w:rsidRPr="0021487B">
        <w:rPr>
          <w:rFonts w:ascii="Arial" w:hAnsi="Arial" w:cs="Arial"/>
          <w:b/>
          <w:sz w:val="24"/>
          <w:szCs w:val="24"/>
        </w:rPr>
        <w:t>Programa de Acompañamiento a Deudores – PAD</w:t>
      </w:r>
      <w:r>
        <w:rPr>
          <w:rFonts w:ascii="Arial" w:hAnsi="Arial" w:cs="Arial"/>
          <w:b/>
          <w:sz w:val="24"/>
          <w:szCs w:val="24"/>
        </w:rPr>
        <w:t xml:space="preserve">? </w:t>
      </w:r>
    </w:p>
    <w:p w14:paraId="21A4428D" w14:textId="77777777" w:rsidR="00355816" w:rsidRDefault="00355816" w:rsidP="00355816">
      <w:pPr>
        <w:pStyle w:val="Prrafodelista"/>
        <w:ind w:left="720"/>
        <w:jc w:val="both"/>
        <w:rPr>
          <w:rFonts w:ascii="Arial" w:hAnsi="Arial" w:cs="Arial"/>
          <w:bCs/>
          <w:sz w:val="24"/>
          <w:szCs w:val="24"/>
          <w:lang w:val="es-CO"/>
        </w:rPr>
      </w:pPr>
    </w:p>
    <w:p w14:paraId="3599D60B" w14:textId="63B778B7" w:rsidR="00FD02C8" w:rsidRDefault="00FB1A68" w:rsidP="00BE3C11">
      <w:pPr>
        <w:pStyle w:val="Prrafodelista"/>
        <w:ind w:left="0"/>
        <w:jc w:val="both"/>
        <w:rPr>
          <w:rFonts w:ascii="Arial" w:hAnsi="Arial" w:cs="Arial"/>
          <w:bCs/>
          <w:sz w:val="24"/>
          <w:szCs w:val="24"/>
          <w:lang w:val="es-CO"/>
        </w:rPr>
      </w:pPr>
      <w:r>
        <w:rPr>
          <w:rFonts w:ascii="Arial" w:hAnsi="Arial" w:cs="Arial"/>
          <w:bCs/>
          <w:sz w:val="24"/>
          <w:szCs w:val="24"/>
          <w:lang w:val="es-CO"/>
        </w:rPr>
        <w:t>Las Circulares Externa</w:t>
      </w:r>
      <w:r w:rsidR="0020115E">
        <w:rPr>
          <w:rFonts w:ascii="Arial" w:hAnsi="Arial" w:cs="Arial"/>
          <w:bCs/>
          <w:sz w:val="24"/>
          <w:szCs w:val="24"/>
          <w:lang w:val="es-CO"/>
        </w:rPr>
        <w:t>s</w:t>
      </w:r>
      <w:r>
        <w:rPr>
          <w:rFonts w:ascii="Arial" w:hAnsi="Arial" w:cs="Arial"/>
          <w:bCs/>
          <w:sz w:val="24"/>
          <w:szCs w:val="24"/>
          <w:lang w:val="es-CO"/>
        </w:rPr>
        <w:t xml:space="preserve"> 007 y 014</w:t>
      </w:r>
      <w:r w:rsidR="00BE3C11">
        <w:rPr>
          <w:rFonts w:ascii="Arial" w:hAnsi="Arial" w:cs="Arial"/>
          <w:bCs/>
          <w:sz w:val="24"/>
          <w:szCs w:val="24"/>
          <w:lang w:val="es-CO"/>
        </w:rPr>
        <w:t xml:space="preserve"> de marzo </w:t>
      </w:r>
      <w:r w:rsidR="00DF6615">
        <w:rPr>
          <w:rFonts w:ascii="Arial" w:hAnsi="Arial" w:cs="Arial"/>
          <w:bCs/>
          <w:sz w:val="24"/>
          <w:szCs w:val="24"/>
          <w:lang w:val="es-CO"/>
        </w:rPr>
        <w:t xml:space="preserve">de </w:t>
      </w:r>
      <w:r w:rsidR="00BE3C11">
        <w:rPr>
          <w:rFonts w:ascii="Arial" w:hAnsi="Arial" w:cs="Arial"/>
          <w:bCs/>
          <w:sz w:val="24"/>
          <w:szCs w:val="24"/>
          <w:lang w:val="es-CO"/>
        </w:rPr>
        <w:t>2020</w:t>
      </w:r>
      <w:r>
        <w:rPr>
          <w:rFonts w:ascii="Arial" w:hAnsi="Arial" w:cs="Arial"/>
          <w:bCs/>
          <w:sz w:val="24"/>
          <w:szCs w:val="24"/>
          <w:lang w:val="es-CO"/>
        </w:rPr>
        <w:t xml:space="preserve"> permitían que por un </w:t>
      </w:r>
      <w:r w:rsidR="00DF6615">
        <w:rPr>
          <w:rFonts w:ascii="Arial" w:hAnsi="Arial" w:cs="Arial"/>
          <w:bCs/>
          <w:sz w:val="24"/>
          <w:szCs w:val="24"/>
          <w:lang w:val="es-CO"/>
        </w:rPr>
        <w:t>lapso</w:t>
      </w:r>
      <w:r>
        <w:rPr>
          <w:rFonts w:ascii="Arial" w:hAnsi="Arial" w:cs="Arial"/>
          <w:bCs/>
          <w:sz w:val="24"/>
          <w:szCs w:val="24"/>
          <w:lang w:val="es-CO"/>
        </w:rPr>
        <w:t xml:space="preserve"> de 120 días las entidades establec</w:t>
      </w:r>
      <w:r w:rsidR="00BE3C11">
        <w:rPr>
          <w:rFonts w:ascii="Arial" w:hAnsi="Arial" w:cs="Arial"/>
          <w:bCs/>
          <w:sz w:val="24"/>
          <w:szCs w:val="24"/>
          <w:lang w:val="es-CO"/>
        </w:rPr>
        <w:t>ieran</w:t>
      </w:r>
      <w:r>
        <w:rPr>
          <w:rFonts w:ascii="Arial" w:hAnsi="Arial" w:cs="Arial"/>
          <w:bCs/>
          <w:sz w:val="24"/>
          <w:szCs w:val="24"/>
          <w:lang w:val="es-CO"/>
        </w:rPr>
        <w:t xml:space="preserve"> per</w:t>
      </w:r>
      <w:r w:rsidR="00DF6615">
        <w:rPr>
          <w:rFonts w:ascii="Arial" w:hAnsi="Arial" w:cs="Arial"/>
          <w:bCs/>
          <w:sz w:val="24"/>
          <w:szCs w:val="24"/>
          <w:lang w:val="es-CO"/>
        </w:rPr>
        <w:t>í</w:t>
      </w:r>
      <w:r>
        <w:rPr>
          <w:rFonts w:ascii="Arial" w:hAnsi="Arial" w:cs="Arial"/>
          <w:bCs/>
          <w:sz w:val="24"/>
          <w:szCs w:val="24"/>
          <w:lang w:val="es-CO"/>
        </w:rPr>
        <w:t>odos de gracia o pr</w:t>
      </w:r>
      <w:r w:rsidR="00BE3C11">
        <w:rPr>
          <w:rFonts w:ascii="Arial" w:hAnsi="Arial" w:cs="Arial"/>
          <w:bCs/>
          <w:sz w:val="24"/>
          <w:szCs w:val="24"/>
          <w:lang w:val="es-CO"/>
        </w:rPr>
        <w:t>ó</w:t>
      </w:r>
      <w:r>
        <w:rPr>
          <w:rFonts w:ascii="Arial" w:hAnsi="Arial" w:cs="Arial"/>
          <w:bCs/>
          <w:sz w:val="24"/>
          <w:szCs w:val="24"/>
          <w:lang w:val="es-CO"/>
        </w:rPr>
        <w:t>rrogas para el pago de sus obligacione</w:t>
      </w:r>
      <w:r w:rsidR="00BE3C11">
        <w:rPr>
          <w:rFonts w:ascii="Arial" w:hAnsi="Arial" w:cs="Arial"/>
          <w:bCs/>
          <w:sz w:val="24"/>
          <w:szCs w:val="24"/>
          <w:lang w:val="es-CO"/>
        </w:rPr>
        <w:t xml:space="preserve">s. </w:t>
      </w:r>
      <w:r w:rsidR="00DF6615">
        <w:rPr>
          <w:rFonts w:ascii="Arial" w:hAnsi="Arial" w:cs="Arial"/>
          <w:bCs/>
          <w:sz w:val="24"/>
          <w:szCs w:val="24"/>
          <w:lang w:val="es-CO"/>
        </w:rPr>
        <w:t>Esta etapa</w:t>
      </w:r>
      <w:r>
        <w:rPr>
          <w:rFonts w:ascii="Arial" w:hAnsi="Arial" w:cs="Arial"/>
          <w:bCs/>
          <w:sz w:val="24"/>
          <w:szCs w:val="24"/>
          <w:lang w:val="es-CO"/>
        </w:rPr>
        <w:t xml:space="preserve"> finaliza el próximo 31 de julio de 2020 por lo que</w:t>
      </w:r>
      <w:r w:rsidR="00DF6615">
        <w:rPr>
          <w:rFonts w:ascii="Arial" w:hAnsi="Arial" w:cs="Arial"/>
          <w:bCs/>
          <w:sz w:val="24"/>
          <w:szCs w:val="24"/>
          <w:lang w:val="es-CO"/>
        </w:rPr>
        <w:t>,</w:t>
      </w:r>
      <w:r>
        <w:rPr>
          <w:rFonts w:ascii="Arial" w:hAnsi="Arial" w:cs="Arial"/>
          <w:bCs/>
          <w:sz w:val="24"/>
          <w:szCs w:val="24"/>
          <w:lang w:val="es-CO"/>
        </w:rPr>
        <w:t xml:space="preserve"> d</w:t>
      </w:r>
      <w:r w:rsidR="00056850">
        <w:rPr>
          <w:rFonts w:ascii="Arial" w:hAnsi="Arial" w:cs="Arial"/>
          <w:bCs/>
          <w:sz w:val="24"/>
          <w:szCs w:val="24"/>
          <w:lang w:val="es-CO"/>
        </w:rPr>
        <w:t>ada la persistencia del C</w:t>
      </w:r>
      <w:r w:rsidR="00DF6615">
        <w:rPr>
          <w:rFonts w:ascii="Arial" w:hAnsi="Arial" w:cs="Arial"/>
          <w:bCs/>
          <w:sz w:val="24"/>
          <w:szCs w:val="24"/>
          <w:lang w:val="es-CO"/>
        </w:rPr>
        <w:t>OVID</w:t>
      </w:r>
      <w:r w:rsidR="00056850">
        <w:rPr>
          <w:rFonts w:ascii="Arial" w:hAnsi="Arial" w:cs="Arial"/>
          <w:bCs/>
          <w:sz w:val="24"/>
          <w:szCs w:val="24"/>
          <w:lang w:val="es-CO"/>
        </w:rPr>
        <w:t xml:space="preserve">-19 y sus efectos sobre la actividad </w:t>
      </w:r>
      <w:r w:rsidR="003752A8">
        <w:rPr>
          <w:rFonts w:ascii="Arial" w:hAnsi="Arial" w:cs="Arial"/>
          <w:bCs/>
          <w:sz w:val="24"/>
          <w:szCs w:val="24"/>
          <w:lang w:val="es-CO"/>
        </w:rPr>
        <w:t xml:space="preserve">económica </w:t>
      </w:r>
      <w:r w:rsidR="00056850">
        <w:rPr>
          <w:rFonts w:ascii="Arial" w:hAnsi="Arial" w:cs="Arial"/>
          <w:bCs/>
          <w:sz w:val="24"/>
          <w:szCs w:val="24"/>
          <w:lang w:val="es-CO"/>
        </w:rPr>
        <w:t>de los deudores</w:t>
      </w:r>
      <w:r w:rsidR="00CF6D10" w:rsidRPr="00DF6615">
        <w:rPr>
          <w:rFonts w:ascii="Arial" w:hAnsi="Arial" w:cs="Arial"/>
          <w:bCs/>
          <w:sz w:val="24"/>
          <w:szCs w:val="24"/>
          <w:lang w:val="es-CO"/>
        </w:rPr>
        <w:t>,</w:t>
      </w:r>
      <w:r w:rsidR="00FD02C8" w:rsidRPr="00DF6615">
        <w:rPr>
          <w:rFonts w:ascii="Arial" w:hAnsi="Arial" w:cs="Arial"/>
          <w:bCs/>
          <w:sz w:val="24"/>
          <w:szCs w:val="24"/>
          <w:lang w:val="es-CO"/>
        </w:rPr>
        <w:t xml:space="preserve"> </w:t>
      </w:r>
      <w:r w:rsidR="00355816">
        <w:rPr>
          <w:rFonts w:ascii="Arial" w:hAnsi="Arial" w:cs="Arial"/>
          <w:bCs/>
          <w:sz w:val="24"/>
          <w:szCs w:val="24"/>
          <w:lang w:val="es-CO"/>
        </w:rPr>
        <w:t xml:space="preserve">la SFC </w:t>
      </w:r>
      <w:r w:rsidR="0021487B">
        <w:rPr>
          <w:rFonts w:ascii="Arial" w:hAnsi="Arial" w:cs="Arial"/>
          <w:bCs/>
          <w:sz w:val="24"/>
          <w:szCs w:val="24"/>
          <w:lang w:val="es-CO"/>
        </w:rPr>
        <w:t xml:space="preserve">crea el </w:t>
      </w:r>
      <w:r w:rsidR="0021487B" w:rsidRPr="00DF6615">
        <w:rPr>
          <w:rFonts w:ascii="Arial" w:hAnsi="Arial" w:cs="Arial"/>
          <w:b/>
          <w:sz w:val="24"/>
          <w:szCs w:val="24"/>
          <w:lang w:val="es-CO"/>
        </w:rPr>
        <w:t>Programa de Acompañamiento a Deudores – PAD</w:t>
      </w:r>
      <w:r w:rsidR="0021487B" w:rsidRPr="0021487B">
        <w:rPr>
          <w:rFonts w:ascii="Arial" w:hAnsi="Arial" w:cs="Arial"/>
          <w:bCs/>
          <w:sz w:val="24"/>
          <w:szCs w:val="24"/>
          <w:lang w:val="es-CO"/>
        </w:rPr>
        <w:t xml:space="preserve"> </w:t>
      </w:r>
      <w:r w:rsidR="0021487B">
        <w:rPr>
          <w:rFonts w:ascii="Arial" w:hAnsi="Arial" w:cs="Arial"/>
          <w:bCs/>
          <w:sz w:val="24"/>
          <w:szCs w:val="24"/>
          <w:lang w:val="es-CO"/>
        </w:rPr>
        <w:t>e</w:t>
      </w:r>
      <w:r w:rsidR="00355816">
        <w:rPr>
          <w:rFonts w:ascii="Arial" w:hAnsi="Arial" w:cs="Arial"/>
          <w:bCs/>
          <w:sz w:val="24"/>
          <w:szCs w:val="24"/>
          <w:lang w:val="es-CO"/>
        </w:rPr>
        <w:t xml:space="preserve"> </w:t>
      </w:r>
      <w:r w:rsidR="00FD02C8">
        <w:rPr>
          <w:rFonts w:ascii="Arial" w:hAnsi="Arial" w:cs="Arial"/>
          <w:bCs/>
          <w:sz w:val="24"/>
          <w:szCs w:val="24"/>
          <w:lang w:val="es-CO"/>
        </w:rPr>
        <w:t>impart</w:t>
      </w:r>
      <w:r w:rsidR="00355816">
        <w:rPr>
          <w:rFonts w:ascii="Arial" w:hAnsi="Arial" w:cs="Arial"/>
          <w:bCs/>
          <w:sz w:val="24"/>
          <w:szCs w:val="24"/>
          <w:lang w:val="es-CO"/>
        </w:rPr>
        <w:t>e</w:t>
      </w:r>
      <w:r w:rsidR="00FD02C8">
        <w:rPr>
          <w:rFonts w:ascii="Arial" w:hAnsi="Arial" w:cs="Arial"/>
          <w:bCs/>
          <w:sz w:val="24"/>
          <w:szCs w:val="24"/>
          <w:lang w:val="es-CO"/>
        </w:rPr>
        <w:t xml:space="preserve">  </w:t>
      </w:r>
      <w:r w:rsidR="00FD02C8" w:rsidRPr="00DF6615">
        <w:rPr>
          <w:rFonts w:ascii="Arial" w:hAnsi="Arial" w:cs="Arial"/>
          <w:b/>
          <w:sz w:val="24"/>
          <w:szCs w:val="24"/>
          <w:lang w:val="es-CO"/>
        </w:rPr>
        <w:t xml:space="preserve">instrucciones </w:t>
      </w:r>
      <w:r w:rsidR="003752A8" w:rsidRPr="00DF6615">
        <w:rPr>
          <w:rFonts w:ascii="Arial" w:hAnsi="Arial" w:cs="Arial"/>
          <w:b/>
          <w:sz w:val="24"/>
          <w:szCs w:val="24"/>
          <w:lang w:val="es-CO"/>
        </w:rPr>
        <w:t>complementarias</w:t>
      </w:r>
      <w:r w:rsidR="00355816">
        <w:rPr>
          <w:rFonts w:ascii="Arial" w:hAnsi="Arial" w:cs="Arial"/>
          <w:bCs/>
          <w:sz w:val="24"/>
          <w:szCs w:val="24"/>
          <w:lang w:val="es-CO"/>
        </w:rPr>
        <w:t xml:space="preserve"> a las existentes</w:t>
      </w:r>
      <w:r w:rsidR="003752A8">
        <w:rPr>
          <w:rFonts w:ascii="Arial" w:hAnsi="Arial" w:cs="Arial"/>
          <w:bCs/>
          <w:sz w:val="24"/>
          <w:szCs w:val="24"/>
          <w:lang w:val="es-CO"/>
        </w:rPr>
        <w:t xml:space="preserve"> </w:t>
      </w:r>
      <w:r w:rsidR="00262880">
        <w:rPr>
          <w:rFonts w:ascii="Arial" w:hAnsi="Arial" w:cs="Arial"/>
          <w:bCs/>
          <w:sz w:val="24"/>
          <w:szCs w:val="24"/>
          <w:lang w:val="es-CO"/>
        </w:rPr>
        <w:t xml:space="preserve">a través de la </w:t>
      </w:r>
      <w:hyperlink r:id="rId9" w:history="1">
        <w:r w:rsidR="00DF6615" w:rsidRPr="004E3E63">
          <w:rPr>
            <w:rStyle w:val="Hipervnculo"/>
            <w:rFonts w:ascii="Arial" w:hAnsi="Arial" w:cs="Arial"/>
            <w:b/>
            <w:color w:val="800000"/>
            <w:sz w:val="24"/>
            <w:szCs w:val="24"/>
            <w:lang w:val="es-CO"/>
          </w:rPr>
          <w:t xml:space="preserve">Circular Externa </w:t>
        </w:r>
        <w:r w:rsidR="00F778A7" w:rsidRPr="004E3E63">
          <w:rPr>
            <w:rStyle w:val="Hipervnculo"/>
            <w:rFonts w:ascii="Arial" w:hAnsi="Arial" w:cs="Arial"/>
            <w:b/>
            <w:color w:val="800000"/>
            <w:sz w:val="24"/>
            <w:szCs w:val="24"/>
            <w:lang w:val="es-CO"/>
          </w:rPr>
          <w:t>022</w:t>
        </w:r>
        <w:r w:rsidR="00DF6615" w:rsidRPr="004E3E63">
          <w:rPr>
            <w:rStyle w:val="Hipervnculo"/>
            <w:rFonts w:ascii="Arial" w:hAnsi="Arial" w:cs="Arial"/>
            <w:b/>
            <w:color w:val="800000"/>
            <w:sz w:val="24"/>
            <w:szCs w:val="24"/>
            <w:lang w:val="es-CO"/>
          </w:rPr>
          <w:t xml:space="preserve"> de 2020</w:t>
        </w:r>
      </w:hyperlink>
      <w:r w:rsidR="00DF6615">
        <w:rPr>
          <w:rFonts w:ascii="Arial" w:hAnsi="Arial" w:cs="Arial"/>
          <w:bCs/>
          <w:sz w:val="24"/>
          <w:szCs w:val="24"/>
          <w:lang w:val="es-CO"/>
        </w:rPr>
        <w:t xml:space="preserve">, </w:t>
      </w:r>
      <w:r w:rsidR="00355816">
        <w:rPr>
          <w:rFonts w:ascii="Arial" w:hAnsi="Arial" w:cs="Arial"/>
          <w:bCs/>
          <w:sz w:val="24"/>
          <w:szCs w:val="24"/>
          <w:lang w:val="es-CO"/>
        </w:rPr>
        <w:t xml:space="preserve">con el fin de que </w:t>
      </w:r>
      <w:r w:rsidR="00FD02C8" w:rsidRPr="00FD02C8">
        <w:rPr>
          <w:rFonts w:ascii="Arial" w:hAnsi="Arial" w:cs="Arial"/>
          <w:bCs/>
          <w:sz w:val="24"/>
          <w:szCs w:val="24"/>
          <w:lang w:val="es-CO"/>
        </w:rPr>
        <w:t>l</w:t>
      </w:r>
      <w:r w:rsidR="004633AC">
        <w:rPr>
          <w:rFonts w:ascii="Arial" w:hAnsi="Arial" w:cs="Arial"/>
          <w:bCs/>
          <w:sz w:val="24"/>
          <w:szCs w:val="24"/>
          <w:lang w:val="es-CO"/>
        </w:rPr>
        <w:t>os establecimientos de crédito</w:t>
      </w:r>
      <w:r w:rsidR="00FD02C8" w:rsidRPr="00FD02C8">
        <w:rPr>
          <w:rFonts w:ascii="Arial" w:hAnsi="Arial" w:cs="Arial"/>
          <w:bCs/>
          <w:sz w:val="24"/>
          <w:szCs w:val="24"/>
          <w:lang w:val="es-CO"/>
        </w:rPr>
        <w:t xml:space="preserve"> </w:t>
      </w:r>
      <w:r w:rsidR="00DF6615">
        <w:rPr>
          <w:rFonts w:ascii="Arial" w:hAnsi="Arial" w:cs="Arial"/>
          <w:bCs/>
          <w:sz w:val="24"/>
          <w:szCs w:val="24"/>
          <w:lang w:val="es-CO"/>
        </w:rPr>
        <w:t xml:space="preserve">determinen </w:t>
      </w:r>
      <w:r w:rsidR="00F778A7">
        <w:rPr>
          <w:rFonts w:ascii="Arial" w:hAnsi="Arial" w:cs="Arial"/>
          <w:bCs/>
          <w:sz w:val="24"/>
          <w:szCs w:val="24"/>
          <w:lang w:val="es-CO"/>
        </w:rPr>
        <w:t xml:space="preserve">las </w:t>
      </w:r>
      <w:r w:rsidR="00F778A7" w:rsidRPr="005F67C4">
        <w:rPr>
          <w:rFonts w:ascii="Arial" w:hAnsi="Arial" w:cs="Arial"/>
          <w:bCs/>
          <w:sz w:val="24"/>
          <w:szCs w:val="24"/>
          <w:lang w:val="es-CO"/>
        </w:rPr>
        <w:t>condiciones</w:t>
      </w:r>
      <w:r w:rsidR="00F778A7">
        <w:rPr>
          <w:rFonts w:ascii="Arial" w:hAnsi="Arial" w:cs="Arial"/>
          <w:bCs/>
          <w:sz w:val="24"/>
          <w:szCs w:val="24"/>
          <w:lang w:val="es-CO"/>
        </w:rPr>
        <w:t xml:space="preserve"> para la redefinición de las obligaciones </w:t>
      </w:r>
      <w:r w:rsidR="00262880">
        <w:rPr>
          <w:rFonts w:ascii="Arial" w:hAnsi="Arial" w:cs="Arial"/>
          <w:bCs/>
          <w:sz w:val="24"/>
          <w:szCs w:val="24"/>
          <w:lang w:val="es-CO"/>
        </w:rPr>
        <w:t xml:space="preserve">de </w:t>
      </w:r>
      <w:r w:rsidR="003752A8">
        <w:rPr>
          <w:rFonts w:ascii="Arial" w:hAnsi="Arial" w:cs="Arial"/>
          <w:bCs/>
          <w:sz w:val="24"/>
          <w:szCs w:val="24"/>
          <w:lang w:val="es-CO"/>
        </w:rPr>
        <w:t xml:space="preserve">aquellos </w:t>
      </w:r>
      <w:r w:rsidR="00FD02C8" w:rsidRPr="00FD02C8">
        <w:rPr>
          <w:rFonts w:ascii="Arial" w:hAnsi="Arial" w:cs="Arial"/>
          <w:bCs/>
          <w:sz w:val="24"/>
          <w:szCs w:val="24"/>
          <w:lang w:val="es-CO"/>
        </w:rPr>
        <w:t>deudores cuyos ingresos se han visto afectados por la actual situación</w:t>
      </w:r>
      <w:r w:rsidR="00FE6A64">
        <w:rPr>
          <w:rFonts w:ascii="Arial" w:hAnsi="Arial" w:cs="Arial"/>
          <w:bCs/>
          <w:sz w:val="24"/>
          <w:szCs w:val="24"/>
          <w:lang w:val="es-CO"/>
        </w:rPr>
        <w:t xml:space="preserve"> </w:t>
      </w:r>
      <w:r w:rsidR="003752A8">
        <w:rPr>
          <w:rFonts w:ascii="Arial" w:hAnsi="Arial" w:cs="Arial"/>
          <w:bCs/>
          <w:sz w:val="24"/>
          <w:szCs w:val="24"/>
          <w:lang w:val="es-CO"/>
        </w:rPr>
        <w:t xml:space="preserve">y sobre los cuales </w:t>
      </w:r>
      <w:r w:rsidR="00397875">
        <w:rPr>
          <w:rFonts w:ascii="Arial" w:hAnsi="Arial" w:cs="Arial"/>
          <w:bCs/>
          <w:sz w:val="24"/>
          <w:szCs w:val="24"/>
          <w:lang w:val="es-CO"/>
        </w:rPr>
        <w:t>las entidades cuentan con elementos que permitan inferir que podrá</w:t>
      </w:r>
      <w:r w:rsidR="00EA2A3E">
        <w:rPr>
          <w:rFonts w:ascii="Arial" w:hAnsi="Arial" w:cs="Arial"/>
          <w:bCs/>
          <w:sz w:val="24"/>
          <w:szCs w:val="24"/>
          <w:lang w:val="es-CO"/>
        </w:rPr>
        <w:t>n</w:t>
      </w:r>
      <w:r w:rsidR="00397875">
        <w:rPr>
          <w:rFonts w:ascii="Arial" w:hAnsi="Arial" w:cs="Arial"/>
          <w:bCs/>
          <w:sz w:val="24"/>
          <w:szCs w:val="24"/>
          <w:lang w:val="es-CO"/>
        </w:rPr>
        <w:t xml:space="preserve"> superar </w:t>
      </w:r>
      <w:r w:rsidR="00EA2A3E">
        <w:rPr>
          <w:rFonts w:ascii="Arial" w:hAnsi="Arial" w:cs="Arial"/>
          <w:bCs/>
          <w:sz w:val="24"/>
          <w:szCs w:val="24"/>
          <w:lang w:val="es-CO"/>
        </w:rPr>
        <w:t>dicha condición</w:t>
      </w:r>
      <w:r w:rsidR="00397875">
        <w:rPr>
          <w:rFonts w:ascii="Arial" w:hAnsi="Arial" w:cs="Arial"/>
          <w:bCs/>
          <w:sz w:val="24"/>
          <w:szCs w:val="24"/>
          <w:lang w:val="es-CO"/>
        </w:rPr>
        <w:t xml:space="preserve">. </w:t>
      </w:r>
    </w:p>
    <w:p w14:paraId="69B52E06" w14:textId="77777777" w:rsidR="000A7A9D" w:rsidRDefault="000A7A9D" w:rsidP="00831634">
      <w:pPr>
        <w:jc w:val="both"/>
        <w:rPr>
          <w:rFonts w:ascii="Arial" w:hAnsi="Arial" w:cs="Arial"/>
          <w:bCs/>
          <w:sz w:val="24"/>
          <w:szCs w:val="24"/>
          <w:lang w:val="es-CO"/>
        </w:rPr>
      </w:pPr>
    </w:p>
    <w:p w14:paraId="66B387B3" w14:textId="77777777" w:rsidR="002E0447" w:rsidRDefault="002E0447" w:rsidP="00831634">
      <w:pPr>
        <w:jc w:val="both"/>
        <w:rPr>
          <w:rFonts w:ascii="Arial" w:hAnsi="Arial" w:cs="Arial"/>
          <w:bCs/>
          <w:sz w:val="24"/>
          <w:szCs w:val="24"/>
          <w:lang w:val="es-CO"/>
        </w:rPr>
      </w:pPr>
    </w:p>
    <w:p w14:paraId="1069D0F8" w14:textId="5D063D53" w:rsidR="00252E33" w:rsidRPr="00355816" w:rsidRDefault="00252E33" w:rsidP="00355816">
      <w:pPr>
        <w:pStyle w:val="Prrafodelista"/>
        <w:numPr>
          <w:ilvl w:val="0"/>
          <w:numId w:val="32"/>
        </w:numPr>
        <w:jc w:val="both"/>
        <w:rPr>
          <w:rFonts w:ascii="Arial" w:hAnsi="Arial" w:cs="Arial"/>
          <w:b/>
          <w:sz w:val="24"/>
          <w:szCs w:val="24"/>
        </w:rPr>
      </w:pPr>
      <w:r w:rsidRPr="00355816">
        <w:rPr>
          <w:rFonts w:ascii="Arial" w:hAnsi="Arial" w:cs="Arial"/>
          <w:b/>
          <w:sz w:val="24"/>
          <w:szCs w:val="24"/>
        </w:rPr>
        <w:t>¿</w:t>
      </w:r>
      <w:r w:rsidR="00943C73">
        <w:rPr>
          <w:rFonts w:ascii="Arial" w:hAnsi="Arial" w:cs="Arial"/>
          <w:b/>
          <w:sz w:val="24"/>
          <w:szCs w:val="24"/>
        </w:rPr>
        <w:t xml:space="preserve">Hacia </w:t>
      </w:r>
      <w:r w:rsidR="002E0447">
        <w:rPr>
          <w:rFonts w:ascii="Arial" w:hAnsi="Arial" w:cs="Arial"/>
          <w:b/>
          <w:sz w:val="24"/>
          <w:szCs w:val="24"/>
        </w:rPr>
        <w:t>qué entidades</w:t>
      </w:r>
      <w:r w:rsidR="00943C73">
        <w:rPr>
          <w:rFonts w:ascii="Arial" w:hAnsi="Arial" w:cs="Arial"/>
          <w:b/>
          <w:sz w:val="24"/>
          <w:szCs w:val="24"/>
        </w:rPr>
        <w:t xml:space="preserve"> están dirigidas </w:t>
      </w:r>
      <w:r w:rsidR="00041359">
        <w:rPr>
          <w:rFonts w:ascii="Arial" w:hAnsi="Arial" w:cs="Arial"/>
          <w:b/>
          <w:sz w:val="24"/>
          <w:szCs w:val="24"/>
        </w:rPr>
        <w:t>estas</w:t>
      </w:r>
      <w:r w:rsidRPr="00355816">
        <w:rPr>
          <w:rFonts w:ascii="Arial" w:hAnsi="Arial" w:cs="Arial"/>
          <w:b/>
          <w:sz w:val="24"/>
          <w:szCs w:val="24"/>
        </w:rPr>
        <w:t xml:space="preserve"> </w:t>
      </w:r>
      <w:r w:rsidR="00926579" w:rsidRPr="00355816">
        <w:rPr>
          <w:rFonts w:ascii="Arial" w:hAnsi="Arial" w:cs="Arial"/>
          <w:b/>
          <w:sz w:val="24"/>
          <w:szCs w:val="24"/>
        </w:rPr>
        <w:t xml:space="preserve">instrucciones </w:t>
      </w:r>
      <w:r w:rsidR="00041359">
        <w:rPr>
          <w:rFonts w:ascii="Arial" w:hAnsi="Arial" w:cs="Arial"/>
          <w:b/>
          <w:sz w:val="24"/>
          <w:szCs w:val="24"/>
        </w:rPr>
        <w:t xml:space="preserve">complementarias </w:t>
      </w:r>
      <w:r w:rsidR="004633AC" w:rsidRPr="00355816">
        <w:rPr>
          <w:rFonts w:ascii="Arial" w:hAnsi="Arial" w:cs="Arial"/>
          <w:b/>
          <w:sz w:val="24"/>
          <w:szCs w:val="24"/>
        </w:rPr>
        <w:t xml:space="preserve">impartidas </w:t>
      </w:r>
      <w:r w:rsidRPr="00355816">
        <w:rPr>
          <w:rFonts w:ascii="Arial" w:hAnsi="Arial" w:cs="Arial"/>
          <w:b/>
          <w:sz w:val="24"/>
          <w:szCs w:val="24"/>
        </w:rPr>
        <w:t>por la S</w:t>
      </w:r>
      <w:r w:rsidR="004633AC" w:rsidRPr="00355816">
        <w:rPr>
          <w:rFonts w:ascii="Arial" w:hAnsi="Arial" w:cs="Arial"/>
          <w:b/>
          <w:sz w:val="24"/>
          <w:szCs w:val="24"/>
        </w:rPr>
        <w:t>uperfinanciera</w:t>
      </w:r>
      <w:r w:rsidRPr="00355816">
        <w:rPr>
          <w:rFonts w:ascii="Arial" w:hAnsi="Arial" w:cs="Arial"/>
          <w:b/>
          <w:sz w:val="24"/>
          <w:szCs w:val="24"/>
        </w:rPr>
        <w:t>?</w:t>
      </w:r>
    </w:p>
    <w:p w14:paraId="468285FF" w14:textId="77777777" w:rsidR="00252E33" w:rsidRDefault="00252E33" w:rsidP="00252E33">
      <w:pPr>
        <w:jc w:val="both"/>
        <w:rPr>
          <w:rFonts w:ascii="Arial" w:hAnsi="Arial" w:cs="Arial"/>
          <w:bCs/>
          <w:sz w:val="24"/>
          <w:szCs w:val="24"/>
        </w:rPr>
      </w:pPr>
    </w:p>
    <w:p w14:paraId="185B618E" w14:textId="535D2E80" w:rsidR="00B324F6" w:rsidRDefault="0081689B" w:rsidP="00252E33">
      <w:pPr>
        <w:jc w:val="both"/>
        <w:rPr>
          <w:rFonts w:ascii="Arial" w:hAnsi="Arial" w:cs="Arial"/>
          <w:bCs/>
          <w:sz w:val="24"/>
          <w:szCs w:val="24"/>
        </w:rPr>
      </w:pPr>
      <w:r>
        <w:rPr>
          <w:rFonts w:ascii="Arial" w:hAnsi="Arial" w:cs="Arial"/>
          <w:bCs/>
          <w:sz w:val="24"/>
          <w:szCs w:val="24"/>
        </w:rPr>
        <w:t>L</w:t>
      </w:r>
      <w:r w:rsidR="00943C73">
        <w:rPr>
          <w:rFonts w:ascii="Arial" w:hAnsi="Arial" w:cs="Arial"/>
          <w:bCs/>
          <w:sz w:val="24"/>
          <w:szCs w:val="24"/>
        </w:rPr>
        <w:t xml:space="preserve">a </w:t>
      </w:r>
      <w:hyperlink r:id="rId10" w:history="1">
        <w:r w:rsidR="00A81C5E" w:rsidRPr="004E3E63">
          <w:rPr>
            <w:rStyle w:val="Hipervnculo"/>
            <w:rFonts w:ascii="Arial" w:hAnsi="Arial" w:cs="Arial"/>
            <w:b/>
            <w:color w:val="800000"/>
            <w:sz w:val="24"/>
            <w:szCs w:val="24"/>
            <w:lang w:val="es-CO"/>
          </w:rPr>
          <w:t>Circular Externa 022 de 2020</w:t>
        </w:r>
      </w:hyperlink>
      <w:r w:rsidR="00041359">
        <w:rPr>
          <w:rFonts w:ascii="Arial" w:hAnsi="Arial" w:cs="Arial"/>
          <w:bCs/>
          <w:sz w:val="24"/>
          <w:szCs w:val="24"/>
          <w:lang w:val="es-CO"/>
        </w:rPr>
        <w:t xml:space="preserve"> </w:t>
      </w:r>
      <w:r w:rsidR="00943C73">
        <w:rPr>
          <w:rFonts w:ascii="Arial" w:hAnsi="Arial" w:cs="Arial"/>
          <w:bCs/>
          <w:sz w:val="24"/>
          <w:szCs w:val="24"/>
        </w:rPr>
        <w:t xml:space="preserve">está dirigida a los establecimientos de crédito, es decir: </w:t>
      </w:r>
      <w:r w:rsidR="00252E33" w:rsidRPr="00252E33">
        <w:rPr>
          <w:rFonts w:ascii="Arial" w:hAnsi="Arial" w:cs="Arial"/>
          <w:bCs/>
          <w:sz w:val="24"/>
          <w:szCs w:val="24"/>
        </w:rPr>
        <w:t>bancos, c</w:t>
      </w:r>
      <w:r w:rsidR="00252E33">
        <w:rPr>
          <w:rFonts w:ascii="Arial" w:hAnsi="Arial" w:cs="Arial"/>
          <w:bCs/>
          <w:sz w:val="24"/>
          <w:szCs w:val="24"/>
        </w:rPr>
        <w:t>o</w:t>
      </w:r>
      <w:r w:rsidR="00252E33" w:rsidRPr="00252E33">
        <w:rPr>
          <w:rFonts w:ascii="Arial" w:hAnsi="Arial" w:cs="Arial"/>
          <w:bCs/>
          <w:sz w:val="24"/>
          <w:szCs w:val="24"/>
        </w:rPr>
        <w:t xml:space="preserve">mpañías de financiamiento, </w:t>
      </w:r>
      <w:r w:rsidR="00252E33">
        <w:rPr>
          <w:rFonts w:ascii="Arial" w:hAnsi="Arial" w:cs="Arial"/>
          <w:bCs/>
          <w:sz w:val="24"/>
          <w:szCs w:val="24"/>
        </w:rPr>
        <w:t xml:space="preserve">corporaciones financieras y cooperativas </w:t>
      </w:r>
      <w:r>
        <w:rPr>
          <w:rFonts w:ascii="Arial" w:hAnsi="Arial" w:cs="Arial"/>
          <w:bCs/>
          <w:sz w:val="24"/>
          <w:szCs w:val="24"/>
        </w:rPr>
        <w:t>financieras vigiladas por la SFC</w:t>
      </w:r>
      <w:r w:rsidR="004633AC">
        <w:rPr>
          <w:rFonts w:ascii="Arial" w:hAnsi="Arial" w:cs="Arial"/>
          <w:bCs/>
          <w:sz w:val="24"/>
          <w:szCs w:val="24"/>
        </w:rPr>
        <w:t>.</w:t>
      </w:r>
      <w:r w:rsidR="005F1D20">
        <w:rPr>
          <w:rFonts w:ascii="Arial" w:hAnsi="Arial" w:cs="Arial"/>
          <w:bCs/>
          <w:sz w:val="24"/>
          <w:szCs w:val="24"/>
        </w:rPr>
        <w:t xml:space="preserve"> </w:t>
      </w:r>
    </w:p>
    <w:p w14:paraId="04BA36DE" w14:textId="77777777" w:rsidR="00B324F6" w:rsidRDefault="00B324F6" w:rsidP="00252E33">
      <w:pPr>
        <w:jc w:val="both"/>
        <w:rPr>
          <w:rFonts w:ascii="Arial" w:hAnsi="Arial" w:cs="Arial"/>
          <w:bCs/>
          <w:sz w:val="24"/>
          <w:szCs w:val="24"/>
        </w:rPr>
      </w:pPr>
    </w:p>
    <w:p w14:paraId="76D7918D" w14:textId="77777777" w:rsidR="002E0447" w:rsidRDefault="002E0447" w:rsidP="00252E33">
      <w:pPr>
        <w:jc w:val="both"/>
        <w:rPr>
          <w:rFonts w:ascii="Arial" w:hAnsi="Arial" w:cs="Arial"/>
          <w:bCs/>
          <w:sz w:val="24"/>
          <w:szCs w:val="24"/>
        </w:rPr>
      </w:pPr>
    </w:p>
    <w:p w14:paraId="46F7C330" w14:textId="36B6B8EE" w:rsidR="00B324F6" w:rsidRPr="00B324F6" w:rsidRDefault="00B324F6" w:rsidP="00355816">
      <w:pPr>
        <w:pStyle w:val="Prrafodelista"/>
        <w:numPr>
          <w:ilvl w:val="0"/>
          <w:numId w:val="32"/>
        </w:numPr>
        <w:spacing w:after="160" w:line="259" w:lineRule="auto"/>
        <w:contextualSpacing/>
        <w:jc w:val="both"/>
        <w:rPr>
          <w:rFonts w:ascii="Arial" w:hAnsi="Arial" w:cs="Arial"/>
          <w:b/>
          <w:sz w:val="24"/>
        </w:rPr>
      </w:pPr>
      <w:r w:rsidRPr="00B324F6">
        <w:rPr>
          <w:rFonts w:ascii="Arial" w:hAnsi="Arial" w:cs="Arial"/>
          <w:b/>
          <w:sz w:val="24"/>
        </w:rPr>
        <w:t xml:space="preserve">¿A partir de cuándo </w:t>
      </w:r>
      <w:r w:rsidR="00FD1B49">
        <w:rPr>
          <w:rFonts w:ascii="Arial" w:hAnsi="Arial" w:cs="Arial"/>
          <w:b/>
          <w:sz w:val="24"/>
        </w:rPr>
        <w:t xml:space="preserve">los establecimientos de crédito podrán implementar </w:t>
      </w:r>
      <w:r w:rsidR="00623C4A">
        <w:rPr>
          <w:rFonts w:ascii="Arial" w:hAnsi="Arial" w:cs="Arial"/>
          <w:b/>
          <w:sz w:val="24"/>
        </w:rPr>
        <w:t xml:space="preserve">el </w:t>
      </w:r>
      <w:r w:rsidR="00623C4A" w:rsidRPr="00623C4A">
        <w:rPr>
          <w:rFonts w:ascii="Arial" w:hAnsi="Arial" w:cs="Arial"/>
          <w:b/>
          <w:sz w:val="24"/>
        </w:rPr>
        <w:t>Programa de Acompañamiento a Deudores – PAD</w:t>
      </w:r>
      <w:r w:rsidRPr="00B324F6">
        <w:rPr>
          <w:rFonts w:ascii="Arial" w:hAnsi="Arial" w:cs="Arial"/>
          <w:b/>
          <w:sz w:val="24"/>
        </w:rPr>
        <w:t xml:space="preserve"> </w:t>
      </w:r>
      <w:r w:rsidR="00FD1B49">
        <w:rPr>
          <w:rFonts w:ascii="Arial" w:hAnsi="Arial" w:cs="Arial"/>
          <w:b/>
          <w:sz w:val="24"/>
        </w:rPr>
        <w:t xml:space="preserve">para los </w:t>
      </w:r>
      <w:r w:rsidRPr="00B324F6">
        <w:rPr>
          <w:rFonts w:ascii="Arial" w:hAnsi="Arial" w:cs="Arial"/>
          <w:b/>
          <w:sz w:val="24"/>
        </w:rPr>
        <w:t>afectados por</w:t>
      </w:r>
      <w:r w:rsidR="00AF1DBF">
        <w:rPr>
          <w:rFonts w:ascii="Arial" w:hAnsi="Arial" w:cs="Arial"/>
          <w:b/>
          <w:sz w:val="24"/>
        </w:rPr>
        <w:t xml:space="preserve"> COVID </w:t>
      </w:r>
      <w:r w:rsidRPr="00B324F6">
        <w:rPr>
          <w:rFonts w:ascii="Arial" w:hAnsi="Arial" w:cs="Arial"/>
          <w:b/>
          <w:sz w:val="24"/>
        </w:rPr>
        <w:t>-</w:t>
      </w:r>
      <w:r w:rsidR="00AF1DBF">
        <w:rPr>
          <w:rFonts w:ascii="Arial" w:hAnsi="Arial" w:cs="Arial"/>
          <w:b/>
          <w:sz w:val="24"/>
        </w:rPr>
        <w:t xml:space="preserve"> </w:t>
      </w:r>
      <w:r w:rsidRPr="00B324F6">
        <w:rPr>
          <w:rFonts w:ascii="Arial" w:hAnsi="Arial" w:cs="Arial"/>
          <w:b/>
          <w:sz w:val="24"/>
        </w:rPr>
        <w:t>19?</w:t>
      </w:r>
    </w:p>
    <w:p w14:paraId="2A07D0BF" w14:textId="1A7A260E" w:rsidR="00B324F6" w:rsidRDefault="00943C73" w:rsidP="00B324F6">
      <w:pPr>
        <w:pStyle w:val="Default"/>
        <w:jc w:val="both"/>
        <w:rPr>
          <w:color w:val="auto"/>
        </w:rPr>
      </w:pPr>
      <w:r>
        <w:rPr>
          <w:color w:val="auto"/>
        </w:rPr>
        <w:t xml:space="preserve">El </w:t>
      </w:r>
      <w:r w:rsidR="00FD1B49" w:rsidRPr="00451D34">
        <w:rPr>
          <w:b/>
          <w:bCs/>
          <w:color w:val="auto"/>
        </w:rPr>
        <w:t>Programa de Acompañamiento a Deudores – PAD</w:t>
      </w:r>
      <w:r w:rsidR="00FD1B49" w:rsidRPr="00FD1B49">
        <w:rPr>
          <w:color w:val="auto"/>
        </w:rPr>
        <w:t xml:space="preserve"> </w:t>
      </w:r>
      <w:r w:rsidR="00404E12">
        <w:rPr>
          <w:color w:val="auto"/>
        </w:rPr>
        <w:t>determinado</w:t>
      </w:r>
      <w:r w:rsidR="00B324F6" w:rsidRPr="00B94BBE">
        <w:rPr>
          <w:color w:val="auto"/>
        </w:rPr>
        <w:t xml:space="preserve"> </w:t>
      </w:r>
      <w:r w:rsidR="00611584">
        <w:rPr>
          <w:color w:val="auto"/>
        </w:rPr>
        <w:t xml:space="preserve">por </w:t>
      </w:r>
      <w:r>
        <w:rPr>
          <w:color w:val="auto"/>
        </w:rPr>
        <w:t xml:space="preserve">cada uno de </w:t>
      </w:r>
      <w:r w:rsidR="00611584">
        <w:rPr>
          <w:color w:val="auto"/>
        </w:rPr>
        <w:t>los establecimientos de crédito</w:t>
      </w:r>
      <w:r w:rsidR="00B324F6" w:rsidRPr="00B94BBE">
        <w:rPr>
          <w:color w:val="auto"/>
        </w:rPr>
        <w:t xml:space="preserve"> </w:t>
      </w:r>
      <w:r w:rsidR="00C45962">
        <w:rPr>
          <w:color w:val="auto"/>
        </w:rPr>
        <w:t>estará disponible para los consumidores financieros</w:t>
      </w:r>
      <w:r w:rsidR="00B324F6" w:rsidRPr="00B94BBE">
        <w:rPr>
          <w:color w:val="auto"/>
        </w:rPr>
        <w:t xml:space="preserve"> a partir del </w:t>
      </w:r>
      <w:r w:rsidR="00B324F6">
        <w:rPr>
          <w:color w:val="auto"/>
        </w:rPr>
        <w:t>primero</w:t>
      </w:r>
      <w:r w:rsidR="00B324F6" w:rsidRPr="00B94BBE">
        <w:rPr>
          <w:color w:val="auto"/>
        </w:rPr>
        <w:t xml:space="preserve"> de agosto y durante lo que resta de 2020, es decir, hasta el 31 de diciembre</w:t>
      </w:r>
      <w:r w:rsidR="00741AFF">
        <w:rPr>
          <w:color w:val="auto"/>
        </w:rPr>
        <w:t xml:space="preserve"> de este año</w:t>
      </w:r>
      <w:r w:rsidR="00B324F6" w:rsidRPr="00B94BBE">
        <w:rPr>
          <w:color w:val="auto"/>
        </w:rPr>
        <w:t>.</w:t>
      </w:r>
    </w:p>
    <w:p w14:paraId="08DFEDBB" w14:textId="77777777" w:rsidR="002E0447" w:rsidRDefault="002E0447" w:rsidP="00B324F6">
      <w:pPr>
        <w:pStyle w:val="Default"/>
        <w:jc w:val="both"/>
        <w:rPr>
          <w:color w:val="auto"/>
        </w:rPr>
      </w:pPr>
    </w:p>
    <w:p w14:paraId="11AFD735" w14:textId="77777777" w:rsidR="00B324F6" w:rsidRPr="00B324F6" w:rsidRDefault="0054032B" w:rsidP="00355816">
      <w:pPr>
        <w:pStyle w:val="Prrafodelista"/>
        <w:numPr>
          <w:ilvl w:val="0"/>
          <w:numId w:val="32"/>
        </w:numPr>
        <w:spacing w:after="160" w:line="259" w:lineRule="auto"/>
        <w:contextualSpacing/>
        <w:jc w:val="both"/>
        <w:rPr>
          <w:rFonts w:ascii="Arial" w:hAnsi="Arial" w:cs="Arial"/>
          <w:b/>
          <w:sz w:val="24"/>
        </w:rPr>
      </w:pPr>
      <w:r>
        <w:rPr>
          <w:rFonts w:ascii="Arial" w:hAnsi="Arial" w:cs="Arial"/>
          <w:b/>
          <w:sz w:val="24"/>
        </w:rPr>
        <w:lastRenderedPageBreak/>
        <w:t xml:space="preserve">¿Qué es el </w:t>
      </w:r>
      <w:r w:rsidR="002F4977" w:rsidRPr="002F4977">
        <w:rPr>
          <w:rFonts w:ascii="Arial" w:hAnsi="Arial" w:cs="Arial"/>
          <w:b/>
          <w:sz w:val="24"/>
        </w:rPr>
        <w:t xml:space="preserve">Programa de Acompañamiento a Deudores – PAD </w:t>
      </w:r>
      <w:r>
        <w:rPr>
          <w:rFonts w:ascii="Arial" w:hAnsi="Arial" w:cs="Arial"/>
          <w:b/>
          <w:sz w:val="24"/>
        </w:rPr>
        <w:t>y c</w:t>
      </w:r>
      <w:r w:rsidRPr="00B324F6">
        <w:rPr>
          <w:rFonts w:ascii="Arial" w:hAnsi="Arial" w:cs="Arial"/>
          <w:b/>
          <w:sz w:val="24"/>
        </w:rPr>
        <w:t xml:space="preserve">uáles </w:t>
      </w:r>
      <w:r w:rsidR="00B324F6" w:rsidRPr="00B324F6">
        <w:rPr>
          <w:rFonts w:ascii="Arial" w:hAnsi="Arial" w:cs="Arial"/>
          <w:b/>
          <w:sz w:val="24"/>
        </w:rPr>
        <w:t xml:space="preserve">son </w:t>
      </w:r>
      <w:r>
        <w:rPr>
          <w:rFonts w:ascii="Arial" w:hAnsi="Arial" w:cs="Arial"/>
          <w:b/>
          <w:sz w:val="24"/>
        </w:rPr>
        <w:t xml:space="preserve">sus </w:t>
      </w:r>
      <w:r w:rsidR="00B324F6" w:rsidRPr="00B324F6">
        <w:rPr>
          <w:rFonts w:ascii="Arial" w:hAnsi="Arial" w:cs="Arial"/>
          <w:b/>
          <w:sz w:val="24"/>
        </w:rPr>
        <w:t>características?</w:t>
      </w:r>
    </w:p>
    <w:p w14:paraId="505D2D09" w14:textId="1D3C5D20" w:rsidR="0054032B" w:rsidRDefault="00F778A7" w:rsidP="00B324F6">
      <w:pPr>
        <w:pStyle w:val="Default"/>
        <w:jc w:val="both"/>
        <w:rPr>
          <w:color w:val="auto"/>
        </w:rPr>
      </w:pPr>
      <w:r w:rsidRPr="00F778A7">
        <w:rPr>
          <w:color w:val="auto"/>
        </w:rPr>
        <w:t>El Programa de Acompañamiento a Deudores – PAD es un conjunto de medidas que los establecimientos de crédito deben determinar para gestionar los compromisos financieros de los deudores ante la afectación de sus ingresos o capacidad de pago en la coyuntura. Cada entidad, definirá las condiciones y características de los créditos a los que aplique el PAD teniendo en cuenta como mínimo lo siguiente:</w:t>
      </w:r>
    </w:p>
    <w:p w14:paraId="2FCD4D92" w14:textId="77777777" w:rsidR="00F778A7" w:rsidRDefault="00F778A7" w:rsidP="00B324F6">
      <w:pPr>
        <w:pStyle w:val="Default"/>
        <w:jc w:val="both"/>
        <w:rPr>
          <w:color w:val="auto"/>
        </w:rPr>
      </w:pPr>
    </w:p>
    <w:p w14:paraId="2195963A" w14:textId="2A930F88" w:rsidR="00C31E68" w:rsidRDefault="00397875" w:rsidP="00AF5FBE">
      <w:pPr>
        <w:pStyle w:val="Default"/>
        <w:numPr>
          <w:ilvl w:val="0"/>
          <w:numId w:val="37"/>
        </w:numPr>
        <w:jc w:val="both"/>
        <w:rPr>
          <w:color w:val="auto"/>
        </w:rPr>
      </w:pPr>
      <w:r>
        <w:rPr>
          <w:color w:val="auto"/>
        </w:rPr>
        <w:t>L</w:t>
      </w:r>
      <w:r w:rsidR="00B324F6" w:rsidRPr="00B94BBE">
        <w:rPr>
          <w:color w:val="auto"/>
        </w:rPr>
        <w:t>as nuevas condiciones incluirán</w:t>
      </w:r>
      <w:r w:rsidR="00F973F4">
        <w:rPr>
          <w:color w:val="auto"/>
        </w:rPr>
        <w:t xml:space="preserve"> </w:t>
      </w:r>
      <w:r w:rsidR="008214E6">
        <w:rPr>
          <w:color w:val="auto"/>
        </w:rPr>
        <w:t xml:space="preserve">la </w:t>
      </w:r>
      <w:r w:rsidR="00B324F6" w:rsidRPr="00B94BBE">
        <w:rPr>
          <w:color w:val="auto"/>
        </w:rPr>
        <w:t>reducción de la cuota</w:t>
      </w:r>
      <w:r w:rsidR="008214E6">
        <w:rPr>
          <w:color w:val="auto"/>
        </w:rPr>
        <w:t xml:space="preserve"> </w:t>
      </w:r>
    </w:p>
    <w:p w14:paraId="02B0EE64" w14:textId="66C792E5" w:rsidR="00C31E68" w:rsidRDefault="00C31E68" w:rsidP="00C31E68">
      <w:pPr>
        <w:pStyle w:val="Default"/>
        <w:ind w:left="720"/>
        <w:jc w:val="both"/>
        <w:rPr>
          <w:color w:val="auto"/>
        </w:rPr>
      </w:pPr>
    </w:p>
    <w:p w14:paraId="58B61219" w14:textId="7A5C160D" w:rsidR="00C31E68" w:rsidRDefault="00880E68" w:rsidP="00AF5FBE">
      <w:pPr>
        <w:pStyle w:val="Default"/>
        <w:numPr>
          <w:ilvl w:val="0"/>
          <w:numId w:val="37"/>
        </w:numPr>
        <w:jc w:val="both"/>
        <w:rPr>
          <w:color w:val="auto"/>
        </w:rPr>
      </w:pPr>
      <w:r>
        <w:rPr>
          <w:color w:val="auto"/>
        </w:rPr>
        <w:t>E</w:t>
      </w:r>
      <w:r w:rsidR="008214E6">
        <w:rPr>
          <w:color w:val="auto"/>
        </w:rPr>
        <w:t>l no aumento de la tasa de interés inicialmente pactada</w:t>
      </w:r>
    </w:p>
    <w:p w14:paraId="579FD900" w14:textId="77777777" w:rsidR="00AF5FBE" w:rsidRDefault="00AF5FBE" w:rsidP="00AF5FBE">
      <w:pPr>
        <w:pStyle w:val="Prrafodelista"/>
      </w:pPr>
    </w:p>
    <w:p w14:paraId="5BE12385" w14:textId="1C5B30C8" w:rsidR="00B324F6" w:rsidRDefault="00C31E68" w:rsidP="00AF5FBE">
      <w:pPr>
        <w:pStyle w:val="Default"/>
        <w:numPr>
          <w:ilvl w:val="0"/>
          <w:numId w:val="37"/>
        </w:numPr>
        <w:jc w:val="both"/>
        <w:rPr>
          <w:color w:val="auto"/>
        </w:rPr>
      </w:pPr>
      <w:r>
        <w:rPr>
          <w:color w:val="auto"/>
        </w:rPr>
        <w:t>Así</w:t>
      </w:r>
      <w:r w:rsidR="008214E6">
        <w:rPr>
          <w:color w:val="auto"/>
        </w:rPr>
        <w:t xml:space="preserve"> mismo</w:t>
      </w:r>
      <w:r w:rsidR="00F973F4">
        <w:rPr>
          <w:color w:val="auto"/>
        </w:rPr>
        <w:t>,</w:t>
      </w:r>
      <w:r w:rsidR="008214E6">
        <w:rPr>
          <w:color w:val="auto"/>
        </w:rPr>
        <w:t xml:space="preserve"> podrán aplicarse nuevos per</w:t>
      </w:r>
      <w:r w:rsidR="00880E68">
        <w:rPr>
          <w:color w:val="auto"/>
        </w:rPr>
        <w:t>í</w:t>
      </w:r>
      <w:r w:rsidR="008214E6">
        <w:rPr>
          <w:color w:val="auto"/>
        </w:rPr>
        <w:t xml:space="preserve">odos de </w:t>
      </w:r>
      <w:r w:rsidR="00B8790A">
        <w:rPr>
          <w:color w:val="auto"/>
        </w:rPr>
        <w:t>gracia</w:t>
      </w:r>
      <w:r w:rsidR="008214E6">
        <w:rPr>
          <w:color w:val="auto"/>
        </w:rPr>
        <w:t xml:space="preserve"> de acuerdo con el análisis que realice la entidad en cada caso</w:t>
      </w:r>
      <w:r w:rsidR="00B324F6" w:rsidRPr="00B94BBE">
        <w:rPr>
          <w:color w:val="auto"/>
        </w:rPr>
        <w:t>.</w:t>
      </w:r>
    </w:p>
    <w:p w14:paraId="671C9F5F" w14:textId="77777777" w:rsidR="00F973F4" w:rsidRDefault="00F973F4" w:rsidP="00F973F4">
      <w:pPr>
        <w:pStyle w:val="Default"/>
        <w:jc w:val="both"/>
        <w:rPr>
          <w:color w:val="auto"/>
        </w:rPr>
      </w:pPr>
    </w:p>
    <w:p w14:paraId="501AFB98" w14:textId="77777777" w:rsidR="002F1329" w:rsidRDefault="002F1329" w:rsidP="00F973F4">
      <w:pPr>
        <w:pStyle w:val="Default"/>
        <w:jc w:val="both"/>
        <w:rPr>
          <w:color w:val="auto"/>
        </w:rPr>
      </w:pPr>
    </w:p>
    <w:p w14:paraId="3632C844" w14:textId="3AD8B48A" w:rsidR="00FB1A68" w:rsidRPr="00BE3C11" w:rsidRDefault="00545BAD" w:rsidP="00BE3C11">
      <w:pPr>
        <w:pStyle w:val="Default"/>
        <w:numPr>
          <w:ilvl w:val="0"/>
          <w:numId w:val="32"/>
        </w:numPr>
        <w:jc w:val="both"/>
        <w:rPr>
          <w:b/>
          <w:color w:val="auto"/>
        </w:rPr>
      </w:pPr>
      <w:r>
        <w:rPr>
          <w:b/>
          <w:color w:val="auto"/>
        </w:rPr>
        <w:t>¿</w:t>
      </w:r>
      <w:r w:rsidR="00FB1A68" w:rsidRPr="00BE3C11">
        <w:rPr>
          <w:b/>
          <w:color w:val="auto"/>
        </w:rPr>
        <w:t xml:space="preserve">La reducción de </w:t>
      </w:r>
      <w:r w:rsidR="007A0985">
        <w:rPr>
          <w:b/>
          <w:color w:val="auto"/>
        </w:rPr>
        <w:t xml:space="preserve">la </w:t>
      </w:r>
      <w:r w:rsidR="00FB1A68" w:rsidRPr="00BE3C11">
        <w:rPr>
          <w:b/>
          <w:color w:val="auto"/>
        </w:rPr>
        <w:t xml:space="preserve">cuota implica una disminución </w:t>
      </w:r>
      <w:r w:rsidR="007A0985">
        <w:rPr>
          <w:b/>
          <w:color w:val="auto"/>
        </w:rPr>
        <w:t>en</w:t>
      </w:r>
      <w:r w:rsidR="00FB1A68" w:rsidRPr="00BE3C11">
        <w:rPr>
          <w:b/>
          <w:color w:val="auto"/>
        </w:rPr>
        <w:t xml:space="preserve"> la tasa de </w:t>
      </w:r>
      <w:r w:rsidR="00FB1A68" w:rsidRPr="00FB1A68">
        <w:rPr>
          <w:b/>
          <w:color w:val="auto"/>
        </w:rPr>
        <w:t>interés</w:t>
      </w:r>
      <w:r w:rsidR="00FB1A68" w:rsidRPr="00BE3C11">
        <w:rPr>
          <w:b/>
          <w:color w:val="auto"/>
        </w:rPr>
        <w:t>?</w:t>
      </w:r>
    </w:p>
    <w:p w14:paraId="5539AE92" w14:textId="77777777" w:rsidR="00B324F6" w:rsidRDefault="00B324F6" w:rsidP="00B324F6">
      <w:pPr>
        <w:pStyle w:val="Default"/>
        <w:jc w:val="both"/>
        <w:rPr>
          <w:color w:val="auto"/>
        </w:rPr>
      </w:pPr>
    </w:p>
    <w:p w14:paraId="20EAF706" w14:textId="17E9C8A4" w:rsidR="00FB1A68" w:rsidRDefault="00607F85" w:rsidP="00B324F6">
      <w:pPr>
        <w:pStyle w:val="Default"/>
        <w:jc w:val="both"/>
        <w:rPr>
          <w:color w:val="auto"/>
        </w:rPr>
      </w:pPr>
      <w:r>
        <w:rPr>
          <w:color w:val="auto"/>
        </w:rPr>
        <w:t>No</w:t>
      </w:r>
      <w:r w:rsidR="00545BAD">
        <w:rPr>
          <w:color w:val="auto"/>
        </w:rPr>
        <w:t>. E</w:t>
      </w:r>
      <w:r>
        <w:rPr>
          <w:color w:val="auto"/>
        </w:rPr>
        <w:t xml:space="preserve">n los casos </w:t>
      </w:r>
      <w:r w:rsidR="00545BAD">
        <w:rPr>
          <w:color w:val="auto"/>
        </w:rPr>
        <w:t xml:space="preserve">en los </w:t>
      </w:r>
      <w:r>
        <w:rPr>
          <w:color w:val="auto"/>
        </w:rPr>
        <w:t>que aplique una redefinición de su crédito</w:t>
      </w:r>
      <w:r w:rsidR="007A0985">
        <w:rPr>
          <w:color w:val="auto"/>
        </w:rPr>
        <w:t xml:space="preserve"> por parte del establecimiento de crédito</w:t>
      </w:r>
      <w:r w:rsidR="00545BAD">
        <w:rPr>
          <w:color w:val="auto"/>
        </w:rPr>
        <w:t>,</w:t>
      </w:r>
      <w:r>
        <w:rPr>
          <w:color w:val="auto"/>
        </w:rPr>
        <w:t xml:space="preserve"> </w:t>
      </w:r>
      <w:r w:rsidR="007A0985" w:rsidRPr="007A0985">
        <w:rPr>
          <w:color w:val="auto"/>
        </w:rPr>
        <w:t xml:space="preserve">el Programa de Acompañamiento a Deudores – PAD creado por la SFC </w:t>
      </w:r>
      <w:r>
        <w:rPr>
          <w:color w:val="auto"/>
        </w:rPr>
        <w:t>incorpora como beneficio el no aumento de la tasa de interés.</w:t>
      </w:r>
    </w:p>
    <w:p w14:paraId="71136ECD" w14:textId="77777777" w:rsidR="00FB1A68" w:rsidRDefault="00FB1A68" w:rsidP="00B324F6">
      <w:pPr>
        <w:pStyle w:val="Default"/>
        <w:jc w:val="both"/>
        <w:rPr>
          <w:color w:val="auto"/>
        </w:rPr>
      </w:pPr>
    </w:p>
    <w:p w14:paraId="118EB592" w14:textId="77777777" w:rsidR="00607F85" w:rsidRDefault="00607F85" w:rsidP="00B324F6">
      <w:pPr>
        <w:pStyle w:val="Default"/>
        <w:jc w:val="both"/>
        <w:rPr>
          <w:color w:val="auto"/>
        </w:rPr>
      </w:pPr>
    </w:p>
    <w:p w14:paraId="2AD868B3" w14:textId="3BF3D507" w:rsidR="00B324F6" w:rsidRPr="00E825A9" w:rsidRDefault="00B324F6" w:rsidP="00355816">
      <w:pPr>
        <w:pStyle w:val="Default"/>
        <w:numPr>
          <w:ilvl w:val="0"/>
          <w:numId w:val="32"/>
        </w:numPr>
        <w:jc w:val="both"/>
        <w:rPr>
          <w:b/>
          <w:color w:val="auto"/>
        </w:rPr>
      </w:pPr>
      <w:r w:rsidRPr="00E825A9">
        <w:rPr>
          <w:b/>
          <w:color w:val="auto"/>
        </w:rPr>
        <w:t>¿</w:t>
      </w:r>
      <w:r w:rsidR="000D5669">
        <w:rPr>
          <w:b/>
          <w:color w:val="auto"/>
        </w:rPr>
        <w:t xml:space="preserve">A qué modalidades de crédito </w:t>
      </w:r>
      <w:r w:rsidR="00492147">
        <w:rPr>
          <w:b/>
          <w:color w:val="auto"/>
        </w:rPr>
        <w:t xml:space="preserve">se </w:t>
      </w:r>
      <w:r w:rsidR="000D5669">
        <w:rPr>
          <w:b/>
          <w:color w:val="auto"/>
        </w:rPr>
        <w:t xml:space="preserve">les </w:t>
      </w:r>
      <w:r w:rsidR="00492147">
        <w:rPr>
          <w:b/>
          <w:color w:val="auto"/>
        </w:rPr>
        <w:t xml:space="preserve">podrá </w:t>
      </w:r>
      <w:r w:rsidR="000D5669">
        <w:rPr>
          <w:b/>
          <w:color w:val="auto"/>
        </w:rPr>
        <w:t>aplica</w:t>
      </w:r>
      <w:r w:rsidR="00492147">
        <w:rPr>
          <w:b/>
          <w:color w:val="auto"/>
        </w:rPr>
        <w:t>r</w:t>
      </w:r>
      <w:r w:rsidR="000D5669">
        <w:rPr>
          <w:b/>
          <w:color w:val="auto"/>
        </w:rPr>
        <w:t xml:space="preserve"> </w:t>
      </w:r>
      <w:r w:rsidR="00492147" w:rsidRPr="00492147">
        <w:rPr>
          <w:b/>
          <w:color w:val="auto"/>
        </w:rPr>
        <w:t>el Programa de Acompañamiento a Deudores – PAD</w:t>
      </w:r>
      <w:r w:rsidRPr="00E825A9">
        <w:rPr>
          <w:b/>
          <w:color w:val="auto"/>
        </w:rPr>
        <w:t>?</w:t>
      </w:r>
    </w:p>
    <w:p w14:paraId="4B355984" w14:textId="77777777" w:rsidR="00B324F6" w:rsidRDefault="00B324F6" w:rsidP="00B324F6">
      <w:pPr>
        <w:pStyle w:val="Default"/>
        <w:ind w:left="720"/>
        <w:jc w:val="both"/>
        <w:rPr>
          <w:color w:val="auto"/>
        </w:rPr>
      </w:pPr>
    </w:p>
    <w:p w14:paraId="58B80986" w14:textId="0D835CF6" w:rsidR="00B324F6" w:rsidRDefault="00545BAD" w:rsidP="00B324F6">
      <w:pPr>
        <w:pStyle w:val="Default"/>
        <w:jc w:val="both"/>
        <w:rPr>
          <w:color w:val="auto"/>
        </w:rPr>
      </w:pPr>
      <w:r>
        <w:rPr>
          <w:color w:val="auto"/>
        </w:rPr>
        <w:t xml:space="preserve">Las medidas adoptadas por la SFC aplican a </w:t>
      </w:r>
      <w:r w:rsidR="00B324F6">
        <w:rPr>
          <w:color w:val="auto"/>
        </w:rPr>
        <w:t>todas las</w:t>
      </w:r>
      <w:r w:rsidR="000D5669">
        <w:rPr>
          <w:color w:val="auto"/>
        </w:rPr>
        <w:t xml:space="preserve"> </w:t>
      </w:r>
      <w:r w:rsidR="00222A9F">
        <w:rPr>
          <w:color w:val="auto"/>
        </w:rPr>
        <w:t>carteras</w:t>
      </w:r>
      <w:r w:rsidR="000D5669">
        <w:rPr>
          <w:color w:val="auto"/>
        </w:rPr>
        <w:t xml:space="preserve"> de crédito</w:t>
      </w:r>
      <w:r w:rsidR="00B324F6">
        <w:rPr>
          <w:color w:val="auto"/>
        </w:rPr>
        <w:t xml:space="preserve">, es decir, </w:t>
      </w:r>
      <w:r w:rsidR="007D53FA">
        <w:rPr>
          <w:color w:val="auto"/>
        </w:rPr>
        <w:t xml:space="preserve">comercial, </w:t>
      </w:r>
      <w:r w:rsidR="00B324F6">
        <w:rPr>
          <w:color w:val="auto"/>
        </w:rPr>
        <w:t>consumo, viviend</w:t>
      </w:r>
      <w:r w:rsidR="007549C2">
        <w:rPr>
          <w:color w:val="auto"/>
        </w:rPr>
        <w:t>a</w:t>
      </w:r>
      <w:r w:rsidR="00880E68">
        <w:rPr>
          <w:color w:val="auto"/>
        </w:rPr>
        <w:t xml:space="preserve"> y</w:t>
      </w:r>
      <w:r w:rsidR="007549C2">
        <w:rPr>
          <w:color w:val="auto"/>
        </w:rPr>
        <w:t xml:space="preserve"> microcrédito</w:t>
      </w:r>
      <w:r w:rsidR="007D53FA">
        <w:rPr>
          <w:color w:val="auto"/>
        </w:rPr>
        <w:t>, en los términos que cada</w:t>
      </w:r>
      <w:r>
        <w:rPr>
          <w:color w:val="auto"/>
        </w:rPr>
        <w:t xml:space="preserve"> establecimiento de crédito </w:t>
      </w:r>
      <w:r w:rsidR="007D53FA">
        <w:rPr>
          <w:color w:val="auto"/>
        </w:rPr>
        <w:t>establezca</w:t>
      </w:r>
      <w:r>
        <w:rPr>
          <w:color w:val="auto"/>
        </w:rPr>
        <w:t>.</w:t>
      </w:r>
    </w:p>
    <w:p w14:paraId="27523B17" w14:textId="77777777" w:rsidR="00B324F6" w:rsidRDefault="00B324F6" w:rsidP="00B324F6">
      <w:pPr>
        <w:pStyle w:val="Default"/>
        <w:jc w:val="both"/>
        <w:rPr>
          <w:b/>
          <w:color w:val="auto"/>
        </w:rPr>
      </w:pPr>
    </w:p>
    <w:p w14:paraId="18B199EE" w14:textId="77777777" w:rsidR="00F973F4" w:rsidRPr="00B94BBE" w:rsidRDefault="00F973F4" w:rsidP="00B324F6">
      <w:pPr>
        <w:pStyle w:val="Default"/>
        <w:jc w:val="both"/>
        <w:rPr>
          <w:b/>
          <w:color w:val="auto"/>
        </w:rPr>
      </w:pPr>
    </w:p>
    <w:p w14:paraId="706AF841" w14:textId="77777777" w:rsidR="00B324F6" w:rsidRPr="009F384D" w:rsidRDefault="00B324F6" w:rsidP="00355816">
      <w:pPr>
        <w:pStyle w:val="Prrafodelista"/>
        <w:numPr>
          <w:ilvl w:val="0"/>
          <w:numId w:val="32"/>
        </w:numPr>
        <w:spacing w:after="160" w:line="259" w:lineRule="auto"/>
        <w:contextualSpacing/>
        <w:jc w:val="both"/>
        <w:rPr>
          <w:rFonts w:ascii="Arial" w:hAnsi="Arial" w:cs="Arial"/>
          <w:b/>
          <w:sz w:val="24"/>
        </w:rPr>
      </w:pPr>
      <w:r w:rsidRPr="009F384D">
        <w:rPr>
          <w:rFonts w:ascii="Arial" w:hAnsi="Arial" w:cs="Arial"/>
          <w:b/>
          <w:sz w:val="24"/>
        </w:rPr>
        <w:t>¿Quiénes pueden acceder a</w:t>
      </w:r>
      <w:r w:rsidR="004648A2">
        <w:rPr>
          <w:rFonts w:ascii="Arial" w:hAnsi="Arial" w:cs="Arial"/>
          <w:b/>
          <w:sz w:val="24"/>
        </w:rPr>
        <w:t xml:space="preserve">l </w:t>
      </w:r>
      <w:r w:rsidR="002F4977" w:rsidRPr="002F4977">
        <w:rPr>
          <w:rFonts w:ascii="Arial" w:hAnsi="Arial" w:cs="Arial"/>
          <w:b/>
          <w:sz w:val="24"/>
        </w:rPr>
        <w:t xml:space="preserve">Programa de Acompañamiento a Deudores – PAD </w:t>
      </w:r>
      <w:r w:rsidRPr="009F384D">
        <w:rPr>
          <w:rFonts w:ascii="Arial" w:hAnsi="Arial" w:cs="Arial"/>
          <w:b/>
          <w:sz w:val="24"/>
        </w:rPr>
        <w:t xml:space="preserve">que </w:t>
      </w:r>
      <w:r w:rsidR="00F973F4">
        <w:rPr>
          <w:rFonts w:ascii="Arial" w:hAnsi="Arial" w:cs="Arial"/>
          <w:b/>
          <w:sz w:val="24"/>
        </w:rPr>
        <w:t>ofrecerán</w:t>
      </w:r>
      <w:r w:rsidRPr="009F384D">
        <w:rPr>
          <w:rFonts w:ascii="Arial" w:hAnsi="Arial" w:cs="Arial"/>
          <w:b/>
          <w:sz w:val="24"/>
        </w:rPr>
        <w:t xml:space="preserve"> los establecimientos de crédito?</w:t>
      </w:r>
    </w:p>
    <w:p w14:paraId="52C2C9AD" w14:textId="0DE76A84" w:rsidR="00B324F6" w:rsidRDefault="00F973F4" w:rsidP="00B324F6">
      <w:pPr>
        <w:pStyle w:val="Default"/>
        <w:jc w:val="both"/>
      </w:pPr>
      <w:r>
        <w:t xml:space="preserve">Podrán ser sujetos de aplicación del </w:t>
      </w:r>
      <w:r w:rsidR="00D22757">
        <w:t>PAD</w:t>
      </w:r>
      <w:r>
        <w:t xml:space="preserve"> l</w:t>
      </w:r>
      <w:r w:rsidR="00B8555C">
        <w:t>os deudores que</w:t>
      </w:r>
      <w:r>
        <w:t>,</w:t>
      </w:r>
      <w:r w:rsidR="00B8555C">
        <w:t xml:space="preserve"> de acuerdo con el análisis realizado por la entidad en función de la afectación total o parcial de los ingresos o de su capacidad de pago, tengan una expectativa de recuperación razonable y cumplan con las condiciones establecidas por cada </w:t>
      </w:r>
      <w:r>
        <w:t>establecimiento de crédito</w:t>
      </w:r>
      <w:r w:rsidR="00B8555C">
        <w:t xml:space="preserve"> en el marco del </w:t>
      </w:r>
      <w:r w:rsidR="005B7FD8">
        <w:t>P</w:t>
      </w:r>
      <w:r w:rsidR="00B8555C">
        <w:t xml:space="preserve">rograma. </w:t>
      </w:r>
    </w:p>
    <w:p w14:paraId="15BFD9A0" w14:textId="77777777" w:rsidR="00B324F6" w:rsidRDefault="00B324F6" w:rsidP="00B324F6">
      <w:pPr>
        <w:pStyle w:val="Default"/>
        <w:jc w:val="both"/>
        <w:rPr>
          <w:b/>
        </w:rPr>
      </w:pPr>
    </w:p>
    <w:p w14:paraId="7C0C988D" w14:textId="77777777" w:rsidR="00F973F4" w:rsidRDefault="00F973F4" w:rsidP="00B324F6">
      <w:pPr>
        <w:pStyle w:val="Default"/>
        <w:jc w:val="both"/>
        <w:rPr>
          <w:b/>
        </w:rPr>
      </w:pPr>
    </w:p>
    <w:p w14:paraId="0A4559BA" w14:textId="77777777" w:rsidR="00D26865" w:rsidRPr="00F05F60" w:rsidRDefault="00D26865" w:rsidP="00355816">
      <w:pPr>
        <w:pStyle w:val="Default"/>
        <w:numPr>
          <w:ilvl w:val="0"/>
          <w:numId w:val="32"/>
        </w:numPr>
        <w:jc w:val="both"/>
        <w:rPr>
          <w:b/>
          <w:bCs/>
          <w:lang w:val="es-ES"/>
        </w:rPr>
      </w:pPr>
      <w:r w:rsidRPr="00F05F60">
        <w:rPr>
          <w:b/>
          <w:bCs/>
          <w:lang w:val="es-ES"/>
        </w:rPr>
        <w:lastRenderedPageBreak/>
        <w:t>¿Los establecimientos de crédito podrán seguir otorgando períodos de gracia a los deudores?</w:t>
      </w:r>
    </w:p>
    <w:p w14:paraId="218FFBD4" w14:textId="77777777" w:rsidR="00D26865" w:rsidRDefault="00D26865" w:rsidP="00D26865">
      <w:pPr>
        <w:pStyle w:val="Default"/>
        <w:jc w:val="both"/>
        <w:rPr>
          <w:bCs/>
          <w:lang w:val="es-ES"/>
        </w:rPr>
      </w:pPr>
    </w:p>
    <w:p w14:paraId="2BBCC3E4" w14:textId="46808C4A" w:rsidR="00E554C4" w:rsidRDefault="00E554C4" w:rsidP="00D26865">
      <w:pPr>
        <w:pStyle w:val="Default"/>
        <w:jc w:val="both"/>
        <w:rPr>
          <w:lang w:val="es-ES"/>
        </w:rPr>
      </w:pPr>
      <w:r>
        <w:rPr>
          <w:lang w:val="es-ES"/>
        </w:rPr>
        <w:t>Las medidas que apliquen los establecimientos de crédito les permiten emplear la figura del per</w:t>
      </w:r>
      <w:r w:rsidR="00BC584B">
        <w:rPr>
          <w:lang w:val="es-ES"/>
        </w:rPr>
        <w:t>í</w:t>
      </w:r>
      <w:r>
        <w:rPr>
          <w:lang w:val="es-ES"/>
        </w:rPr>
        <w:t>odo de gracia y pr</w:t>
      </w:r>
      <w:r w:rsidR="00F973F4">
        <w:rPr>
          <w:lang w:val="es-ES"/>
        </w:rPr>
        <w:t>ó</w:t>
      </w:r>
      <w:r>
        <w:rPr>
          <w:lang w:val="es-ES"/>
        </w:rPr>
        <w:t>rrogas; sin emba</w:t>
      </w:r>
      <w:r w:rsidR="000320C4">
        <w:rPr>
          <w:lang w:val="es-ES"/>
        </w:rPr>
        <w:t>r</w:t>
      </w:r>
      <w:r>
        <w:rPr>
          <w:lang w:val="es-ES"/>
        </w:rPr>
        <w:t>go</w:t>
      </w:r>
      <w:r w:rsidR="00F973F4">
        <w:rPr>
          <w:lang w:val="es-ES"/>
        </w:rPr>
        <w:t>,</w:t>
      </w:r>
      <w:r>
        <w:rPr>
          <w:lang w:val="es-ES"/>
        </w:rPr>
        <w:t xml:space="preserve"> el uso de estos debe hacer parte de la </w:t>
      </w:r>
      <w:r w:rsidR="008A0266">
        <w:rPr>
          <w:lang w:val="es-ES"/>
        </w:rPr>
        <w:t>solución</w:t>
      </w:r>
      <w:r>
        <w:rPr>
          <w:lang w:val="es-ES"/>
        </w:rPr>
        <w:t xml:space="preserve"> </w:t>
      </w:r>
      <w:r w:rsidR="008A0266">
        <w:rPr>
          <w:lang w:val="es-ES"/>
        </w:rPr>
        <w:t>estructural</w:t>
      </w:r>
      <w:r>
        <w:rPr>
          <w:lang w:val="es-ES"/>
        </w:rPr>
        <w:t xml:space="preserve"> para el cliente.</w:t>
      </w:r>
    </w:p>
    <w:p w14:paraId="03B3CD6F" w14:textId="77777777" w:rsidR="00E554C4" w:rsidRDefault="00E554C4" w:rsidP="00D26865">
      <w:pPr>
        <w:pStyle w:val="Default"/>
        <w:jc w:val="both"/>
        <w:rPr>
          <w:lang w:val="es-ES"/>
        </w:rPr>
      </w:pPr>
    </w:p>
    <w:p w14:paraId="23DCD95E" w14:textId="302D6B86" w:rsidR="00D26865" w:rsidRDefault="00E554C4" w:rsidP="00D26865">
      <w:pPr>
        <w:pStyle w:val="Default"/>
        <w:jc w:val="both"/>
        <w:rPr>
          <w:lang w:val="es-ES"/>
        </w:rPr>
      </w:pPr>
      <w:r>
        <w:rPr>
          <w:lang w:val="es-ES"/>
        </w:rPr>
        <w:t>En todo caso, en los per</w:t>
      </w:r>
      <w:r w:rsidR="00BC584B">
        <w:rPr>
          <w:lang w:val="es-ES"/>
        </w:rPr>
        <w:t>í</w:t>
      </w:r>
      <w:r>
        <w:rPr>
          <w:lang w:val="es-ES"/>
        </w:rPr>
        <w:t>odos de gracia otorgados en el marco de</w:t>
      </w:r>
      <w:r w:rsidR="004202C3">
        <w:rPr>
          <w:lang w:val="es-ES"/>
        </w:rPr>
        <w:t>l</w:t>
      </w:r>
      <w:r w:rsidR="00BC584B">
        <w:rPr>
          <w:color w:val="auto"/>
        </w:rPr>
        <w:t xml:space="preserve"> </w:t>
      </w:r>
      <w:bookmarkStart w:id="0" w:name="_GoBack"/>
      <w:bookmarkEnd w:id="0"/>
      <w:r w:rsidR="00BC584B" w:rsidRPr="001719EF">
        <w:rPr>
          <w:color w:val="auto"/>
        </w:rPr>
        <w:t>Programa de Acompañamiento a Deudores – PAD</w:t>
      </w:r>
      <w:r w:rsidR="00BC584B" w:rsidRPr="00BC584B">
        <w:rPr>
          <w:b/>
          <w:bCs/>
          <w:color w:val="auto"/>
        </w:rPr>
        <w:t xml:space="preserve"> </w:t>
      </w:r>
      <w:r w:rsidR="00EB6EC6" w:rsidRPr="00EB6EC6">
        <w:rPr>
          <w:lang w:val="es-ES"/>
        </w:rPr>
        <w:t>n</w:t>
      </w:r>
      <w:r w:rsidR="00D26865" w:rsidRPr="00EB6EC6">
        <w:rPr>
          <w:bCs/>
          <w:lang w:val="es-ES"/>
        </w:rPr>
        <w:t>o se podrán cobrar intereses sobre intereses</w:t>
      </w:r>
      <w:r w:rsidR="00404E12">
        <w:rPr>
          <w:bCs/>
          <w:lang w:val="es-ES"/>
        </w:rPr>
        <w:t xml:space="preserve"> </w:t>
      </w:r>
      <w:r w:rsidR="00A81F15">
        <w:rPr>
          <w:bCs/>
          <w:lang w:val="es-ES"/>
        </w:rPr>
        <w:t xml:space="preserve">o cualquier sistema de pago que contemple la </w:t>
      </w:r>
      <w:r w:rsidR="00D26865" w:rsidRPr="00EB6EC6">
        <w:rPr>
          <w:bCs/>
          <w:lang w:val="es-ES"/>
        </w:rPr>
        <w:t>capitaliza</w:t>
      </w:r>
      <w:r w:rsidR="00A81F15">
        <w:rPr>
          <w:bCs/>
          <w:lang w:val="es-ES"/>
        </w:rPr>
        <w:t>ción</w:t>
      </w:r>
      <w:r w:rsidR="00D26865" w:rsidRPr="00EB6EC6">
        <w:rPr>
          <w:bCs/>
          <w:lang w:val="es-ES"/>
        </w:rPr>
        <w:t xml:space="preserve"> de intereses</w:t>
      </w:r>
      <w:r w:rsidR="00A81F15">
        <w:rPr>
          <w:bCs/>
          <w:lang w:val="es-ES"/>
        </w:rPr>
        <w:t xml:space="preserve">, ni </w:t>
      </w:r>
      <w:r>
        <w:rPr>
          <w:bCs/>
          <w:lang w:val="es-ES"/>
        </w:rPr>
        <w:t xml:space="preserve">se permite </w:t>
      </w:r>
      <w:r w:rsidR="00A81F15">
        <w:rPr>
          <w:bCs/>
          <w:lang w:val="es-ES"/>
        </w:rPr>
        <w:t xml:space="preserve">el </w:t>
      </w:r>
      <w:r w:rsidR="00D26865" w:rsidRPr="00EB6EC6">
        <w:rPr>
          <w:bCs/>
          <w:lang w:val="es-ES"/>
        </w:rPr>
        <w:t>cobr</w:t>
      </w:r>
      <w:r w:rsidR="00A81F15">
        <w:rPr>
          <w:bCs/>
          <w:lang w:val="es-ES"/>
        </w:rPr>
        <w:t>o de</w:t>
      </w:r>
      <w:r w:rsidR="00D26865" w:rsidRPr="00EB6EC6">
        <w:rPr>
          <w:bCs/>
          <w:lang w:val="es-ES"/>
        </w:rPr>
        <w:t xml:space="preserve"> intereses sobre otros conceptos como cuotas de manejo, comisiones y seguros que hayan sido objeto de diferimiento</w:t>
      </w:r>
      <w:r w:rsidR="00D26865" w:rsidRPr="00EB6EC6">
        <w:rPr>
          <w:lang w:val="es-ES"/>
        </w:rPr>
        <w:t>.</w:t>
      </w:r>
    </w:p>
    <w:p w14:paraId="6A8BADE8" w14:textId="77777777" w:rsidR="00F973F4" w:rsidRDefault="00F973F4" w:rsidP="00D26865">
      <w:pPr>
        <w:pStyle w:val="Default"/>
        <w:jc w:val="both"/>
        <w:rPr>
          <w:lang w:val="es-ES"/>
        </w:rPr>
      </w:pPr>
    </w:p>
    <w:p w14:paraId="0B9B976B" w14:textId="77777777" w:rsidR="00F973F4" w:rsidRPr="00EB6EC6" w:rsidRDefault="00F973F4" w:rsidP="00D26865">
      <w:pPr>
        <w:pStyle w:val="Default"/>
        <w:jc w:val="both"/>
        <w:rPr>
          <w:lang w:val="es-ES"/>
        </w:rPr>
      </w:pPr>
    </w:p>
    <w:p w14:paraId="6B0C9A31" w14:textId="77777777" w:rsidR="00D26865" w:rsidRDefault="00717CB9" w:rsidP="00355816">
      <w:pPr>
        <w:pStyle w:val="Default"/>
        <w:numPr>
          <w:ilvl w:val="0"/>
          <w:numId w:val="32"/>
        </w:numPr>
        <w:jc w:val="both"/>
        <w:rPr>
          <w:b/>
          <w:lang w:val="es-ES"/>
        </w:rPr>
      </w:pPr>
      <w:r>
        <w:rPr>
          <w:b/>
          <w:lang w:val="es-ES"/>
        </w:rPr>
        <w:t xml:space="preserve">Con estas instrucciones, </w:t>
      </w:r>
      <w:r w:rsidR="00D26865">
        <w:rPr>
          <w:b/>
          <w:lang w:val="es-ES"/>
        </w:rPr>
        <w:t>¿</w:t>
      </w:r>
      <w:r>
        <w:rPr>
          <w:b/>
          <w:lang w:val="es-ES"/>
        </w:rPr>
        <w:t>c</w:t>
      </w:r>
      <w:r w:rsidR="00032D57">
        <w:rPr>
          <w:b/>
          <w:lang w:val="es-ES"/>
        </w:rPr>
        <w:t xml:space="preserve">uál </w:t>
      </w:r>
      <w:r w:rsidR="00D26865">
        <w:rPr>
          <w:b/>
          <w:lang w:val="es-ES"/>
        </w:rPr>
        <w:t>será la calificación de riesgo</w:t>
      </w:r>
      <w:r>
        <w:rPr>
          <w:b/>
          <w:lang w:val="es-ES"/>
        </w:rPr>
        <w:t xml:space="preserve"> del deudor</w:t>
      </w:r>
      <w:r w:rsidR="00D26865">
        <w:rPr>
          <w:b/>
          <w:lang w:val="es-ES"/>
        </w:rPr>
        <w:t>?</w:t>
      </w:r>
    </w:p>
    <w:p w14:paraId="5D843E17" w14:textId="77777777" w:rsidR="00D26865" w:rsidRDefault="00D26865" w:rsidP="00D26865">
      <w:pPr>
        <w:pStyle w:val="Default"/>
        <w:jc w:val="both"/>
        <w:rPr>
          <w:b/>
          <w:lang w:val="es-ES"/>
        </w:rPr>
      </w:pPr>
    </w:p>
    <w:p w14:paraId="354ECE99" w14:textId="4EEC3543" w:rsidR="00D26865" w:rsidRDefault="00D26865" w:rsidP="00D26865">
      <w:pPr>
        <w:pStyle w:val="Default"/>
        <w:jc w:val="both"/>
        <w:rPr>
          <w:lang w:val="es-ES"/>
        </w:rPr>
      </w:pPr>
      <w:r w:rsidRPr="0036315D">
        <w:rPr>
          <w:lang w:val="es-ES"/>
        </w:rPr>
        <w:t>La calificación</w:t>
      </w:r>
      <w:r w:rsidR="005E1F5C">
        <w:rPr>
          <w:lang w:val="es-ES"/>
        </w:rPr>
        <w:t xml:space="preserve"> al momento de la</w:t>
      </w:r>
      <w:r w:rsidR="002C586A">
        <w:rPr>
          <w:lang w:val="es-ES"/>
        </w:rPr>
        <w:t xml:space="preserve"> aplicación d</w:t>
      </w:r>
      <w:r w:rsidR="002C586A" w:rsidRPr="002C586A">
        <w:rPr>
          <w:lang w:val="es-ES"/>
        </w:rPr>
        <w:t xml:space="preserve">el Programa de Acompañamiento a Deudores – PAD </w:t>
      </w:r>
      <w:r w:rsidR="00421D71">
        <w:rPr>
          <w:lang w:val="es-ES"/>
        </w:rPr>
        <w:t xml:space="preserve">podrá </w:t>
      </w:r>
      <w:r w:rsidR="005E1F5C">
        <w:rPr>
          <w:lang w:val="es-ES"/>
        </w:rPr>
        <w:t xml:space="preserve">corresponder a </w:t>
      </w:r>
      <w:r w:rsidR="00C31E68">
        <w:rPr>
          <w:lang w:val="es-ES"/>
        </w:rPr>
        <w:t>su</w:t>
      </w:r>
      <w:r w:rsidR="005E1F5C">
        <w:rPr>
          <w:lang w:val="es-ES"/>
        </w:rPr>
        <w:t xml:space="preserve"> última calificación. Sin embargo, ésta </w:t>
      </w:r>
      <w:r>
        <w:rPr>
          <w:lang w:val="es-ES"/>
        </w:rPr>
        <w:t xml:space="preserve">deberá </w:t>
      </w:r>
      <w:r w:rsidRPr="0036315D">
        <w:rPr>
          <w:lang w:val="es-ES"/>
        </w:rPr>
        <w:t>ser</w:t>
      </w:r>
      <w:r w:rsidR="005E1F5C">
        <w:rPr>
          <w:lang w:val="es-ES"/>
        </w:rPr>
        <w:t xml:space="preserve"> </w:t>
      </w:r>
      <w:r w:rsidRPr="0036315D">
        <w:rPr>
          <w:lang w:val="es-ES"/>
        </w:rPr>
        <w:t xml:space="preserve">revisada y actualizada a partir del proceso de calificación </w:t>
      </w:r>
      <w:r w:rsidR="005E1F5C">
        <w:rPr>
          <w:lang w:val="es-ES"/>
        </w:rPr>
        <w:t>que se tenga en</w:t>
      </w:r>
      <w:r w:rsidRPr="0036315D">
        <w:rPr>
          <w:lang w:val="es-ES"/>
        </w:rPr>
        <w:t xml:space="preserve"> noviembre</w:t>
      </w:r>
      <w:r w:rsidR="00421D71">
        <w:rPr>
          <w:lang w:val="es-ES"/>
        </w:rPr>
        <w:t xml:space="preserve"> </w:t>
      </w:r>
      <w:r w:rsidR="009E38CB">
        <w:rPr>
          <w:lang w:val="es-ES"/>
        </w:rPr>
        <w:t xml:space="preserve">de 2020 </w:t>
      </w:r>
      <w:r w:rsidR="00421D71">
        <w:rPr>
          <w:lang w:val="es-ES"/>
        </w:rPr>
        <w:t>y en adelante corresponderá a aquella que se defina en el análisis de riesgo de las entidades de acuerdo con las normas vigentes</w:t>
      </w:r>
      <w:r w:rsidRPr="0036315D">
        <w:rPr>
          <w:lang w:val="es-ES"/>
        </w:rPr>
        <w:t>.</w:t>
      </w:r>
    </w:p>
    <w:p w14:paraId="2B58A00C" w14:textId="77777777" w:rsidR="00D26865" w:rsidRDefault="00D26865" w:rsidP="00D26865">
      <w:pPr>
        <w:pStyle w:val="Default"/>
        <w:jc w:val="both"/>
        <w:rPr>
          <w:lang w:val="es-ES"/>
        </w:rPr>
      </w:pPr>
    </w:p>
    <w:p w14:paraId="0200A562" w14:textId="77777777" w:rsidR="00A31FD8" w:rsidRDefault="00A31FD8" w:rsidP="00D26865">
      <w:pPr>
        <w:pStyle w:val="Default"/>
        <w:jc w:val="both"/>
        <w:rPr>
          <w:lang w:val="es-ES"/>
        </w:rPr>
      </w:pPr>
    </w:p>
    <w:p w14:paraId="6DD55CD7" w14:textId="26654B6D" w:rsidR="004649DF" w:rsidRDefault="002C586A" w:rsidP="00355816">
      <w:pPr>
        <w:pStyle w:val="Default"/>
        <w:numPr>
          <w:ilvl w:val="0"/>
          <w:numId w:val="32"/>
        </w:numPr>
        <w:jc w:val="both"/>
        <w:rPr>
          <w:b/>
          <w:lang w:val="es-ES"/>
        </w:rPr>
      </w:pPr>
      <w:r>
        <w:rPr>
          <w:b/>
          <w:lang w:val="es-ES"/>
        </w:rPr>
        <w:t xml:space="preserve"> </w:t>
      </w:r>
      <w:r w:rsidR="00D26865">
        <w:rPr>
          <w:b/>
          <w:lang w:val="es-ES"/>
        </w:rPr>
        <w:t xml:space="preserve">¿Cómo pueden </w:t>
      </w:r>
      <w:r w:rsidR="004649DF">
        <w:rPr>
          <w:b/>
          <w:lang w:val="es-ES"/>
        </w:rPr>
        <w:t xml:space="preserve">saber los deudores si a su crédito le aplica </w:t>
      </w:r>
      <w:r w:rsidRPr="002C586A">
        <w:rPr>
          <w:b/>
          <w:lang w:val="es-ES"/>
        </w:rPr>
        <w:t>el Programa de Acompañamiento a Deudores – PAD</w:t>
      </w:r>
      <w:r w:rsidR="004649DF">
        <w:rPr>
          <w:b/>
          <w:lang w:val="es-ES"/>
        </w:rPr>
        <w:t>?</w:t>
      </w:r>
    </w:p>
    <w:p w14:paraId="2D57A5CF" w14:textId="77777777" w:rsidR="00D26865" w:rsidRDefault="004649DF" w:rsidP="004649DF">
      <w:pPr>
        <w:pStyle w:val="Default"/>
        <w:ind w:left="720"/>
        <w:jc w:val="both"/>
        <w:rPr>
          <w:b/>
          <w:lang w:val="es-ES"/>
        </w:rPr>
      </w:pPr>
      <w:r>
        <w:rPr>
          <w:b/>
          <w:lang w:val="es-ES"/>
        </w:rPr>
        <w:t xml:space="preserve"> </w:t>
      </w:r>
    </w:p>
    <w:p w14:paraId="1680D0CA" w14:textId="1E4D2D99" w:rsidR="00D26865" w:rsidRDefault="00D26865" w:rsidP="00D26865">
      <w:pPr>
        <w:pStyle w:val="Default"/>
        <w:jc w:val="both"/>
        <w:rPr>
          <w:lang w:val="es-ES"/>
        </w:rPr>
      </w:pPr>
      <w:r w:rsidRPr="0036315D">
        <w:rPr>
          <w:lang w:val="es-ES"/>
        </w:rPr>
        <w:t xml:space="preserve">Para aplicar </w:t>
      </w:r>
      <w:r w:rsidR="002C586A" w:rsidRPr="002C586A">
        <w:rPr>
          <w:lang w:val="es-ES"/>
        </w:rPr>
        <w:t>el Programa de Acompañamiento a Deudores – PAD creado por la SFC</w:t>
      </w:r>
      <w:r w:rsidRPr="0036315D">
        <w:rPr>
          <w:lang w:val="es-ES"/>
        </w:rPr>
        <w:t xml:space="preserve">, </w:t>
      </w:r>
      <w:r w:rsidR="002C586A">
        <w:rPr>
          <w:lang w:val="es-ES"/>
        </w:rPr>
        <w:t xml:space="preserve">los establecimientos de crédito </w:t>
      </w:r>
      <w:r w:rsidRPr="0036315D">
        <w:rPr>
          <w:lang w:val="es-ES"/>
        </w:rPr>
        <w:t>deben contactar a los clientes</w:t>
      </w:r>
      <w:r>
        <w:rPr>
          <w:lang w:val="es-ES"/>
        </w:rPr>
        <w:t xml:space="preserve"> </w:t>
      </w:r>
      <w:r w:rsidRPr="0036315D">
        <w:rPr>
          <w:lang w:val="es-ES"/>
        </w:rPr>
        <w:t>directa</w:t>
      </w:r>
      <w:r>
        <w:rPr>
          <w:lang w:val="es-ES"/>
        </w:rPr>
        <w:t>mente</w:t>
      </w:r>
      <w:r w:rsidRPr="0036315D">
        <w:rPr>
          <w:lang w:val="es-ES"/>
        </w:rPr>
        <w:t xml:space="preserve"> y/o establecer una estrategia de autogestión en la cual, de forma </w:t>
      </w:r>
      <w:r w:rsidR="002C586A">
        <w:rPr>
          <w:lang w:val="es-ES"/>
        </w:rPr>
        <w:t xml:space="preserve">sencilla, </w:t>
      </w:r>
      <w:r w:rsidRPr="0036315D">
        <w:rPr>
          <w:lang w:val="es-ES"/>
        </w:rPr>
        <w:t>se le presenten al deudor las nuevas condiciones de su crédito para su aceptación</w:t>
      </w:r>
      <w:r w:rsidR="004649DF">
        <w:rPr>
          <w:lang w:val="es-ES"/>
        </w:rPr>
        <w:t xml:space="preserve"> o rechazo. </w:t>
      </w:r>
      <w:r w:rsidR="00C3737E" w:rsidRPr="002C586A">
        <w:rPr>
          <w:lang w:val="es-ES"/>
        </w:rPr>
        <w:t>Es importante además que el deudor reali</w:t>
      </w:r>
      <w:r w:rsidR="002C586A" w:rsidRPr="002C586A">
        <w:rPr>
          <w:lang w:val="es-ES"/>
        </w:rPr>
        <w:t>ce</w:t>
      </w:r>
      <w:r w:rsidR="00C3737E" w:rsidRPr="002C586A">
        <w:rPr>
          <w:lang w:val="es-ES"/>
        </w:rPr>
        <w:t xml:space="preserve"> previamente un análisis de su situación individual y de sus obligaciones para </w:t>
      </w:r>
      <w:r w:rsidR="002C586A" w:rsidRPr="002C586A">
        <w:rPr>
          <w:lang w:val="es-ES"/>
        </w:rPr>
        <w:t>tener un panorama más claro en el momento en que estudie la posibilidad de acogerse al programa ofrecido por la entidad</w:t>
      </w:r>
      <w:r w:rsidR="00BE3CAF" w:rsidRPr="002C586A">
        <w:rPr>
          <w:lang w:val="es-ES"/>
        </w:rPr>
        <w:t>.</w:t>
      </w:r>
    </w:p>
    <w:p w14:paraId="66D6A002" w14:textId="77777777" w:rsidR="00D22290" w:rsidRDefault="00D22290" w:rsidP="00D26865">
      <w:pPr>
        <w:pStyle w:val="Default"/>
        <w:jc w:val="both"/>
        <w:rPr>
          <w:lang w:val="es-ES"/>
        </w:rPr>
      </w:pPr>
    </w:p>
    <w:p w14:paraId="6E977F58" w14:textId="77777777" w:rsidR="00D22290" w:rsidRPr="00B577F5" w:rsidRDefault="00CB6FBC" w:rsidP="00355816">
      <w:pPr>
        <w:pStyle w:val="Default"/>
        <w:numPr>
          <w:ilvl w:val="0"/>
          <w:numId w:val="32"/>
        </w:numPr>
        <w:jc w:val="both"/>
        <w:rPr>
          <w:b/>
          <w:lang w:val="es-ES"/>
        </w:rPr>
      </w:pPr>
      <w:r>
        <w:rPr>
          <w:b/>
          <w:lang w:val="es-ES"/>
        </w:rPr>
        <w:t xml:space="preserve"> </w:t>
      </w:r>
      <w:r w:rsidR="00D22290" w:rsidRPr="00B577F5">
        <w:rPr>
          <w:b/>
          <w:lang w:val="es-ES"/>
        </w:rPr>
        <w:t>¿</w:t>
      </w:r>
      <w:r w:rsidR="00B577F5" w:rsidRPr="00B577F5">
        <w:rPr>
          <w:b/>
          <w:lang w:val="es-ES"/>
        </w:rPr>
        <w:t xml:space="preserve">El tratamiento para las </w:t>
      </w:r>
      <w:r w:rsidR="00717CB9">
        <w:rPr>
          <w:b/>
          <w:lang w:val="es-ES"/>
        </w:rPr>
        <w:t>empresas</w:t>
      </w:r>
      <w:r w:rsidR="00B577F5" w:rsidRPr="00B577F5">
        <w:rPr>
          <w:b/>
        </w:rPr>
        <w:t xml:space="preserve"> es el mismo que para las personas naturales? </w:t>
      </w:r>
    </w:p>
    <w:p w14:paraId="44FD54E5" w14:textId="77777777" w:rsidR="0082412F" w:rsidRDefault="0082412F" w:rsidP="00D22290">
      <w:pPr>
        <w:pStyle w:val="Default"/>
        <w:jc w:val="both"/>
        <w:rPr>
          <w:lang w:val="es-ES"/>
        </w:rPr>
      </w:pPr>
    </w:p>
    <w:p w14:paraId="45AEADD5" w14:textId="11DB18C8" w:rsidR="00D22290" w:rsidRDefault="002B4E1F" w:rsidP="00D22290">
      <w:pPr>
        <w:pStyle w:val="Default"/>
        <w:jc w:val="both"/>
        <w:rPr>
          <w:lang w:val="es-ES"/>
        </w:rPr>
      </w:pPr>
      <w:r>
        <w:rPr>
          <w:lang w:val="es-ES"/>
        </w:rPr>
        <w:t>L</w:t>
      </w:r>
      <w:r w:rsidR="00717CB9">
        <w:rPr>
          <w:lang w:val="es-ES"/>
        </w:rPr>
        <w:t>os establecimientos de crédito</w:t>
      </w:r>
      <w:r>
        <w:rPr>
          <w:lang w:val="es-ES"/>
        </w:rPr>
        <w:t xml:space="preserve"> definirán el tratamiento de cada portafolio</w:t>
      </w:r>
      <w:r w:rsidR="00717CB9">
        <w:rPr>
          <w:lang w:val="es-ES"/>
        </w:rPr>
        <w:t>. S</w:t>
      </w:r>
      <w:r>
        <w:rPr>
          <w:lang w:val="es-ES"/>
        </w:rPr>
        <w:t>in embargo</w:t>
      </w:r>
      <w:r w:rsidR="00717CB9">
        <w:rPr>
          <w:lang w:val="es-ES"/>
        </w:rPr>
        <w:t>,</w:t>
      </w:r>
      <w:r>
        <w:rPr>
          <w:lang w:val="es-ES"/>
        </w:rPr>
        <w:t xml:space="preserve"> a</w:t>
      </w:r>
      <w:r w:rsidR="00A77041">
        <w:rPr>
          <w:lang w:val="es-ES"/>
        </w:rPr>
        <w:t xml:space="preserve">tendiendo la naturaleza de algunos tipos de obligaciones, </w:t>
      </w:r>
      <w:r>
        <w:rPr>
          <w:lang w:val="es-ES"/>
        </w:rPr>
        <w:t xml:space="preserve">se permite </w:t>
      </w:r>
      <w:r w:rsidR="00A77041">
        <w:rPr>
          <w:lang w:val="es-ES"/>
        </w:rPr>
        <w:t xml:space="preserve">para </w:t>
      </w:r>
      <w:r w:rsidR="00D22290">
        <w:rPr>
          <w:lang w:val="es-ES"/>
        </w:rPr>
        <w:t xml:space="preserve">los créditos comerciales de medianas y grandes empresas, </w:t>
      </w:r>
      <w:r>
        <w:rPr>
          <w:lang w:val="es-ES"/>
        </w:rPr>
        <w:t xml:space="preserve">que </w:t>
      </w:r>
      <w:r w:rsidR="00D22290">
        <w:rPr>
          <w:lang w:val="es-ES"/>
        </w:rPr>
        <w:t xml:space="preserve">las características y resultado de la redefinición </w:t>
      </w:r>
      <w:r>
        <w:rPr>
          <w:lang w:val="es-ES"/>
        </w:rPr>
        <w:t>atienda</w:t>
      </w:r>
      <w:r w:rsidR="002C586A">
        <w:rPr>
          <w:lang w:val="es-ES"/>
        </w:rPr>
        <w:t>n</w:t>
      </w:r>
      <w:r>
        <w:rPr>
          <w:lang w:val="es-ES"/>
        </w:rPr>
        <w:t xml:space="preserve"> </w:t>
      </w:r>
      <w:r w:rsidR="00D22290">
        <w:rPr>
          <w:lang w:val="es-ES"/>
        </w:rPr>
        <w:t xml:space="preserve">los acuerdos entre las partes. </w:t>
      </w:r>
    </w:p>
    <w:p w14:paraId="5DC643E7" w14:textId="77777777" w:rsidR="00D26865" w:rsidRDefault="00D26865" w:rsidP="00D26865">
      <w:pPr>
        <w:pStyle w:val="Default"/>
        <w:jc w:val="both"/>
        <w:rPr>
          <w:lang w:val="es-ES"/>
        </w:rPr>
      </w:pPr>
    </w:p>
    <w:p w14:paraId="1A27E384" w14:textId="0AC84CD1" w:rsidR="00D26865" w:rsidRDefault="00CB6FBC" w:rsidP="00355816">
      <w:pPr>
        <w:pStyle w:val="Default"/>
        <w:numPr>
          <w:ilvl w:val="0"/>
          <w:numId w:val="32"/>
        </w:numPr>
        <w:jc w:val="both"/>
        <w:rPr>
          <w:b/>
          <w:lang w:val="es-ES"/>
        </w:rPr>
      </w:pPr>
      <w:r>
        <w:rPr>
          <w:b/>
          <w:lang w:val="es-ES"/>
        </w:rPr>
        <w:t xml:space="preserve"> </w:t>
      </w:r>
      <w:r w:rsidR="00D26865">
        <w:rPr>
          <w:b/>
          <w:lang w:val="es-ES"/>
        </w:rPr>
        <w:t>¿Qué información deben entregar los establecimientos de crédito a los consumidores financieros</w:t>
      </w:r>
      <w:r w:rsidR="002C586A">
        <w:rPr>
          <w:b/>
          <w:lang w:val="es-ES"/>
        </w:rPr>
        <w:t xml:space="preserve"> en el marco del </w:t>
      </w:r>
      <w:r w:rsidR="002C586A" w:rsidRPr="002C586A">
        <w:rPr>
          <w:b/>
          <w:lang w:val="es-ES"/>
        </w:rPr>
        <w:t>Programa de Acompañamiento a Deudores – PAD</w:t>
      </w:r>
      <w:r w:rsidR="00D26865">
        <w:rPr>
          <w:b/>
          <w:lang w:val="es-ES"/>
        </w:rPr>
        <w:t>?</w:t>
      </w:r>
    </w:p>
    <w:p w14:paraId="074FF654" w14:textId="77777777" w:rsidR="00D26865" w:rsidRDefault="00D26865" w:rsidP="00D26865">
      <w:pPr>
        <w:pStyle w:val="Default"/>
        <w:ind w:left="720"/>
        <w:jc w:val="both"/>
        <w:rPr>
          <w:b/>
          <w:lang w:val="es-ES"/>
        </w:rPr>
      </w:pPr>
    </w:p>
    <w:p w14:paraId="21A9B0E9" w14:textId="77777777" w:rsidR="00D26865" w:rsidRDefault="00D26865" w:rsidP="00D26865">
      <w:pPr>
        <w:pStyle w:val="Default"/>
        <w:jc w:val="both"/>
      </w:pPr>
      <w:r>
        <w:t>Los consumidores financieros deberán conocer como mínimo:</w:t>
      </w:r>
    </w:p>
    <w:p w14:paraId="05F49D8F" w14:textId="77777777" w:rsidR="00D26865" w:rsidRDefault="00D26865" w:rsidP="00D26865">
      <w:pPr>
        <w:pStyle w:val="Default"/>
        <w:jc w:val="both"/>
      </w:pPr>
    </w:p>
    <w:p w14:paraId="144D324C" w14:textId="1E2AF4EB" w:rsidR="00D26865" w:rsidRDefault="00D26865" w:rsidP="00D26865">
      <w:pPr>
        <w:pStyle w:val="Default"/>
        <w:numPr>
          <w:ilvl w:val="0"/>
          <w:numId w:val="24"/>
        </w:numPr>
        <w:jc w:val="both"/>
      </w:pPr>
      <w:r>
        <w:t>Las alternativas disponibles para el manejo de las obligaciones en las que se brinde información sobre la cuota mensual, tasa y plazo.</w:t>
      </w:r>
    </w:p>
    <w:p w14:paraId="708F3BB0" w14:textId="77777777" w:rsidR="00D26865" w:rsidRDefault="00D26865" w:rsidP="00D26865">
      <w:pPr>
        <w:pStyle w:val="Default"/>
        <w:jc w:val="both"/>
      </w:pPr>
    </w:p>
    <w:p w14:paraId="41F1C3FA" w14:textId="77777777" w:rsidR="00D26865" w:rsidRDefault="00D26865" w:rsidP="00D26865">
      <w:pPr>
        <w:pStyle w:val="Default"/>
        <w:numPr>
          <w:ilvl w:val="0"/>
          <w:numId w:val="24"/>
        </w:numPr>
        <w:jc w:val="both"/>
      </w:pPr>
      <w:r>
        <w:t>Información clara sobre las nuevas condiciones de sus créditos.</w:t>
      </w:r>
    </w:p>
    <w:p w14:paraId="72F81D2B" w14:textId="77777777" w:rsidR="00D26865" w:rsidRDefault="00D26865" w:rsidP="00D26865">
      <w:pPr>
        <w:pStyle w:val="Default"/>
        <w:jc w:val="both"/>
      </w:pPr>
    </w:p>
    <w:p w14:paraId="65888D05" w14:textId="77777777" w:rsidR="00D26865" w:rsidRDefault="00D26865" w:rsidP="00D26865">
      <w:pPr>
        <w:pStyle w:val="Prrafodelista"/>
      </w:pPr>
    </w:p>
    <w:p w14:paraId="3318BACB" w14:textId="77777777" w:rsidR="00C47996" w:rsidRDefault="00CB6FBC" w:rsidP="00355816">
      <w:pPr>
        <w:pStyle w:val="Default"/>
        <w:numPr>
          <w:ilvl w:val="0"/>
          <w:numId w:val="32"/>
        </w:numPr>
        <w:jc w:val="both"/>
        <w:rPr>
          <w:b/>
          <w:lang w:val="es-ES"/>
        </w:rPr>
      </w:pPr>
      <w:r>
        <w:rPr>
          <w:b/>
          <w:lang w:val="es-ES"/>
        </w:rPr>
        <w:t xml:space="preserve"> </w:t>
      </w:r>
      <w:r w:rsidR="003D7B00">
        <w:rPr>
          <w:b/>
          <w:lang w:val="es-ES"/>
        </w:rPr>
        <w:t>¿</w:t>
      </w:r>
      <w:r w:rsidR="00E25D8A">
        <w:rPr>
          <w:b/>
          <w:lang w:val="es-ES"/>
        </w:rPr>
        <w:t xml:space="preserve">Los deudores que ya se acogieron a un período de gracia, deben hacer un trámite adicional para redefinir las condiciones de su crédito </w:t>
      </w:r>
      <w:r w:rsidR="00842473">
        <w:rPr>
          <w:b/>
          <w:lang w:val="es-ES"/>
        </w:rPr>
        <w:t>a partir de la</w:t>
      </w:r>
      <w:r w:rsidR="00E25D8A">
        <w:rPr>
          <w:b/>
          <w:lang w:val="es-ES"/>
        </w:rPr>
        <w:t xml:space="preserve"> entrada en vigencia de</w:t>
      </w:r>
      <w:r w:rsidR="002F4977">
        <w:rPr>
          <w:b/>
          <w:lang w:val="es-ES"/>
        </w:rPr>
        <w:t>l</w:t>
      </w:r>
      <w:r w:rsidR="00E25D8A">
        <w:rPr>
          <w:b/>
          <w:lang w:val="es-ES"/>
        </w:rPr>
        <w:t xml:space="preserve"> </w:t>
      </w:r>
      <w:r w:rsidR="002F4977" w:rsidRPr="002F4977">
        <w:rPr>
          <w:b/>
          <w:lang w:val="es-ES"/>
        </w:rPr>
        <w:t>Programa de Acompañamiento a Deudores – PAD</w:t>
      </w:r>
      <w:r w:rsidR="003D7B00">
        <w:rPr>
          <w:b/>
          <w:lang w:val="es-ES"/>
        </w:rPr>
        <w:t>?</w:t>
      </w:r>
    </w:p>
    <w:p w14:paraId="56C2D1F7" w14:textId="77777777" w:rsidR="005E0469" w:rsidRDefault="005E0469" w:rsidP="009A7DF6">
      <w:pPr>
        <w:pStyle w:val="Prrafodelista"/>
        <w:rPr>
          <w:b/>
        </w:rPr>
      </w:pPr>
    </w:p>
    <w:p w14:paraId="0AFDD0DE" w14:textId="2C3B60C4" w:rsidR="005E0469" w:rsidRPr="00F01470" w:rsidRDefault="00A701F9" w:rsidP="00FD7C86">
      <w:pPr>
        <w:pStyle w:val="Default"/>
        <w:jc w:val="both"/>
        <w:rPr>
          <w:bCs/>
          <w:lang w:val="es-ES"/>
        </w:rPr>
      </w:pPr>
      <w:r w:rsidRPr="00170191">
        <w:rPr>
          <w:bCs/>
          <w:lang w:val="es-ES"/>
        </w:rPr>
        <w:t xml:space="preserve">Puede </w:t>
      </w:r>
      <w:r w:rsidR="00BE3CAF" w:rsidRPr="00170191">
        <w:rPr>
          <w:bCs/>
          <w:lang w:val="es-ES"/>
        </w:rPr>
        <w:t>contactar a su establecimiento de crédito para buscar una nueva opción</w:t>
      </w:r>
      <w:r w:rsidRPr="00170191">
        <w:rPr>
          <w:bCs/>
          <w:lang w:val="es-ES"/>
        </w:rPr>
        <w:t xml:space="preserve">, </w:t>
      </w:r>
      <w:r w:rsidR="00170191" w:rsidRPr="00170191">
        <w:rPr>
          <w:bCs/>
          <w:lang w:val="es-ES"/>
        </w:rPr>
        <w:t>si así lo considera después de haber realizado un</w:t>
      </w:r>
      <w:r w:rsidRPr="00170191">
        <w:rPr>
          <w:bCs/>
          <w:lang w:val="es-ES"/>
        </w:rPr>
        <w:t xml:space="preserve"> </w:t>
      </w:r>
      <w:r w:rsidRPr="00170191">
        <w:rPr>
          <w:lang w:val="es-ES"/>
        </w:rPr>
        <w:t xml:space="preserve">análisis de su situación individual y de sus obligaciones. </w:t>
      </w:r>
      <w:r w:rsidR="00BE3CAF" w:rsidRPr="00170191">
        <w:rPr>
          <w:bCs/>
          <w:lang w:val="es-ES"/>
        </w:rPr>
        <w:t>Cabe señalar que l</w:t>
      </w:r>
      <w:r w:rsidR="009A7DF6" w:rsidRPr="00170191">
        <w:rPr>
          <w:bCs/>
          <w:lang w:val="es-ES"/>
        </w:rPr>
        <w:t xml:space="preserve">os mecanismos y condiciones mediante los cuales los </w:t>
      </w:r>
      <w:r w:rsidR="00970E6D" w:rsidRPr="00170191">
        <w:rPr>
          <w:bCs/>
          <w:lang w:val="es-ES"/>
        </w:rPr>
        <w:t>deudores</w:t>
      </w:r>
      <w:r w:rsidR="009A7DF6" w:rsidRPr="00170191">
        <w:rPr>
          <w:bCs/>
          <w:lang w:val="es-ES"/>
        </w:rPr>
        <w:t xml:space="preserve"> </w:t>
      </w:r>
      <w:r w:rsidR="00970E6D" w:rsidRPr="00170191">
        <w:rPr>
          <w:bCs/>
          <w:lang w:val="es-ES"/>
        </w:rPr>
        <w:t xml:space="preserve">podrán aplicar </w:t>
      </w:r>
      <w:r w:rsidR="009A7DF6" w:rsidRPr="00170191">
        <w:rPr>
          <w:bCs/>
          <w:lang w:val="es-ES"/>
        </w:rPr>
        <w:t>a estas medidas serán definidas y divulgadas por l</w:t>
      </w:r>
      <w:r w:rsidR="00A31FD8" w:rsidRPr="00170191">
        <w:rPr>
          <w:bCs/>
          <w:lang w:val="es-ES"/>
        </w:rPr>
        <w:t>os establecimientos de crédito</w:t>
      </w:r>
      <w:r w:rsidR="009A7DF6" w:rsidRPr="00170191">
        <w:rPr>
          <w:bCs/>
          <w:lang w:val="es-ES"/>
        </w:rPr>
        <w:t xml:space="preserve"> antes del 31 de julio de 2020</w:t>
      </w:r>
      <w:r w:rsidRPr="00170191">
        <w:rPr>
          <w:bCs/>
          <w:lang w:val="es-ES"/>
        </w:rPr>
        <w:t>.</w:t>
      </w:r>
    </w:p>
    <w:p w14:paraId="464289D9" w14:textId="77777777" w:rsidR="00842473" w:rsidRDefault="00842473" w:rsidP="00842473">
      <w:pPr>
        <w:pStyle w:val="Prrafodelista"/>
        <w:rPr>
          <w:b/>
        </w:rPr>
      </w:pPr>
    </w:p>
    <w:p w14:paraId="01AF2254" w14:textId="77777777" w:rsidR="00F607BD" w:rsidRDefault="00F607BD" w:rsidP="00F607BD">
      <w:pPr>
        <w:pStyle w:val="Prrafodelista"/>
        <w:rPr>
          <w:b/>
        </w:rPr>
      </w:pPr>
    </w:p>
    <w:p w14:paraId="36C4917C" w14:textId="57395E87" w:rsidR="00F607BD" w:rsidRDefault="00CB6FBC" w:rsidP="00355816">
      <w:pPr>
        <w:pStyle w:val="Default"/>
        <w:numPr>
          <w:ilvl w:val="0"/>
          <w:numId w:val="32"/>
        </w:numPr>
        <w:jc w:val="both"/>
        <w:rPr>
          <w:b/>
          <w:lang w:val="es-ES"/>
        </w:rPr>
      </w:pPr>
      <w:r>
        <w:rPr>
          <w:b/>
          <w:lang w:val="es-ES"/>
        </w:rPr>
        <w:t xml:space="preserve"> </w:t>
      </w:r>
      <w:r w:rsidR="00D94A18">
        <w:rPr>
          <w:b/>
          <w:lang w:val="es-ES"/>
        </w:rPr>
        <w:t xml:space="preserve">¿La redefinición de las condiciones de los créditos le aplica a los deudores reportados </w:t>
      </w:r>
      <w:r w:rsidR="00170191">
        <w:rPr>
          <w:b/>
          <w:lang w:val="es-ES"/>
        </w:rPr>
        <w:t xml:space="preserve">negativamente </w:t>
      </w:r>
      <w:r w:rsidR="00D94A18">
        <w:rPr>
          <w:b/>
          <w:lang w:val="es-ES"/>
        </w:rPr>
        <w:t>en las centrales de riesgo?</w:t>
      </w:r>
    </w:p>
    <w:p w14:paraId="2E0E18E4" w14:textId="77777777" w:rsidR="00FC5246" w:rsidRDefault="00FC5246" w:rsidP="00F01470">
      <w:pPr>
        <w:pStyle w:val="Default"/>
        <w:ind w:left="720"/>
        <w:jc w:val="both"/>
        <w:rPr>
          <w:b/>
          <w:lang w:val="es-ES"/>
        </w:rPr>
      </w:pPr>
    </w:p>
    <w:p w14:paraId="6DDDC14F" w14:textId="5A47109D" w:rsidR="00FC5246" w:rsidRPr="00F01470" w:rsidRDefault="00170191" w:rsidP="00F01470">
      <w:pPr>
        <w:pStyle w:val="Default"/>
        <w:jc w:val="both"/>
        <w:rPr>
          <w:bCs/>
          <w:lang w:val="es-ES"/>
        </w:rPr>
      </w:pPr>
      <w:r>
        <w:rPr>
          <w:bCs/>
          <w:lang w:val="es-ES"/>
        </w:rPr>
        <w:t>En l</w:t>
      </w:r>
      <w:r w:rsidR="00CB6FBC">
        <w:rPr>
          <w:bCs/>
          <w:lang w:val="es-ES"/>
        </w:rPr>
        <w:t xml:space="preserve">a </w:t>
      </w:r>
      <w:hyperlink r:id="rId11" w:history="1">
        <w:r w:rsidR="00A81C5E" w:rsidRPr="004E3E63">
          <w:rPr>
            <w:rStyle w:val="Hipervnculo"/>
            <w:b/>
            <w:color w:val="800000"/>
          </w:rPr>
          <w:t>Circular Externa 022 de 2020</w:t>
        </w:r>
      </w:hyperlink>
      <w:r>
        <w:rPr>
          <w:bCs/>
        </w:rPr>
        <w:t xml:space="preserve"> la </w:t>
      </w:r>
      <w:r w:rsidR="00CB6FBC">
        <w:rPr>
          <w:bCs/>
          <w:lang w:val="es-ES"/>
        </w:rPr>
        <w:t>SFC no estableció requisitos en este sentido</w:t>
      </w:r>
      <w:r w:rsidR="00FC5246" w:rsidRPr="00F01470">
        <w:rPr>
          <w:bCs/>
          <w:lang w:val="es-ES"/>
        </w:rPr>
        <w:t xml:space="preserve">; sin </w:t>
      </w:r>
      <w:r w:rsidR="00D078F4" w:rsidRPr="00D078F4">
        <w:rPr>
          <w:bCs/>
          <w:lang w:val="es-ES"/>
        </w:rPr>
        <w:t>embargo,</w:t>
      </w:r>
      <w:r w:rsidR="00131BFF" w:rsidRPr="00F01470">
        <w:rPr>
          <w:bCs/>
          <w:lang w:val="es-ES"/>
        </w:rPr>
        <w:t xml:space="preserve"> cada</w:t>
      </w:r>
      <w:r w:rsidR="00FC5246" w:rsidRPr="00F01470">
        <w:rPr>
          <w:bCs/>
          <w:lang w:val="es-ES"/>
        </w:rPr>
        <w:t xml:space="preserve"> </w:t>
      </w:r>
      <w:r w:rsidR="00CB6FBC">
        <w:rPr>
          <w:bCs/>
          <w:lang w:val="es-ES"/>
        </w:rPr>
        <w:t xml:space="preserve">establecimiento de crédito podrá determinar </w:t>
      </w:r>
      <w:r w:rsidR="00FC5246" w:rsidRPr="00F01470">
        <w:rPr>
          <w:bCs/>
          <w:lang w:val="es-ES"/>
        </w:rPr>
        <w:t>las condiciones para acceder</w:t>
      </w:r>
      <w:r w:rsidR="00477BFB" w:rsidRPr="00F01470">
        <w:rPr>
          <w:bCs/>
          <w:lang w:val="es-ES"/>
        </w:rPr>
        <w:t xml:space="preserve"> al</w:t>
      </w:r>
      <w:r w:rsidR="00CB6FBC" w:rsidRPr="00CB6FBC">
        <w:rPr>
          <w:color w:val="auto"/>
        </w:rPr>
        <w:t xml:space="preserve"> </w:t>
      </w:r>
      <w:r w:rsidRPr="00170191">
        <w:rPr>
          <w:bCs/>
          <w:lang w:val="es-ES"/>
        </w:rPr>
        <w:t>Programa de Acompañamiento a Deudores – PAD</w:t>
      </w:r>
      <w:r w:rsidR="00477BFB" w:rsidRPr="00F01470">
        <w:rPr>
          <w:bCs/>
          <w:lang w:val="es-ES"/>
        </w:rPr>
        <w:t>.</w:t>
      </w:r>
    </w:p>
    <w:p w14:paraId="0853EF97" w14:textId="77777777" w:rsidR="00F472F5" w:rsidRDefault="00F472F5" w:rsidP="00D94A18">
      <w:pPr>
        <w:pStyle w:val="Prrafodelista"/>
        <w:rPr>
          <w:b/>
        </w:rPr>
      </w:pPr>
    </w:p>
    <w:p w14:paraId="171B2C0E" w14:textId="77777777" w:rsidR="00F472F5" w:rsidRDefault="00F472F5" w:rsidP="00D94A18">
      <w:pPr>
        <w:pStyle w:val="Prrafodelista"/>
        <w:rPr>
          <w:b/>
        </w:rPr>
      </w:pPr>
    </w:p>
    <w:p w14:paraId="0875D168" w14:textId="1061869C" w:rsidR="00D94A18" w:rsidRDefault="00CB6FBC" w:rsidP="00355816">
      <w:pPr>
        <w:pStyle w:val="Default"/>
        <w:numPr>
          <w:ilvl w:val="0"/>
          <w:numId w:val="32"/>
        </w:numPr>
        <w:jc w:val="both"/>
        <w:rPr>
          <w:b/>
          <w:lang w:val="es-ES"/>
        </w:rPr>
      </w:pPr>
      <w:r>
        <w:rPr>
          <w:b/>
          <w:lang w:val="es-ES"/>
        </w:rPr>
        <w:t xml:space="preserve"> </w:t>
      </w:r>
      <w:r w:rsidR="00D94A18">
        <w:rPr>
          <w:b/>
          <w:lang w:val="es-ES"/>
        </w:rPr>
        <w:t>¿Dentro del paquete de medidas hay algunas que contemplen la exoneración de cuotas de manejo para las tarjetas de crédito?</w:t>
      </w:r>
    </w:p>
    <w:p w14:paraId="2AEF3EBA" w14:textId="77777777" w:rsidR="00AD0A9E" w:rsidRDefault="00AD0A9E" w:rsidP="00AD0A9E">
      <w:pPr>
        <w:pStyle w:val="Prrafodelista"/>
        <w:rPr>
          <w:b/>
        </w:rPr>
      </w:pPr>
    </w:p>
    <w:p w14:paraId="37462509" w14:textId="0AA4E6D4" w:rsidR="00AD0A9E" w:rsidRPr="00F01470" w:rsidRDefault="00170191" w:rsidP="00F01470">
      <w:pPr>
        <w:pStyle w:val="Default"/>
        <w:jc w:val="both"/>
        <w:rPr>
          <w:bCs/>
          <w:lang w:val="es-ES"/>
        </w:rPr>
      </w:pPr>
      <w:r>
        <w:rPr>
          <w:bCs/>
          <w:lang w:val="es-ES"/>
        </w:rPr>
        <w:t xml:space="preserve">A través de la </w:t>
      </w:r>
      <w:hyperlink r:id="rId12" w:history="1">
        <w:r w:rsidR="00A81C5E" w:rsidRPr="004E3E63">
          <w:rPr>
            <w:rStyle w:val="Hipervnculo"/>
            <w:b/>
            <w:color w:val="800000"/>
          </w:rPr>
          <w:t>Circular Externa 022 de 2020</w:t>
        </w:r>
      </w:hyperlink>
      <w:r>
        <w:rPr>
          <w:bCs/>
        </w:rPr>
        <w:t xml:space="preserve"> la</w:t>
      </w:r>
      <w:r w:rsidR="00CB6FBC">
        <w:rPr>
          <w:bCs/>
          <w:lang w:val="es-ES"/>
        </w:rPr>
        <w:t xml:space="preserve"> SFC no estableció instrucciones particulares al respecto</w:t>
      </w:r>
      <w:r w:rsidR="00CB6FBC" w:rsidRPr="00F01470">
        <w:rPr>
          <w:bCs/>
          <w:lang w:val="es-ES"/>
        </w:rPr>
        <w:t xml:space="preserve">; sin </w:t>
      </w:r>
      <w:r w:rsidR="00CB6FBC" w:rsidRPr="00D078F4">
        <w:rPr>
          <w:bCs/>
          <w:lang w:val="es-ES"/>
        </w:rPr>
        <w:t>embargo,</w:t>
      </w:r>
      <w:r w:rsidR="00CB6FBC" w:rsidRPr="00F01470">
        <w:rPr>
          <w:bCs/>
          <w:lang w:val="es-ES"/>
        </w:rPr>
        <w:t xml:space="preserve"> cada </w:t>
      </w:r>
      <w:r w:rsidR="00CB6FBC">
        <w:rPr>
          <w:bCs/>
          <w:lang w:val="es-ES"/>
        </w:rPr>
        <w:t>establecimiento de crédito podrá determinarlo en e</w:t>
      </w:r>
      <w:r w:rsidR="00CB6FBC" w:rsidRPr="00F01470">
        <w:rPr>
          <w:bCs/>
          <w:lang w:val="es-ES"/>
        </w:rPr>
        <w:t>l</w:t>
      </w:r>
      <w:r w:rsidR="00CB6FBC" w:rsidRPr="00CB6FBC">
        <w:rPr>
          <w:color w:val="auto"/>
        </w:rPr>
        <w:t xml:space="preserve"> </w:t>
      </w:r>
      <w:r w:rsidRPr="00170191">
        <w:rPr>
          <w:bCs/>
          <w:lang w:val="es-ES"/>
        </w:rPr>
        <w:t>Programa de Acompañamiento a Deudores – PAD</w:t>
      </w:r>
      <w:r w:rsidR="00CB6FBC">
        <w:rPr>
          <w:color w:val="auto"/>
        </w:rPr>
        <w:t>, en la medida en que l</w:t>
      </w:r>
      <w:r w:rsidR="00AD0A9E" w:rsidRPr="00F01470">
        <w:rPr>
          <w:bCs/>
          <w:lang w:val="es-ES"/>
        </w:rPr>
        <w:t xml:space="preserve">a exoneración en el pago de cuotas de manejo </w:t>
      </w:r>
      <w:r w:rsidR="00861373">
        <w:rPr>
          <w:bCs/>
          <w:lang w:val="es-ES"/>
        </w:rPr>
        <w:t xml:space="preserve">y otros conceptos </w:t>
      </w:r>
      <w:r w:rsidR="00AD0A9E" w:rsidRPr="00F01470">
        <w:rPr>
          <w:bCs/>
          <w:lang w:val="es-ES"/>
        </w:rPr>
        <w:t xml:space="preserve">es </w:t>
      </w:r>
      <w:r w:rsidR="00861373">
        <w:rPr>
          <w:bCs/>
          <w:lang w:val="es-ES"/>
        </w:rPr>
        <w:t xml:space="preserve">facultativo </w:t>
      </w:r>
      <w:r w:rsidR="00AD0A9E" w:rsidRPr="00F01470">
        <w:rPr>
          <w:bCs/>
          <w:lang w:val="es-ES"/>
        </w:rPr>
        <w:t>de cada entidad</w:t>
      </w:r>
      <w:r>
        <w:rPr>
          <w:bCs/>
          <w:lang w:val="es-ES"/>
        </w:rPr>
        <w:t>.</w:t>
      </w:r>
    </w:p>
    <w:p w14:paraId="19079E57" w14:textId="77777777" w:rsidR="005E0469" w:rsidRDefault="005E0469" w:rsidP="00AD0A9E">
      <w:pPr>
        <w:pStyle w:val="Prrafodelista"/>
        <w:rPr>
          <w:b/>
        </w:rPr>
      </w:pPr>
    </w:p>
    <w:p w14:paraId="545241CD" w14:textId="77777777" w:rsidR="00C5365A" w:rsidRDefault="00C5365A" w:rsidP="00AD0A9E">
      <w:pPr>
        <w:pStyle w:val="Prrafodelista"/>
        <w:rPr>
          <w:b/>
        </w:rPr>
      </w:pPr>
    </w:p>
    <w:p w14:paraId="72B33946" w14:textId="4D9806A4" w:rsidR="005E0469" w:rsidRDefault="00CB6FBC" w:rsidP="00355816">
      <w:pPr>
        <w:pStyle w:val="Default"/>
        <w:numPr>
          <w:ilvl w:val="0"/>
          <w:numId w:val="32"/>
        </w:numPr>
        <w:jc w:val="both"/>
        <w:rPr>
          <w:b/>
          <w:lang w:val="es-ES"/>
        </w:rPr>
      </w:pPr>
      <w:r>
        <w:rPr>
          <w:b/>
          <w:lang w:val="es-ES"/>
        </w:rPr>
        <w:lastRenderedPageBreak/>
        <w:t xml:space="preserve"> </w:t>
      </w:r>
      <w:r w:rsidR="00A31FD8">
        <w:rPr>
          <w:b/>
          <w:lang w:val="es-ES"/>
        </w:rPr>
        <w:t>¿</w:t>
      </w:r>
      <w:r w:rsidR="005E0469">
        <w:rPr>
          <w:b/>
          <w:lang w:val="es-ES"/>
        </w:rPr>
        <w:t xml:space="preserve">Si tengo </w:t>
      </w:r>
      <w:r w:rsidR="00A31FD8">
        <w:rPr>
          <w:b/>
          <w:lang w:val="es-ES"/>
        </w:rPr>
        <w:t xml:space="preserve">una </w:t>
      </w:r>
      <w:r w:rsidR="005E0469">
        <w:rPr>
          <w:b/>
          <w:lang w:val="es-ES"/>
        </w:rPr>
        <w:t>mora de m</w:t>
      </w:r>
      <w:r w:rsidR="00A31FD8">
        <w:rPr>
          <w:b/>
          <w:lang w:val="es-ES"/>
        </w:rPr>
        <w:t>á</w:t>
      </w:r>
      <w:r w:rsidR="005E0469">
        <w:rPr>
          <w:b/>
          <w:lang w:val="es-ES"/>
        </w:rPr>
        <w:t xml:space="preserve">s de 60 días me </w:t>
      </w:r>
      <w:r w:rsidR="00DD6642">
        <w:rPr>
          <w:b/>
          <w:lang w:val="es-ES"/>
        </w:rPr>
        <w:t xml:space="preserve">pueden </w:t>
      </w:r>
      <w:r w:rsidR="005E0469">
        <w:rPr>
          <w:b/>
          <w:lang w:val="es-ES"/>
        </w:rPr>
        <w:t>aplica</w:t>
      </w:r>
      <w:r w:rsidR="00DD6642">
        <w:rPr>
          <w:b/>
          <w:lang w:val="es-ES"/>
        </w:rPr>
        <w:t>r el</w:t>
      </w:r>
      <w:r w:rsidR="005E0469">
        <w:rPr>
          <w:b/>
          <w:lang w:val="es-ES"/>
        </w:rPr>
        <w:t xml:space="preserve"> </w:t>
      </w:r>
      <w:bookmarkStart w:id="1" w:name="_Hlk44444997"/>
      <w:r w:rsidR="00DD6642" w:rsidRPr="00DD6642">
        <w:rPr>
          <w:b/>
          <w:lang w:val="es-ES"/>
        </w:rPr>
        <w:t>Programa de Acompañamiento a Deudores – PAD</w:t>
      </w:r>
      <w:bookmarkEnd w:id="1"/>
      <w:r w:rsidR="005E0469">
        <w:rPr>
          <w:b/>
          <w:lang w:val="es-ES"/>
        </w:rPr>
        <w:t>?</w:t>
      </w:r>
    </w:p>
    <w:p w14:paraId="60A93088" w14:textId="77777777" w:rsidR="00787C81" w:rsidRDefault="00787C81" w:rsidP="00787C81">
      <w:pPr>
        <w:pStyle w:val="Default"/>
        <w:ind w:left="720"/>
        <w:jc w:val="both"/>
        <w:rPr>
          <w:b/>
          <w:lang w:val="es-ES"/>
        </w:rPr>
      </w:pPr>
    </w:p>
    <w:p w14:paraId="55B7C638" w14:textId="54363DFA" w:rsidR="00C6125E" w:rsidRDefault="00DD6642" w:rsidP="00CB6FBC">
      <w:pPr>
        <w:pStyle w:val="Default"/>
        <w:jc w:val="both"/>
        <w:rPr>
          <w:b/>
          <w:lang w:val="es-ES"/>
        </w:rPr>
      </w:pPr>
      <w:r>
        <w:rPr>
          <w:bCs/>
          <w:lang w:val="es-ES"/>
        </w:rPr>
        <w:t xml:space="preserve">En la </w:t>
      </w:r>
      <w:hyperlink r:id="rId13" w:history="1">
        <w:r w:rsidR="00A81C5E" w:rsidRPr="004E3E63">
          <w:rPr>
            <w:rStyle w:val="Hipervnculo"/>
            <w:b/>
            <w:color w:val="800000"/>
          </w:rPr>
          <w:t>Circular Externa 022 de 2020</w:t>
        </w:r>
      </w:hyperlink>
      <w:r>
        <w:rPr>
          <w:bCs/>
        </w:rPr>
        <w:t xml:space="preserve"> la</w:t>
      </w:r>
      <w:r>
        <w:rPr>
          <w:bCs/>
          <w:lang w:val="es-ES"/>
        </w:rPr>
        <w:t xml:space="preserve"> SFC no estableció instrucciones particulares al respecto</w:t>
      </w:r>
      <w:r w:rsidR="00CB6FBC" w:rsidRPr="00F01470">
        <w:rPr>
          <w:bCs/>
          <w:lang w:val="es-ES"/>
        </w:rPr>
        <w:t xml:space="preserve">; sin </w:t>
      </w:r>
      <w:r w:rsidR="00CB6FBC" w:rsidRPr="00D078F4">
        <w:rPr>
          <w:bCs/>
          <w:lang w:val="es-ES"/>
        </w:rPr>
        <w:t>embargo,</w:t>
      </w:r>
      <w:r w:rsidR="00CB6FBC" w:rsidRPr="00F01470">
        <w:rPr>
          <w:bCs/>
          <w:lang w:val="es-ES"/>
        </w:rPr>
        <w:t xml:space="preserve"> cada </w:t>
      </w:r>
      <w:r w:rsidR="00CB6FBC">
        <w:rPr>
          <w:bCs/>
          <w:lang w:val="es-ES"/>
        </w:rPr>
        <w:t>establecimiento de crédito podrá determinarlo en su</w:t>
      </w:r>
      <w:r w:rsidR="00CB6FBC" w:rsidRPr="00CB6FBC">
        <w:rPr>
          <w:color w:val="auto"/>
        </w:rPr>
        <w:t xml:space="preserve"> </w:t>
      </w:r>
      <w:r w:rsidRPr="00DD6642">
        <w:rPr>
          <w:color w:val="auto"/>
        </w:rPr>
        <w:t>Programa de Acompañamiento a Deudores – PAD</w:t>
      </w:r>
      <w:r w:rsidR="00CB6FBC" w:rsidRPr="00F01470">
        <w:rPr>
          <w:bCs/>
          <w:lang w:val="es-ES"/>
        </w:rPr>
        <w:t>.</w:t>
      </w:r>
    </w:p>
    <w:p w14:paraId="063C3301" w14:textId="77777777" w:rsidR="0018486A" w:rsidRDefault="0018486A" w:rsidP="0018486A">
      <w:pPr>
        <w:pStyle w:val="Default"/>
        <w:ind w:left="720"/>
        <w:jc w:val="both"/>
        <w:rPr>
          <w:b/>
          <w:lang w:val="es-ES"/>
        </w:rPr>
      </w:pPr>
    </w:p>
    <w:p w14:paraId="4E7D6CFA" w14:textId="77777777" w:rsidR="00A31FD8" w:rsidRDefault="00A31FD8" w:rsidP="0018486A">
      <w:pPr>
        <w:pStyle w:val="Default"/>
        <w:ind w:left="720"/>
        <w:jc w:val="both"/>
        <w:rPr>
          <w:b/>
          <w:lang w:val="es-ES"/>
        </w:rPr>
      </w:pPr>
    </w:p>
    <w:p w14:paraId="3CCA94D4" w14:textId="02DC9757" w:rsidR="005E0469" w:rsidRDefault="00CB6FBC" w:rsidP="00355816">
      <w:pPr>
        <w:pStyle w:val="Default"/>
        <w:numPr>
          <w:ilvl w:val="0"/>
          <w:numId w:val="32"/>
        </w:numPr>
        <w:jc w:val="both"/>
        <w:rPr>
          <w:b/>
          <w:lang w:val="es-ES"/>
        </w:rPr>
      </w:pPr>
      <w:r>
        <w:rPr>
          <w:b/>
          <w:lang w:val="es-ES"/>
        </w:rPr>
        <w:t xml:space="preserve"> </w:t>
      </w:r>
      <w:r w:rsidR="005E0469">
        <w:rPr>
          <w:b/>
          <w:lang w:val="es-ES"/>
        </w:rPr>
        <w:t>Si las condiciones de</w:t>
      </w:r>
      <w:r>
        <w:rPr>
          <w:b/>
          <w:lang w:val="es-ES"/>
        </w:rPr>
        <w:t xml:space="preserve">l </w:t>
      </w:r>
      <w:r w:rsidR="00DD6642" w:rsidRPr="00DD6642">
        <w:rPr>
          <w:b/>
          <w:lang w:val="es-ES"/>
        </w:rPr>
        <w:t xml:space="preserve">Programa de Acompañamiento a Deudores – PAD </w:t>
      </w:r>
      <w:r w:rsidR="005E0469">
        <w:rPr>
          <w:b/>
          <w:lang w:val="es-ES"/>
        </w:rPr>
        <w:t>son m</w:t>
      </w:r>
      <w:r>
        <w:rPr>
          <w:b/>
          <w:lang w:val="es-ES"/>
        </w:rPr>
        <w:t>á</w:t>
      </w:r>
      <w:r w:rsidR="005E0469">
        <w:rPr>
          <w:b/>
          <w:lang w:val="es-ES"/>
        </w:rPr>
        <w:t>s favorables</w:t>
      </w:r>
      <w:r>
        <w:rPr>
          <w:b/>
          <w:lang w:val="es-ES"/>
        </w:rPr>
        <w:t xml:space="preserve"> a</w:t>
      </w:r>
      <w:r w:rsidR="005E0469">
        <w:rPr>
          <w:b/>
          <w:lang w:val="es-ES"/>
        </w:rPr>
        <w:t xml:space="preserve"> </w:t>
      </w:r>
      <w:r>
        <w:rPr>
          <w:b/>
          <w:lang w:val="es-ES"/>
        </w:rPr>
        <w:t>las obtenidas en los períodos de gracia, ¿</w:t>
      </w:r>
      <w:r w:rsidR="005E0469">
        <w:rPr>
          <w:b/>
          <w:lang w:val="es-ES"/>
        </w:rPr>
        <w:t>puedo solicitar acogerme a las nuevas condiciones?</w:t>
      </w:r>
    </w:p>
    <w:p w14:paraId="42BC52F8" w14:textId="77777777" w:rsidR="008C7FEC" w:rsidRDefault="008C7FEC" w:rsidP="008C7FEC">
      <w:pPr>
        <w:pStyle w:val="Default"/>
        <w:jc w:val="both"/>
        <w:rPr>
          <w:b/>
          <w:lang w:val="es-ES"/>
        </w:rPr>
      </w:pPr>
    </w:p>
    <w:p w14:paraId="4DC7D8A6" w14:textId="3443DA51" w:rsidR="008C7FEC" w:rsidRDefault="008C7FEC" w:rsidP="008C7FEC">
      <w:pPr>
        <w:pStyle w:val="Default"/>
        <w:jc w:val="both"/>
        <w:rPr>
          <w:b/>
          <w:lang w:val="es-ES"/>
        </w:rPr>
      </w:pPr>
      <w:r w:rsidRPr="00F01470">
        <w:rPr>
          <w:bCs/>
          <w:lang w:val="es-ES"/>
        </w:rPr>
        <w:t xml:space="preserve">Las condiciones del </w:t>
      </w:r>
      <w:r w:rsidR="00DD6642" w:rsidRPr="00DD6642">
        <w:rPr>
          <w:bCs/>
          <w:lang w:val="es-ES"/>
        </w:rPr>
        <w:t xml:space="preserve">Programa de Acompañamiento a Deudores – PAD </w:t>
      </w:r>
      <w:r w:rsidRPr="00F01470">
        <w:rPr>
          <w:bCs/>
          <w:lang w:val="es-ES"/>
        </w:rPr>
        <w:t xml:space="preserve">no </w:t>
      </w:r>
      <w:r w:rsidR="002F3025" w:rsidRPr="00F01470">
        <w:rPr>
          <w:bCs/>
          <w:lang w:val="es-ES"/>
        </w:rPr>
        <w:t xml:space="preserve">interrumpen </w:t>
      </w:r>
      <w:r w:rsidRPr="00F01470">
        <w:rPr>
          <w:bCs/>
          <w:lang w:val="es-ES"/>
        </w:rPr>
        <w:t>las medidas y</w:t>
      </w:r>
      <w:r w:rsidR="00DD6642">
        <w:rPr>
          <w:bCs/>
          <w:lang w:val="es-ES"/>
        </w:rPr>
        <w:t>a</w:t>
      </w:r>
      <w:r w:rsidRPr="00F01470">
        <w:rPr>
          <w:bCs/>
          <w:lang w:val="es-ES"/>
        </w:rPr>
        <w:t xml:space="preserve"> adoptadas con ocasión de la</w:t>
      </w:r>
      <w:r w:rsidR="00CB6FBC">
        <w:rPr>
          <w:bCs/>
          <w:lang w:val="es-ES"/>
        </w:rPr>
        <w:t>s</w:t>
      </w:r>
      <w:r w:rsidRPr="00F01470">
        <w:rPr>
          <w:bCs/>
          <w:lang w:val="es-ES"/>
        </w:rPr>
        <w:t xml:space="preserve"> Circular</w:t>
      </w:r>
      <w:r w:rsidR="00CB6FBC">
        <w:rPr>
          <w:bCs/>
          <w:lang w:val="es-ES"/>
        </w:rPr>
        <w:t>es Externas</w:t>
      </w:r>
      <w:r w:rsidRPr="00F01470">
        <w:rPr>
          <w:bCs/>
          <w:lang w:val="es-ES"/>
        </w:rPr>
        <w:t xml:space="preserve"> </w:t>
      </w:r>
      <w:r w:rsidR="00CB6FBC">
        <w:rPr>
          <w:bCs/>
          <w:lang w:val="es-ES"/>
        </w:rPr>
        <w:t>00</w:t>
      </w:r>
      <w:r w:rsidRPr="00F01470">
        <w:rPr>
          <w:bCs/>
          <w:lang w:val="es-ES"/>
        </w:rPr>
        <w:t xml:space="preserve">7 y </w:t>
      </w:r>
      <w:r w:rsidR="00CB6FBC">
        <w:rPr>
          <w:bCs/>
          <w:lang w:val="es-ES"/>
        </w:rPr>
        <w:t>0</w:t>
      </w:r>
      <w:r w:rsidRPr="00F01470">
        <w:rPr>
          <w:bCs/>
          <w:lang w:val="es-ES"/>
        </w:rPr>
        <w:t>14</w:t>
      </w:r>
      <w:r w:rsidR="00CB6FBC">
        <w:rPr>
          <w:bCs/>
          <w:lang w:val="es-ES"/>
        </w:rPr>
        <w:t xml:space="preserve"> de marzo de 2020 de la S</w:t>
      </w:r>
      <w:r w:rsidR="00DD6642">
        <w:rPr>
          <w:bCs/>
          <w:lang w:val="es-ES"/>
        </w:rPr>
        <w:t>FC</w:t>
      </w:r>
      <w:r w:rsidR="00CB6FBC">
        <w:rPr>
          <w:bCs/>
          <w:lang w:val="es-ES"/>
        </w:rPr>
        <w:t>. E</w:t>
      </w:r>
      <w:r w:rsidR="007325A3" w:rsidRPr="00F01470">
        <w:rPr>
          <w:bCs/>
          <w:lang w:val="es-ES"/>
        </w:rPr>
        <w:t>n todo caso</w:t>
      </w:r>
      <w:r w:rsidR="00CB6FBC">
        <w:rPr>
          <w:bCs/>
          <w:lang w:val="es-ES"/>
        </w:rPr>
        <w:t>,</w:t>
      </w:r>
      <w:r w:rsidR="007325A3" w:rsidRPr="00F01470">
        <w:rPr>
          <w:bCs/>
          <w:lang w:val="es-ES"/>
        </w:rPr>
        <w:t xml:space="preserve"> la aplicación de </w:t>
      </w:r>
      <w:r w:rsidR="00C6125E" w:rsidRPr="00F01470">
        <w:rPr>
          <w:bCs/>
          <w:lang w:val="es-ES"/>
        </w:rPr>
        <w:t>l</w:t>
      </w:r>
      <w:r w:rsidR="007325A3" w:rsidRPr="00F01470">
        <w:rPr>
          <w:bCs/>
          <w:lang w:val="es-ES"/>
        </w:rPr>
        <w:t xml:space="preserve">a </w:t>
      </w:r>
      <w:r w:rsidR="00C6125E" w:rsidRPr="00F01470">
        <w:rPr>
          <w:bCs/>
          <w:lang w:val="es-ES"/>
        </w:rPr>
        <w:t>redefinición</w:t>
      </w:r>
      <w:r w:rsidR="007325A3" w:rsidRPr="00F01470">
        <w:rPr>
          <w:bCs/>
          <w:lang w:val="es-ES"/>
        </w:rPr>
        <w:t xml:space="preserve"> dependerá de</w:t>
      </w:r>
      <w:r w:rsidR="00CB6FBC">
        <w:rPr>
          <w:bCs/>
          <w:lang w:val="es-ES"/>
        </w:rPr>
        <w:t>l</w:t>
      </w:r>
      <w:r w:rsidR="007325A3" w:rsidRPr="00F01470">
        <w:rPr>
          <w:bCs/>
          <w:lang w:val="es-ES"/>
        </w:rPr>
        <w:t xml:space="preserve"> análisis de </w:t>
      </w:r>
      <w:r w:rsidR="00262729" w:rsidRPr="00F01470">
        <w:rPr>
          <w:bCs/>
          <w:lang w:val="es-ES"/>
        </w:rPr>
        <w:t>afectación</w:t>
      </w:r>
      <w:r w:rsidR="007325A3" w:rsidRPr="00F01470">
        <w:rPr>
          <w:bCs/>
          <w:lang w:val="es-ES"/>
        </w:rPr>
        <w:t xml:space="preserve"> sobre el ingreso y capacidad de pago del deudor</w:t>
      </w:r>
      <w:r w:rsidR="00A701F9">
        <w:rPr>
          <w:b/>
          <w:lang w:val="es-ES"/>
        </w:rPr>
        <w:t xml:space="preserve"> </w:t>
      </w:r>
      <w:r w:rsidR="00A701F9" w:rsidRPr="0011561B">
        <w:rPr>
          <w:lang w:val="es-ES"/>
        </w:rPr>
        <w:t>que realice cada entidad.</w:t>
      </w:r>
    </w:p>
    <w:p w14:paraId="06CF2902" w14:textId="77777777" w:rsidR="008C7FEC" w:rsidRDefault="008C7FEC" w:rsidP="00C14728">
      <w:pPr>
        <w:pStyle w:val="Default"/>
        <w:ind w:left="720"/>
        <w:jc w:val="both"/>
        <w:rPr>
          <w:b/>
          <w:lang w:val="es-ES"/>
        </w:rPr>
      </w:pPr>
    </w:p>
    <w:p w14:paraId="43264111" w14:textId="77777777" w:rsidR="00F472F5" w:rsidRDefault="00F472F5" w:rsidP="00C14728">
      <w:pPr>
        <w:pStyle w:val="Default"/>
        <w:ind w:left="720"/>
        <w:jc w:val="both"/>
        <w:rPr>
          <w:b/>
          <w:lang w:val="es-ES"/>
        </w:rPr>
      </w:pPr>
    </w:p>
    <w:p w14:paraId="2D9B0424" w14:textId="3D613F7C" w:rsidR="00312764" w:rsidRDefault="00CB6FBC" w:rsidP="00355816">
      <w:pPr>
        <w:pStyle w:val="Default"/>
        <w:numPr>
          <w:ilvl w:val="0"/>
          <w:numId w:val="32"/>
        </w:numPr>
        <w:jc w:val="both"/>
        <w:rPr>
          <w:b/>
          <w:lang w:val="es-ES"/>
        </w:rPr>
      </w:pPr>
      <w:r>
        <w:rPr>
          <w:b/>
          <w:lang w:val="es-ES"/>
        </w:rPr>
        <w:t xml:space="preserve"> En oportunidades anteriores mi solicitud de períodos de gracia fue rechazada</w:t>
      </w:r>
      <w:r w:rsidR="00312764">
        <w:rPr>
          <w:b/>
          <w:lang w:val="es-ES"/>
        </w:rPr>
        <w:t xml:space="preserve">, </w:t>
      </w:r>
      <w:r>
        <w:rPr>
          <w:b/>
          <w:lang w:val="es-ES"/>
        </w:rPr>
        <w:t>¿</w:t>
      </w:r>
      <w:r w:rsidR="00312764">
        <w:rPr>
          <w:b/>
          <w:lang w:val="es-ES"/>
        </w:rPr>
        <w:t xml:space="preserve">puedo volver a </w:t>
      </w:r>
      <w:r w:rsidR="007A5F05">
        <w:rPr>
          <w:b/>
          <w:lang w:val="es-ES"/>
        </w:rPr>
        <w:t>postularme</w:t>
      </w:r>
      <w:r>
        <w:rPr>
          <w:b/>
          <w:lang w:val="es-ES"/>
        </w:rPr>
        <w:t xml:space="preserve"> para acogerme al </w:t>
      </w:r>
      <w:r w:rsidR="007A5F05">
        <w:rPr>
          <w:b/>
          <w:lang w:val="es-ES"/>
        </w:rPr>
        <w:t>PAD</w:t>
      </w:r>
      <w:r w:rsidR="00312764">
        <w:rPr>
          <w:b/>
          <w:lang w:val="es-ES"/>
        </w:rPr>
        <w:t>?</w:t>
      </w:r>
    </w:p>
    <w:p w14:paraId="2EFAA030" w14:textId="77777777" w:rsidR="006E561A" w:rsidRDefault="006E561A" w:rsidP="00253A01">
      <w:pPr>
        <w:pStyle w:val="Default"/>
        <w:ind w:left="720"/>
        <w:jc w:val="both"/>
        <w:rPr>
          <w:b/>
          <w:lang w:val="es-ES"/>
        </w:rPr>
      </w:pPr>
    </w:p>
    <w:p w14:paraId="5FE0135F" w14:textId="4392F732" w:rsidR="00C33812" w:rsidRDefault="00253A01" w:rsidP="00F01470">
      <w:pPr>
        <w:pStyle w:val="Default"/>
        <w:jc w:val="both"/>
        <w:rPr>
          <w:bCs/>
          <w:lang w:val="es-ES"/>
        </w:rPr>
      </w:pPr>
      <w:r w:rsidRPr="00F01470">
        <w:rPr>
          <w:bCs/>
          <w:lang w:val="es-ES"/>
        </w:rPr>
        <w:t>S</w:t>
      </w:r>
      <w:r w:rsidR="00C46B99">
        <w:rPr>
          <w:bCs/>
          <w:lang w:val="es-ES"/>
        </w:rPr>
        <w:t>í</w:t>
      </w:r>
      <w:r w:rsidR="00CB6FBC">
        <w:rPr>
          <w:bCs/>
          <w:lang w:val="es-ES"/>
        </w:rPr>
        <w:t xml:space="preserve">. </w:t>
      </w:r>
      <w:r w:rsidR="00C33812">
        <w:rPr>
          <w:bCs/>
          <w:lang w:val="es-ES"/>
        </w:rPr>
        <w:t xml:space="preserve">Es importante tener en cuenta que nuevamente el establecimiento de crédito adelantará una evaluación de </w:t>
      </w:r>
      <w:r w:rsidR="007A5F05">
        <w:rPr>
          <w:bCs/>
          <w:lang w:val="es-ES"/>
        </w:rPr>
        <w:t>su solicitud</w:t>
      </w:r>
      <w:r w:rsidR="00C33812">
        <w:rPr>
          <w:bCs/>
          <w:lang w:val="es-ES"/>
        </w:rPr>
        <w:t xml:space="preserve"> dentro de las condiciones contempladas en el </w:t>
      </w:r>
      <w:r w:rsidR="007A5F05" w:rsidRPr="007A5F05">
        <w:rPr>
          <w:bCs/>
          <w:lang w:val="es-ES"/>
        </w:rPr>
        <w:t xml:space="preserve">Programa de Acompañamiento a Deudores – PAD </w:t>
      </w:r>
      <w:r w:rsidR="00C46B99">
        <w:rPr>
          <w:bCs/>
          <w:lang w:val="es-ES"/>
        </w:rPr>
        <w:t>para darle una respuesta</w:t>
      </w:r>
      <w:r w:rsidR="00C33812">
        <w:rPr>
          <w:bCs/>
          <w:lang w:val="es-ES"/>
        </w:rPr>
        <w:t>.</w:t>
      </w:r>
    </w:p>
    <w:p w14:paraId="32541DB9" w14:textId="77777777" w:rsidR="00253A01" w:rsidRPr="00F01470" w:rsidRDefault="00C33812" w:rsidP="00F01470">
      <w:pPr>
        <w:pStyle w:val="Default"/>
        <w:jc w:val="both"/>
        <w:rPr>
          <w:bCs/>
          <w:lang w:val="es-ES"/>
        </w:rPr>
      </w:pPr>
      <w:r>
        <w:rPr>
          <w:bCs/>
          <w:lang w:val="es-ES"/>
        </w:rPr>
        <w:t xml:space="preserve"> </w:t>
      </w:r>
    </w:p>
    <w:p w14:paraId="6004FF7F" w14:textId="77777777" w:rsidR="00FF0352" w:rsidRDefault="00FF0352" w:rsidP="00C14728">
      <w:pPr>
        <w:pStyle w:val="Default"/>
        <w:ind w:left="720"/>
        <w:jc w:val="both"/>
        <w:rPr>
          <w:b/>
          <w:lang w:val="es-ES"/>
        </w:rPr>
      </w:pPr>
    </w:p>
    <w:p w14:paraId="3ACA9B4E" w14:textId="77777777" w:rsidR="00312764" w:rsidRDefault="00C33812" w:rsidP="00355816">
      <w:pPr>
        <w:pStyle w:val="Default"/>
        <w:numPr>
          <w:ilvl w:val="0"/>
          <w:numId w:val="32"/>
        </w:numPr>
        <w:jc w:val="both"/>
        <w:rPr>
          <w:b/>
          <w:lang w:val="es-ES"/>
        </w:rPr>
      </w:pPr>
      <w:r>
        <w:rPr>
          <w:b/>
          <w:lang w:val="es-ES"/>
        </w:rPr>
        <w:t xml:space="preserve"> </w:t>
      </w:r>
      <w:r w:rsidR="00312764">
        <w:rPr>
          <w:b/>
          <w:lang w:val="es-ES"/>
        </w:rPr>
        <w:t xml:space="preserve">Si mi plan de </w:t>
      </w:r>
      <w:r>
        <w:rPr>
          <w:b/>
          <w:lang w:val="es-ES"/>
        </w:rPr>
        <w:t xml:space="preserve">períodos de gracia </w:t>
      </w:r>
      <w:r w:rsidR="00312764">
        <w:rPr>
          <w:b/>
          <w:lang w:val="es-ES"/>
        </w:rPr>
        <w:t xml:space="preserve">va más allá del 31 de diciembre de 2020, </w:t>
      </w:r>
      <w:r>
        <w:rPr>
          <w:b/>
          <w:lang w:val="es-ES"/>
        </w:rPr>
        <w:t>¿</w:t>
      </w:r>
      <w:r w:rsidR="00312764">
        <w:rPr>
          <w:b/>
          <w:lang w:val="es-ES"/>
        </w:rPr>
        <w:t>no podr</w:t>
      </w:r>
      <w:r>
        <w:rPr>
          <w:b/>
          <w:lang w:val="es-ES"/>
        </w:rPr>
        <w:t xml:space="preserve">é </w:t>
      </w:r>
      <w:r w:rsidR="00312764">
        <w:rPr>
          <w:b/>
          <w:lang w:val="es-ES"/>
        </w:rPr>
        <w:t>acce</w:t>
      </w:r>
      <w:r>
        <w:rPr>
          <w:b/>
          <w:lang w:val="es-ES"/>
        </w:rPr>
        <w:t xml:space="preserve">der al </w:t>
      </w:r>
      <w:r w:rsidR="00F472F5" w:rsidRPr="00F472F5">
        <w:rPr>
          <w:b/>
          <w:lang w:val="es-ES"/>
        </w:rPr>
        <w:t>Programa de Acompañamiento a Deudores – PAD</w:t>
      </w:r>
      <w:r w:rsidR="00312764">
        <w:rPr>
          <w:b/>
          <w:lang w:val="es-ES"/>
        </w:rPr>
        <w:t>?</w:t>
      </w:r>
    </w:p>
    <w:p w14:paraId="09B4D5F5" w14:textId="77777777" w:rsidR="00333D00" w:rsidRDefault="00333D00" w:rsidP="00253A01">
      <w:pPr>
        <w:pStyle w:val="Default"/>
        <w:ind w:left="720"/>
        <w:jc w:val="both"/>
        <w:rPr>
          <w:b/>
          <w:lang w:val="es-ES"/>
        </w:rPr>
      </w:pPr>
    </w:p>
    <w:p w14:paraId="7980CA94" w14:textId="77777777" w:rsidR="00C33812" w:rsidRDefault="00333D00" w:rsidP="00F01470">
      <w:pPr>
        <w:pStyle w:val="Default"/>
        <w:jc w:val="both"/>
        <w:rPr>
          <w:bCs/>
          <w:lang w:val="es-ES"/>
        </w:rPr>
      </w:pPr>
      <w:r w:rsidRPr="00F01470">
        <w:rPr>
          <w:bCs/>
          <w:lang w:val="es-ES"/>
        </w:rPr>
        <w:t>P</w:t>
      </w:r>
      <w:r w:rsidR="00253A01" w:rsidRPr="00F01470">
        <w:rPr>
          <w:bCs/>
          <w:lang w:val="es-ES"/>
        </w:rPr>
        <w:t>ara los deudores cuyo alivio finalice en</w:t>
      </w:r>
      <w:r w:rsidR="00C33812">
        <w:rPr>
          <w:bCs/>
          <w:lang w:val="es-ES"/>
        </w:rPr>
        <w:t xml:space="preserve"> </w:t>
      </w:r>
      <w:r w:rsidR="00253A01" w:rsidRPr="00F01470">
        <w:rPr>
          <w:bCs/>
          <w:lang w:val="es-ES"/>
        </w:rPr>
        <w:t>2021 y requieran un ajuste sobre sus créditos</w:t>
      </w:r>
      <w:r w:rsidR="00C33812">
        <w:rPr>
          <w:bCs/>
          <w:lang w:val="es-ES"/>
        </w:rPr>
        <w:t>,</w:t>
      </w:r>
      <w:r w:rsidR="00253A01" w:rsidRPr="00F01470">
        <w:rPr>
          <w:bCs/>
          <w:lang w:val="es-ES"/>
        </w:rPr>
        <w:t xml:space="preserve"> aplicar</w:t>
      </w:r>
      <w:r w:rsidR="00C33812">
        <w:rPr>
          <w:bCs/>
          <w:lang w:val="es-ES"/>
        </w:rPr>
        <w:t>á</w:t>
      </w:r>
      <w:r w:rsidR="00253A01" w:rsidRPr="00F01470">
        <w:rPr>
          <w:bCs/>
          <w:lang w:val="es-ES"/>
        </w:rPr>
        <w:t xml:space="preserve">n las medidas </w:t>
      </w:r>
      <w:r w:rsidR="00C5365A">
        <w:rPr>
          <w:bCs/>
          <w:lang w:val="es-ES"/>
        </w:rPr>
        <w:t>de recuperación tradicionales.</w:t>
      </w:r>
    </w:p>
    <w:p w14:paraId="5CE880E8" w14:textId="77777777" w:rsidR="00C33812" w:rsidRDefault="00253A01" w:rsidP="00C14728">
      <w:pPr>
        <w:pStyle w:val="Default"/>
        <w:jc w:val="both"/>
        <w:rPr>
          <w:b/>
          <w:lang w:val="es-ES"/>
        </w:rPr>
      </w:pPr>
      <w:r w:rsidRPr="00F01470">
        <w:rPr>
          <w:bCs/>
          <w:lang w:val="es-ES"/>
        </w:rPr>
        <w:t xml:space="preserve"> </w:t>
      </w:r>
    </w:p>
    <w:p w14:paraId="5EA628E9" w14:textId="77777777" w:rsidR="00FD2F84" w:rsidRPr="00D20321" w:rsidRDefault="00FD2F84" w:rsidP="00D26865">
      <w:pPr>
        <w:pStyle w:val="Default"/>
        <w:ind w:left="720"/>
        <w:jc w:val="both"/>
        <w:rPr>
          <w:b/>
          <w:lang w:val="es-ES"/>
        </w:rPr>
      </w:pPr>
    </w:p>
    <w:p w14:paraId="277C4A50" w14:textId="4C200289" w:rsidR="00C14728" w:rsidRDefault="00C46B99" w:rsidP="00355816">
      <w:pPr>
        <w:pStyle w:val="Default"/>
        <w:numPr>
          <w:ilvl w:val="0"/>
          <w:numId w:val="32"/>
        </w:numPr>
        <w:jc w:val="both"/>
        <w:rPr>
          <w:b/>
          <w:lang w:val="es-ES"/>
        </w:rPr>
      </w:pPr>
      <w:r>
        <w:rPr>
          <w:b/>
          <w:lang w:val="es-ES"/>
        </w:rPr>
        <w:t xml:space="preserve"> </w:t>
      </w:r>
      <w:r w:rsidR="00C14728">
        <w:rPr>
          <w:b/>
          <w:lang w:val="es-ES"/>
        </w:rPr>
        <w:t xml:space="preserve">Si dejo de pagar el crédito bajo las nuevas condiciones, </w:t>
      </w:r>
      <w:r w:rsidR="00545CD1">
        <w:rPr>
          <w:b/>
          <w:lang w:val="es-ES"/>
        </w:rPr>
        <w:t>¿</w:t>
      </w:r>
      <w:r w:rsidR="00C14728">
        <w:rPr>
          <w:b/>
          <w:lang w:val="es-ES"/>
        </w:rPr>
        <w:t>rep</w:t>
      </w:r>
      <w:r w:rsidR="00545CD1">
        <w:rPr>
          <w:b/>
          <w:lang w:val="es-ES"/>
        </w:rPr>
        <w:t>o</w:t>
      </w:r>
      <w:r w:rsidR="00C14728">
        <w:rPr>
          <w:b/>
          <w:lang w:val="es-ES"/>
        </w:rPr>
        <w:t xml:space="preserve">rtan </w:t>
      </w:r>
      <w:r>
        <w:rPr>
          <w:b/>
          <w:lang w:val="es-ES"/>
        </w:rPr>
        <w:t xml:space="preserve">dicho incumplimiento </w:t>
      </w:r>
      <w:r w:rsidR="00C14728">
        <w:rPr>
          <w:b/>
          <w:lang w:val="es-ES"/>
        </w:rPr>
        <w:t>a la</w:t>
      </w:r>
      <w:r w:rsidR="00545CD1">
        <w:rPr>
          <w:b/>
          <w:lang w:val="es-ES"/>
        </w:rPr>
        <w:t>s</w:t>
      </w:r>
      <w:r w:rsidR="00C14728">
        <w:rPr>
          <w:b/>
          <w:lang w:val="es-ES"/>
        </w:rPr>
        <w:t xml:space="preserve"> central</w:t>
      </w:r>
      <w:r w:rsidR="00545CD1">
        <w:rPr>
          <w:b/>
          <w:lang w:val="es-ES"/>
        </w:rPr>
        <w:t>es</w:t>
      </w:r>
      <w:r w:rsidR="00C14728">
        <w:rPr>
          <w:b/>
          <w:lang w:val="es-ES"/>
        </w:rPr>
        <w:t xml:space="preserve"> de riesgo?</w:t>
      </w:r>
    </w:p>
    <w:p w14:paraId="663BA678" w14:textId="77777777" w:rsidR="00C14728" w:rsidRDefault="00C14728" w:rsidP="00C14728">
      <w:pPr>
        <w:pStyle w:val="Default"/>
        <w:ind w:left="720"/>
        <w:jc w:val="both"/>
        <w:rPr>
          <w:b/>
          <w:lang w:val="es-ES"/>
        </w:rPr>
      </w:pPr>
    </w:p>
    <w:p w14:paraId="31EA8425" w14:textId="6290DE0E" w:rsidR="00C46B99" w:rsidRPr="00F01470" w:rsidRDefault="001D55BD" w:rsidP="00542BC4">
      <w:pPr>
        <w:pStyle w:val="Default"/>
        <w:jc w:val="both"/>
        <w:rPr>
          <w:bCs/>
          <w:lang w:val="es-ES"/>
        </w:rPr>
      </w:pPr>
      <w:r w:rsidRPr="001D55BD">
        <w:rPr>
          <w:bCs/>
          <w:lang w:val="es-ES"/>
        </w:rPr>
        <w:t>Sí. Como en cualquier obligación, le son aplicables las normas vigentes en materia de habeas data.</w:t>
      </w:r>
    </w:p>
    <w:p w14:paraId="0CDC3E3C" w14:textId="29DAF89F" w:rsidR="00D26865" w:rsidRDefault="00D26865" w:rsidP="00D26865">
      <w:pPr>
        <w:pStyle w:val="Default"/>
        <w:jc w:val="both"/>
        <w:rPr>
          <w:bCs/>
          <w:lang w:val="es-ES"/>
        </w:rPr>
      </w:pPr>
    </w:p>
    <w:p w14:paraId="5080ADEC" w14:textId="739D1F7B" w:rsidR="00986F89" w:rsidRDefault="00986F89" w:rsidP="00D26865">
      <w:pPr>
        <w:pStyle w:val="Default"/>
        <w:jc w:val="both"/>
        <w:rPr>
          <w:bCs/>
          <w:lang w:val="es-ES"/>
        </w:rPr>
      </w:pPr>
    </w:p>
    <w:p w14:paraId="6DCDAF56" w14:textId="77777777" w:rsidR="00986F89" w:rsidRDefault="00986F89" w:rsidP="00D26865">
      <w:pPr>
        <w:pStyle w:val="Default"/>
        <w:jc w:val="both"/>
        <w:rPr>
          <w:bCs/>
          <w:lang w:val="es-ES"/>
        </w:rPr>
      </w:pPr>
    </w:p>
    <w:p w14:paraId="784C3F83" w14:textId="0B433D22" w:rsidR="00FE3378" w:rsidRDefault="00C46B99" w:rsidP="00355816">
      <w:pPr>
        <w:pStyle w:val="Default"/>
        <w:numPr>
          <w:ilvl w:val="0"/>
          <w:numId w:val="32"/>
        </w:numPr>
        <w:jc w:val="both"/>
        <w:rPr>
          <w:b/>
          <w:lang w:val="es-ES"/>
        </w:rPr>
      </w:pPr>
      <w:r>
        <w:rPr>
          <w:b/>
          <w:lang w:val="es-ES"/>
        </w:rPr>
        <w:t xml:space="preserve"> Actualmente t</w:t>
      </w:r>
      <w:r w:rsidR="00195BA8">
        <w:rPr>
          <w:b/>
          <w:lang w:val="es-ES"/>
        </w:rPr>
        <w:t>engo un per</w:t>
      </w:r>
      <w:r w:rsidR="00A910AD">
        <w:rPr>
          <w:b/>
          <w:lang w:val="es-ES"/>
        </w:rPr>
        <w:t>í</w:t>
      </w:r>
      <w:r w:rsidR="00195BA8">
        <w:rPr>
          <w:b/>
          <w:lang w:val="es-ES"/>
        </w:rPr>
        <w:t>odo de gracia, cuando me acoja a una redefinición</w:t>
      </w:r>
      <w:r>
        <w:rPr>
          <w:b/>
          <w:lang w:val="es-ES"/>
        </w:rPr>
        <w:t>, ¿</w:t>
      </w:r>
      <w:r w:rsidR="00195BA8">
        <w:rPr>
          <w:b/>
          <w:lang w:val="es-ES"/>
        </w:rPr>
        <w:t>e</w:t>
      </w:r>
      <w:r w:rsidR="00FE3378">
        <w:rPr>
          <w:b/>
          <w:lang w:val="es-ES"/>
        </w:rPr>
        <w:t>l saldo de mi crédito va</w:t>
      </w:r>
      <w:r w:rsidR="00195BA8">
        <w:rPr>
          <w:b/>
          <w:lang w:val="es-ES"/>
        </w:rPr>
        <w:t xml:space="preserve"> a</w:t>
      </w:r>
      <w:r w:rsidR="00FE3378">
        <w:rPr>
          <w:b/>
          <w:lang w:val="es-ES"/>
        </w:rPr>
        <w:t xml:space="preserve"> aumentar?</w:t>
      </w:r>
    </w:p>
    <w:p w14:paraId="202D7BE1" w14:textId="77777777" w:rsidR="00FE3378" w:rsidRDefault="00FE3378" w:rsidP="00FE3378">
      <w:pPr>
        <w:pStyle w:val="Default"/>
        <w:ind w:left="720"/>
        <w:jc w:val="both"/>
        <w:rPr>
          <w:b/>
          <w:lang w:val="es-ES"/>
        </w:rPr>
      </w:pPr>
    </w:p>
    <w:p w14:paraId="0BF620D0" w14:textId="1CF725DE" w:rsidR="00D213C5" w:rsidRPr="00F01470" w:rsidRDefault="000F056A" w:rsidP="00D26865">
      <w:pPr>
        <w:pStyle w:val="Default"/>
        <w:jc w:val="both"/>
        <w:rPr>
          <w:bCs/>
          <w:lang w:val="es-ES"/>
        </w:rPr>
      </w:pPr>
      <w:r w:rsidRPr="000F056A">
        <w:rPr>
          <w:bCs/>
          <w:lang w:val="es-ES"/>
        </w:rPr>
        <w:t>Teniendo en cuenta las cuotas no pagadas en el período de gracia, el saldo se ajustará de acuerdo con las condiciones de la redefinición. Sin embargo, no podrá existir capitalización de intereses ni de cuotas de manejo, seguros y otros conceptos que hayan sido diferidos.</w:t>
      </w:r>
    </w:p>
    <w:p w14:paraId="7C557645" w14:textId="77777777" w:rsidR="00D213C5" w:rsidRDefault="00D213C5" w:rsidP="00D26865">
      <w:pPr>
        <w:pStyle w:val="Default"/>
        <w:jc w:val="both"/>
        <w:rPr>
          <w:b/>
          <w:lang w:val="es-ES"/>
        </w:rPr>
      </w:pPr>
    </w:p>
    <w:p w14:paraId="75A7236F" w14:textId="77777777" w:rsidR="009D38F0" w:rsidRDefault="009D38F0" w:rsidP="00D26865">
      <w:pPr>
        <w:pStyle w:val="Default"/>
        <w:jc w:val="both"/>
        <w:rPr>
          <w:b/>
          <w:lang w:val="es-ES"/>
        </w:rPr>
      </w:pPr>
    </w:p>
    <w:p w14:paraId="28074898" w14:textId="435C7665" w:rsidR="00FB1A68" w:rsidRDefault="009D38F0" w:rsidP="00BE3C11">
      <w:pPr>
        <w:pStyle w:val="Default"/>
        <w:numPr>
          <w:ilvl w:val="0"/>
          <w:numId w:val="32"/>
        </w:numPr>
        <w:jc w:val="both"/>
        <w:rPr>
          <w:b/>
          <w:lang w:val="es-ES"/>
        </w:rPr>
      </w:pPr>
      <w:r>
        <w:rPr>
          <w:b/>
          <w:lang w:val="es-ES"/>
        </w:rPr>
        <w:t xml:space="preserve"> </w:t>
      </w:r>
      <w:r w:rsidR="00FB1A68">
        <w:rPr>
          <w:b/>
          <w:lang w:val="es-ES"/>
        </w:rPr>
        <w:t xml:space="preserve">Si acepto una redefinición de las condiciones de mi crédito, </w:t>
      </w:r>
      <w:r>
        <w:rPr>
          <w:b/>
          <w:lang w:val="es-ES"/>
        </w:rPr>
        <w:t>¿</w:t>
      </w:r>
      <w:r w:rsidR="00FB1A68">
        <w:rPr>
          <w:b/>
          <w:lang w:val="es-ES"/>
        </w:rPr>
        <w:t>me reportar</w:t>
      </w:r>
      <w:r w:rsidR="00A910AD">
        <w:rPr>
          <w:b/>
          <w:lang w:val="es-ES"/>
        </w:rPr>
        <w:t>á</w:t>
      </w:r>
      <w:r w:rsidR="00FB1A68">
        <w:rPr>
          <w:b/>
          <w:lang w:val="es-ES"/>
        </w:rPr>
        <w:t xml:space="preserve">n como reestructurado a las centrales de riesgo? </w:t>
      </w:r>
    </w:p>
    <w:p w14:paraId="3A78BF05" w14:textId="77777777" w:rsidR="00FB1A68" w:rsidRDefault="00FB1A68" w:rsidP="00FB1A68">
      <w:pPr>
        <w:pStyle w:val="Default"/>
        <w:jc w:val="both"/>
        <w:rPr>
          <w:b/>
          <w:lang w:val="es-ES"/>
        </w:rPr>
      </w:pPr>
    </w:p>
    <w:p w14:paraId="4544E773" w14:textId="32ED5ADF" w:rsidR="00FB1A68" w:rsidRPr="00BE3C11" w:rsidRDefault="00FB1A68" w:rsidP="00FB1A68">
      <w:pPr>
        <w:spacing w:line="276" w:lineRule="auto"/>
        <w:jc w:val="both"/>
        <w:rPr>
          <w:rFonts w:ascii="Arial" w:eastAsiaTheme="minorHAnsi" w:hAnsi="Arial" w:cs="Arial"/>
          <w:bCs/>
          <w:color w:val="000000"/>
          <w:sz w:val="24"/>
          <w:szCs w:val="24"/>
          <w:lang w:eastAsia="en-US"/>
        </w:rPr>
      </w:pPr>
      <w:r w:rsidRPr="00FB1A68">
        <w:rPr>
          <w:rFonts w:ascii="Arial" w:eastAsiaTheme="minorHAnsi" w:hAnsi="Arial" w:cs="Arial"/>
          <w:bCs/>
          <w:color w:val="000000"/>
          <w:sz w:val="24"/>
          <w:szCs w:val="24"/>
          <w:lang w:eastAsia="en-US"/>
        </w:rPr>
        <w:t>L</w:t>
      </w:r>
      <w:r w:rsidRPr="00BE3C11">
        <w:rPr>
          <w:rFonts w:ascii="Arial" w:eastAsiaTheme="minorHAnsi" w:hAnsi="Arial" w:cs="Arial"/>
          <w:bCs/>
          <w:color w:val="000000"/>
          <w:sz w:val="24"/>
          <w:szCs w:val="24"/>
          <w:lang w:eastAsia="en-US"/>
        </w:rPr>
        <w:t xml:space="preserve">os créditos que sean objeto de redefinición o aplicación de las medidas en el marco del </w:t>
      </w:r>
      <w:r w:rsidR="008732E7" w:rsidRPr="008732E7">
        <w:rPr>
          <w:rFonts w:ascii="Arial" w:eastAsiaTheme="minorHAnsi" w:hAnsi="Arial" w:cs="Arial"/>
          <w:bCs/>
          <w:color w:val="000000"/>
          <w:sz w:val="24"/>
          <w:szCs w:val="24"/>
          <w:lang w:eastAsia="en-US"/>
        </w:rPr>
        <w:t>Programa de Acompañamiento a Deudores – PAD</w:t>
      </w:r>
      <w:r w:rsidRPr="00BE3C11">
        <w:rPr>
          <w:rFonts w:ascii="Arial" w:eastAsiaTheme="minorHAnsi" w:hAnsi="Arial" w:cs="Arial"/>
          <w:bCs/>
          <w:color w:val="000000"/>
          <w:sz w:val="24"/>
          <w:szCs w:val="24"/>
          <w:lang w:eastAsia="en-US"/>
        </w:rPr>
        <w:t xml:space="preserve"> no serán considerados como reestructurados.</w:t>
      </w:r>
      <w:r w:rsidR="008732E7">
        <w:rPr>
          <w:rFonts w:ascii="Arial" w:eastAsiaTheme="minorHAnsi" w:hAnsi="Arial" w:cs="Arial"/>
          <w:bCs/>
          <w:color w:val="000000"/>
          <w:sz w:val="24"/>
          <w:szCs w:val="24"/>
          <w:lang w:eastAsia="en-US"/>
        </w:rPr>
        <w:t xml:space="preserve"> </w:t>
      </w:r>
      <w:r w:rsidRPr="00BE3C11">
        <w:rPr>
          <w:rFonts w:ascii="Arial" w:eastAsiaTheme="minorHAnsi" w:hAnsi="Arial" w:cs="Arial"/>
          <w:bCs/>
          <w:color w:val="000000"/>
          <w:sz w:val="24"/>
          <w:szCs w:val="24"/>
          <w:lang w:eastAsia="en-US"/>
        </w:rPr>
        <w:t xml:space="preserve">Sin embargo, aquellos créditos que al momento de la aplicación de las medidas adoptadas en el marco del </w:t>
      </w:r>
      <w:r w:rsidR="008732E7">
        <w:rPr>
          <w:rFonts w:ascii="Arial" w:eastAsiaTheme="minorHAnsi" w:hAnsi="Arial" w:cs="Arial"/>
          <w:bCs/>
          <w:color w:val="000000"/>
          <w:sz w:val="24"/>
          <w:szCs w:val="24"/>
          <w:lang w:eastAsia="en-US"/>
        </w:rPr>
        <w:t>PAD</w:t>
      </w:r>
      <w:r w:rsidRPr="00BE3C11">
        <w:rPr>
          <w:rFonts w:ascii="Arial" w:eastAsiaTheme="minorHAnsi" w:hAnsi="Arial" w:cs="Arial"/>
          <w:bCs/>
          <w:color w:val="000000"/>
          <w:sz w:val="24"/>
          <w:szCs w:val="24"/>
          <w:lang w:eastAsia="en-US"/>
        </w:rPr>
        <w:t xml:space="preserve"> presentaban tal condición, la mantendrán.</w:t>
      </w:r>
    </w:p>
    <w:p w14:paraId="7F700F4C" w14:textId="77777777" w:rsidR="00FB1A68" w:rsidRDefault="00FB1A68" w:rsidP="00FB1A68">
      <w:pPr>
        <w:pStyle w:val="Default"/>
        <w:jc w:val="both"/>
        <w:rPr>
          <w:b/>
          <w:lang w:val="es-ES"/>
        </w:rPr>
      </w:pPr>
    </w:p>
    <w:p w14:paraId="0907E5BA" w14:textId="77777777" w:rsidR="00C46B99" w:rsidRDefault="00C46B99" w:rsidP="00D26865">
      <w:pPr>
        <w:pStyle w:val="Default"/>
        <w:jc w:val="both"/>
        <w:rPr>
          <w:b/>
          <w:lang w:val="es-ES"/>
        </w:rPr>
      </w:pPr>
    </w:p>
    <w:p w14:paraId="0F04C1A7" w14:textId="0EB329FE" w:rsidR="00D213C5" w:rsidRDefault="00C46B99" w:rsidP="00355816">
      <w:pPr>
        <w:pStyle w:val="Default"/>
        <w:numPr>
          <w:ilvl w:val="0"/>
          <w:numId w:val="32"/>
        </w:numPr>
        <w:jc w:val="both"/>
        <w:rPr>
          <w:b/>
          <w:lang w:val="es-ES"/>
        </w:rPr>
      </w:pPr>
      <w:r>
        <w:rPr>
          <w:b/>
          <w:lang w:val="es-ES"/>
        </w:rPr>
        <w:t xml:space="preserve"> </w:t>
      </w:r>
      <w:r w:rsidR="00D213C5">
        <w:rPr>
          <w:b/>
          <w:lang w:val="es-ES"/>
        </w:rPr>
        <w:t>¿</w:t>
      </w:r>
      <w:r>
        <w:rPr>
          <w:b/>
          <w:lang w:val="es-ES"/>
        </w:rPr>
        <w:t>El establecimiento de crédito está o</w:t>
      </w:r>
      <w:r w:rsidR="00D213C5">
        <w:rPr>
          <w:b/>
          <w:lang w:val="es-ES"/>
        </w:rPr>
        <w:t>bligad</w:t>
      </w:r>
      <w:r>
        <w:rPr>
          <w:b/>
          <w:lang w:val="es-ES"/>
        </w:rPr>
        <w:t>o</w:t>
      </w:r>
      <w:r w:rsidR="00D213C5">
        <w:rPr>
          <w:b/>
          <w:lang w:val="es-ES"/>
        </w:rPr>
        <w:t xml:space="preserve"> a</w:t>
      </w:r>
      <w:r w:rsidR="008732E7">
        <w:rPr>
          <w:b/>
          <w:lang w:val="es-ES"/>
        </w:rPr>
        <w:t xml:space="preserve"> aplicar el</w:t>
      </w:r>
      <w:r w:rsidR="00D213C5">
        <w:rPr>
          <w:b/>
          <w:lang w:val="es-ES"/>
        </w:rPr>
        <w:t xml:space="preserve"> </w:t>
      </w:r>
      <w:r w:rsidR="008732E7" w:rsidRPr="008732E7">
        <w:rPr>
          <w:b/>
          <w:lang w:val="es-ES"/>
        </w:rPr>
        <w:t xml:space="preserve">Programa de Acompañamiento a Deudores – PAD </w:t>
      </w:r>
      <w:r w:rsidR="008732E7">
        <w:rPr>
          <w:b/>
          <w:lang w:val="es-ES"/>
        </w:rPr>
        <w:t>a mi</w:t>
      </w:r>
      <w:r w:rsidR="00D213C5">
        <w:rPr>
          <w:b/>
          <w:lang w:val="es-ES"/>
        </w:rPr>
        <w:t xml:space="preserve"> crédito?</w:t>
      </w:r>
    </w:p>
    <w:p w14:paraId="4485D62B" w14:textId="77777777" w:rsidR="00D213C5" w:rsidRPr="00D213C5" w:rsidRDefault="00D213C5" w:rsidP="00D26865">
      <w:pPr>
        <w:pStyle w:val="Default"/>
        <w:jc w:val="both"/>
        <w:rPr>
          <w:bCs/>
          <w:lang w:val="es-ES"/>
        </w:rPr>
      </w:pPr>
    </w:p>
    <w:p w14:paraId="5D7619CB" w14:textId="1531BE95" w:rsidR="00D26865" w:rsidRDefault="00D213C5" w:rsidP="00D26865">
      <w:pPr>
        <w:pStyle w:val="Default"/>
        <w:jc w:val="both"/>
        <w:rPr>
          <w:lang w:val="es-ES"/>
        </w:rPr>
      </w:pPr>
      <w:r>
        <w:rPr>
          <w:lang w:val="es-ES"/>
        </w:rPr>
        <w:t>No</w:t>
      </w:r>
      <w:r w:rsidR="00C46B99">
        <w:rPr>
          <w:lang w:val="es-ES"/>
        </w:rPr>
        <w:t>. L</w:t>
      </w:r>
      <w:r>
        <w:rPr>
          <w:lang w:val="es-ES"/>
        </w:rPr>
        <w:t xml:space="preserve">as condiciones para acceder al </w:t>
      </w:r>
      <w:r w:rsidR="008732E7">
        <w:rPr>
          <w:lang w:val="es-ES"/>
        </w:rPr>
        <w:t>PAD</w:t>
      </w:r>
      <w:r>
        <w:rPr>
          <w:lang w:val="es-ES"/>
        </w:rPr>
        <w:t xml:space="preserve"> son definidas por</w:t>
      </w:r>
      <w:r w:rsidR="00C46B99">
        <w:rPr>
          <w:lang w:val="es-ES"/>
        </w:rPr>
        <w:t xml:space="preserve"> cada establecimiento de crédito </w:t>
      </w:r>
      <w:r>
        <w:rPr>
          <w:lang w:val="es-ES"/>
        </w:rPr>
        <w:t>en función de parámetros objetivos co</w:t>
      </w:r>
      <w:r w:rsidR="00EC7CD1">
        <w:rPr>
          <w:lang w:val="es-ES"/>
        </w:rPr>
        <w:t>m</w:t>
      </w:r>
      <w:r>
        <w:rPr>
          <w:lang w:val="es-ES"/>
        </w:rPr>
        <w:t xml:space="preserve">o la afectación de </w:t>
      </w:r>
      <w:r w:rsidR="00EC7CD1">
        <w:rPr>
          <w:lang w:val="es-ES"/>
        </w:rPr>
        <w:t xml:space="preserve">los ingresos y </w:t>
      </w:r>
      <w:r>
        <w:rPr>
          <w:lang w:val="es-ES"/>
        </w:rPr>
        <w:t xml:space="preserve">la capacidad de pago </w:t>
      </w:r>
      <w:r w:rsidR="00945488">
        <w:rPr>
          <w:lang w:val="es-ES"/>
        </w:rPr>
        <w:t>del deudor</w:t>
      </w:r>
      <w:r w:rsidR="00C46B99">
        <w:rPr>
          <w:lang w:val="es-ES"/>
        </w:rPr>
        <w:t xml:space="preserve">, así como </w:t>
      </w:r>
      <w:r w:rsidR="00EC7CD1">
        <w:rPr>
          <w:lang w:val="es-ES"/>
        </w:rPr>
        <w:t xml:space="preserve">de </w:t>
      </w:r>
      <w:r>
        <w:rPr>
          <w:lang w:val="es-ES"/>
        </w:rPr>
        <w:t>su potencial recuperación en el tiempo</w:t>
      </w:r>
      <w:r w:rsidR="00EC7CD1">
        <w:rPr>
          <w:lang w:val="es-ES"/>
        </w:rPr>
        <w:t xml:space="preserve"> para seguir atendiendo sus obligaciones en l</w:t>
      </w:r>
      <w:r w:rsidR="00E06A0B">
        <w:rPr>
          <w:lang w:val="es-ES"/>
        </w:rPr>
        <w:t>o</w:t>
      </w:r>
      <w:r w:rsidR="00EC7CD1">
        <w:rPr>
          <w:lang w:val="es-ES"/>
        </w:rPr>
        <w:t xml:space="preserve">s nuevos </w:t>
      </w:r>
      <w:r w:rsidR="00E06A0B">
        <w:rPr>
          <w:lang w:val="es-ES"/>
        </w:rPr>
        <w:t xml:space="preserve">términos </w:t>
      </w:r>
      <w:r w:rsidR="00EC7CD1">
        <w:rPr>
          <w:lang w:val="es-ES"/>
        </w:rPr>
        <w:t>previstos</w:t>
      </w:r>
      <w:r w:rsidR="006B1068">
        <w:rPr>
          <w:lang w:val="es-ES"/>
        </w:rPr>
        <w:t>.</w:t>
      </w:r>
    </w:p>
    <w:p w14:paraId="16C86959" w14:textId="77777777" w:rsidR="009A618E" w:rsidRDefault="00C46B99" w:rsidP="00D26865">
      <w:pPr>
        <w:pStyle w:val="Default"/>
        <w:jc w:val="both"/>
        <w:rPr>
          <w:b/>
          <w:bCs/>
          <w:lang w:val="es-ES"/>
        </w:rPr>
      </w:pPr>
      <w:r>
        <w:rPr>
          <w:b/>
          <w:bCs/>
          <w:lang w:val="es-ES"/>
        </w:rPr>
        <w:t xml:space="preserve"> </w:t>
      </w:r>
    </w:p>
    <w:p w14:paraId="217E44B0" w14:textId="77777777" w:rsidR="00FB1A68" w:rsidRDefault="00FB1A68" w:rsidP="00D26865">
      <w:pPr>
        <w:pStyle w:val="Default"/>
        <w:jc w:val="both"/>
        <w:rPr>
          <w:b/>
          <w:bCs/>
          <w:lang w:val="es-ES"/>
        </w:rPr>
      </w:pPr>
    </w:p>
    <w:p w14:paraId="041DE71D" w14:textId="0E4D88DD" w:rsidR="00FB1A68" w:rsidRDefault="00FB1A68" w:rsidP="009A618E">
      <w:pPr>
        <w:pStyle w:val="Default"/>
        <w:numPr>
          <w:ilvl w:val="0"/>
          <w:numId w:val="32"/>
        </w:numPr>
        <w:jc w:val="both"/>
        <w:rPr>
          <w:b/>
          <w:lang w:val="es-ES"/>
        </w:rPr>
      </w:pPr>
      <w:r>
        <w:rPr>
          <w:b/>
          <w:lang w:val="es-ES"/>
        </w:rPr>
        <w:t xml:space="preserve">Si tengo dudas sobre la aplicación del </w:t>
      </w:r>
      <w:r w:rsidR="008732E7">
        <w:rPr>
          <w:b/>
          <w:lang w:val="es-ES"/>
        </w:rPr>
        <w:t>PAD</w:t>
      </w:r>
      <w:r>
        <w:rPr>
          <w:b/>
          <w:lang w:val="es-ES"/>
        </w:rPr>
        <w:t>, ¿en dónde puedo obtener información adicional?</w:t>
      </w:r>
    </w:p>
    <w:p w14:paraId="0A37E87A" w14:textId="77777777" w:rsidR="00FB1A68" w:rsidRDefault="00FB1A68" w:rsidP="00FB1A68">
      <w:pPr>
        <w:pStyle w:val="Default"/>
        <w:jc w:val="both"/>
        <w:rPr>
          <w:b/>
          <w:lang w:val="es-ES"/>
        </w:rPr>
      </w:pPr>
    </w:p>
    <w:p w14:paraId="1DDE58DA" w14:textId="181FFB71" w:rsidR="00FB1A68" w:rsidRPr="00F01470" w:rsidRDefault="00FB1A68" w:rsidP="00FB1A68">
      <w:pPr>
        <w:pStyle w:val="Default"/>
        <w:jc w:val="both"/>
        <w:rPr>
          <w:bCs/>
          <w:lang w:val="es-ES"/>
        </w:rPr>
      </w:pPr>
      <w:r w:rsidRPr="00F01470">
        <w:rPr>
          <w:bCs/>
          <w:lang w:val="es-ES"/>
        </w:rPr>
        <w:t>L</w:t>
      </w:r>
      <w:r>
        <w:rPr>
          <w:bCs/>
          <w:lang w:val="es-ES"/>
        </w:rPr>
        <w:t xml:space="preserve">os establecimientos de crédito </w:t>
      </w:r>
      <w:r w:rsidRPr="00F01470">
        <w:rPr>
          <w:bCs/>
          <w:lang w:val="es-ES"/>
        </w:rPr>
        <w:t xml:space="preserve">definirán </w:t>
      </w:r>
      <w:r>
        <w:rPr>
          <w:bCs/>
          <w:lang w:val="es-ES"/>
        </w:rPr>
        <w:t xml:space="preserve">y darán a conocer </w:t>
      </w:r>
      <w:r w:rsidRPr="00F01470">
        <w:rPr>
          <w:bCs/>
          <w:lang w:val="es-ES"/>
        </w:rPr>
        <w:t xml:space="preserve">los canales y medios mediante los cuales los clientes podrán </w:t>
      </w:r>
      <w:r w:rsidR="000139A1">
        <w:rPr>
          <w:bCs/>
          <w:lang w:val="es-ES"/>
        </w:rPr>
        <w:t xml:space="preserve">no sólo </w:t>
      </w:r>
      <w:r w:rsidRPr="00F01470">
        <w:rPr>
          <w:bCs/>
          <w:lang w:val="es-ES"/>
        </w:rPr>
        <w:t>resolver sus inquietudes</w:t>
      </w:r>
      <w:r w:rsidR="000139A1">
        <w:rPr>
          <w:bCs/>
          <w:lang w:val="es-ES"/>
        </w:rPr>
        <w:t xml:space="preserve"> sino conocer el</w:t>
      </w:r>
      <w:r w:rsidR="008732E7" w:rsidRPr="008732E7">
        <w:t xml:space="preserve"> </w:t>
      </w:r>
      <w:r w:rsidR="008732E7" w:rsidRPr="008732E7">
        <w:rPr>
          <w:bCs/>
          <w:lang w:val="es-ES"/>
        </w:rPr>
        <w:t xml:space="preserve">Programa de Acompañamiento a Deudores – PAD </w:t>
      </w:r>
      <w:r w:rsidR="00E11883">
        <w:rPr>
          <w:bCs/>
          <w:lang w:val="es-ES"/>
        </w:rPr>
        <w:t>de</w:t>
      </w:r>
      <w:r w:rsidR="000139A1">
        <w:rPr>
          <w:bCs/>
          <w:lang w:val="es-ES"/>
        </w:rPr>
        <w:t xml:space="preserve"> cada entidad</w:t>
      </w:r>
      <w:r>
        <w:rPr>
          <w:bCs/>
          <w:lang w:val="es-ES"/>
        </w:rPr>
        <w:t>.</w:t>
      </w:r>
      <w:r w:rsidRPr="00F01470">
        <w:rPr>
          <w:bCs/>
          <w:lang w:val="es-ES"/>
        </w:rPr>
        <w:t xml:space="preserve"> </w:t>
      </w:r>
    </w:p>
    <w:p w14:paraId="54758060" w14:textId="77777777" w:rsidR="008732E7" w:rsidRDefault="008732E7" w:rsidP="00FB1A68">
      <w:pPr>
        <w:pStyle w:val="Default"/>
        <w:ind w:left="720"/>
        <w:jc w:val="both"/>
        <w:rPr>
          <w:b/>
          <w:lang w:val="es-ES"/>
        </w:rPr>
      </w:pPr>
    </w:p>
    <w:p w14:paraId="7DE39F52" w14:textId="06CC679D" w:rsidR="00FB1A68" w:rsidRDefault="00FB1A68" w:rsidP="00D26865">
      <w:pPr>
        <w:pStyle w:val="Default"/>
        <w:jc w:val="both"/>
        <w:rPr>
          <w:b/>
          <w:bCs/>
          <w:lang w:val="es-ES"/>
        </w:rPr>
      </w:pPr>
    </w:p>
    <w:p w14:paraId="6AAF9EC4" w14:textId="6E6AAFE6" w:rsidR="00986F89" w:rsidRDefault="00986F89" w:rsidP="00D26865">
      <w:pPr>
        <w:pStyle w:val="Default"/>
        <w:jc w:val="both"/>
        <w:rPr>
          <w:b/>
          <w:bCs/>
          <w:lang w:val="es-ES"/>
        </w:rPr>
      </w:pPr>
    </w:p>
    <w:p w14:paraId="0DEAFD93" w14:textId="0B0E9CFD" w:rsidR="00986F89" w:rsidRDefault="00986F89" w:rsidP="00D26865">
      <w:pPr>
        <w:pStyle w:val="Default"/>
        <w:jc w:val="both"/>
        <w:rPr>
          <w:b/>
          <w:bCs/>
          <w:lang w:val="es-ES"/>
        </w:rPr>
      </w:pPr>
    </w:p>
    <w:p w14:paraId="4AA94C4F" w14:textId="77777777" w:rsidR="00986F89" w:rsidRDefault="00986F89" w:rsidP="00D26865">
      <w:pPr>
        <w:pStyle w:val="Default"/>
        <w:jc w:val="both"/>
        <w:rPr>
          <w:b/>
          <w:bCs/>
          <w:lang w:val="es-ES"/>
        </w:rPr>
      </w:pPr>
    </w:p>
    <w:p w14:paraId="6C846456" w14:textId="77777777" w:rsidR="00986F89" w:rsidRDefault="00986F89" w:rsidP="00986F89">
      <w:pPr>
        <w:pStyle w:val="Default"/>
        <w:ind w:left="927"/>
        <w:jc w:val="both"/>
        <w:rPr>
          <w:b/>
          <w:lang w:val="es-ES"/>
        </w:rPr>
      </w:pPr>
    </w:p>
    <w:p w14:paraId="2063F7B7" w14:textId="5BE14797" w:rsidR="00FB1A68" w:rsidRDefault="00FB1A68" w:rsidP="009A618E">
      <w:pPr>
        <w:pStyle w:val="Default"/>
        <w:numPr>
          <w:ilvl w:val="0"/>
          <w:numId w:val="32"/>
        </w:numPr>
        <w:jc w:val="both"/>
        <w:rPr>
          <w:b/>
          <w:lang w:val="es-ES"/>
        </w:rPr>
      </w:pPr>
      <w:r>
        <w:rPr>
          <w:b/>
          <w:lang w:val="es-ES"/>
        </w:rPr>
        <w:t xml:space="preserve">¿Qué papel cumple el Defensor del Consumidor Financiero dentro del </w:t>
      </w:r>
      <w:r w:rsidR="00F472F5" w:rsidRPr="00F472F5">
        <w:rPr>
          <w:b/>
          <w:lang w:val="es-ES"/>
        </w:rPr>
        <w:t>Programa de Acompañamiento a Deudores – PAD</w:t>
      </w:r>
      <w:r>
        <w:rPr>
          <w:b/>
          <w:lang w:val="es-ES"/>
        </w:rPr>
        <w:t>?</w:t>
      </w:r>
    </w:p>
    <w:p w14:paraId="3622E2C0" w14:textId="77777777" w:rsidR="00FB1A68" w:rsidRDefault="00FB1A68" w:rsidP="00FB1A68">
      <w:pPr>
        <w:pStyle w:val="Default"/>
        <w:jc w:val="both"/>
        <w:rPr>
          <w:b/>
          <w:lang w:val="es-ES"/>
        </w:rPr>
      </w:pPr>
    </w:p>
    <w:p w14:paraId="7361AD39" w14:textId="3ACABBF7" w:rsidR="00FB1A68" w:rsidRDefault="00FB1A68" w:rsidP="00FB1A68">
      <w:pPr>
        <w:pStyle w:val="Default"/>
        <w:jc w:val="both"/>
        <w:rPr>
          <w:bCs/>
          <w:lang w:val="es-ES"/>
        </w:rPr>
      </w:pPr>
      <w:r w:rsidRPr="00F01470">
        <w:rPr>
          <w:bCs/>
          <w:lang w:val="es-ES"/>
        </w:rPr>
        <w:t>El D</w:t>
      </w:r>
      <w:r>
        <w:rPr>
          <w:bCs/>
          <w:lang w:val="es-ES"/>
        </w:rPr>
        <w:t>efensor del Consumidor Financiero – D</w:t>
      </w:r>
      <w:r w:rsidRPr="00F01470">
        <w:rPr>
          <w:bCs/>
          <w:lang w:val="es-ES"/>
        </w:rPr>
        <w:t>CF</w:t>
      </w:r>
      <w:r>
        <w:rPr>
          <w:bCs/>
          <w:lang w:val="es-ES"/>
        </w:rPr>
        <w:t xml:space="preserve"> -</w:t>
      </w:r>
      <w:r w:rsidRPr="00F01470">
        <w:rPr>
          <w:bCs/>
          <w:lang w:val="es-ES"/>
        </w:rPr>
        <w:t xml:space="preserve"> es la figura que actuará como vocero de los consumidores financieros y participará</w:t>
      </w:r>
      <w:r w:rsidR="00C31E68">
        <w:rPr>
          <w:bCs/>
          <w:lang w:val="es-ES"/>
        </w:rPr>
        <w:t xml:space="preserve"> en el marco de sus competencias</w:t>
      </w:r>
      <w:r w:rsidRPr="00F01470">
        <w:rPr>
          <w:bCs/>
          <w:lang w:val="es-ES"/>
        </w:rPr>
        <w:t xml:space="preserve"> activamente para que la estrategia de atención al consumidor definida funcione adecuadamente y tenga el impacto esperado.</w:t>
      </w:r>
    </w:p>
    <w:p w14:paraId="0E99CB73" w14:textId="77777777" w:rsidR="008732E7" w:rsidRDefault="008732E7" w:rsidP="00FB1A68">
      <w:pPr>
        <w:pStyle w:val="Default"/>
        <w:jc w:val="both"/>
        <w:rPr>
          <w:bCs/>
          <w:lang w:val="es-ES"/>
        </w:rPr>
      </w:pPr>
    </w:p>
    <w:p w14:paraId="053F5CDF" w14:textId="77777777" w:rsidR="00122034" w:rsidRDefault="00122034" w:rsidP="00FB1A68">
      <w:pPr>
        <w:pStyle w:val="Default"/>
        <w:jc w:val="both"/>
        <w:rPr>
          <w:bCs/>
          <w:lang w:val="es-ES"/>
        </w:rPr>
      </w:pPr>
    </w:p>
    <w:p w14:paraId="6ADA7F8C" w14:textId="40B0255A" w:rsidR="00122034" w:rsidRDefault="00122034" w:rsidP="00122034">
      <w:pPr>
        <w:pStyle w:val="Default"/>
        <w:numPr>
          <w:ilvl w:val="0"/>
          <w:numId w:val="32"/>
        </w:numPr>
        <w:jc w:val="both"/>
        <w:rPr>
          <w:b/>
          <w:lang w:val="es-ES"/>
        </w:rPr>
      </w:pPr>
      <w:r>
        <w:rPr>
          <w:bCs/>
          <w:lang w:val="es-ES"/>
        </w:rPr>
        <w:t xml:space="preserve"> </w:t>
      </w:r>
      <w:r w:rsidRPr="00D53358">
        <w:rPr>
          <w:b/>
          <w:lang w:val="es-ES"/>
        </w:rPr>
        <w:t>¿Puedo acceder a</w:t>
      </w:r>
      <w:r w:rsidR="008732E7">
        <w:rPr>
          <w:b/>
          <w:lang w:val="es-ES"/>
        </w:rPr>
        <w:t xml:space="preserve">l PAD </w:t>
      </w:r>
      <w:r w:rsidRPr="00D53358">
        <w:rPr>
          <w:b/>
          <w:lang w:val="es-ES"/>
        </w:rPr>
        <w:t>si tengo más de un crédito en la misma entidad o en distintas entidades?</w:t>
      </w:r>
    </w:p>
    <w:p w14:paraId="5B5C01F6" w14:textId="77777777" w:rsidR="00A701F9" w:rsidRPr="00D53358" w:rsidRDefault="00A701F9" w:rsidP="0011561B">
      <w:pPr>
        <w:pStyle w:val="Default"/>
        <w:ind w:left="720"/>
        <w:jc w:val="both"/>
        <w:rPr>
          <w:b/>
          <w:lang w:val="es-ES"/>
        </w:rPr>
      </w:pPr>
    </w:p>
    <w:p w14:paraId="73C42DFB" w14:textId="1AA642F8" w:rsidR="00A701F9" w:rsidRPr="00F01470" w:rsidRDefault="008732E7" w:rsidP="0011561B">
      <w:pPr>
        <w:pStyle w:val="Default"/>
        <w:jc w:val="both"/>
        <w:rPr>
          <w:bCs/>
          <w:lang w:val="es-ES"/>
        </w:rPr>
      </w:pPr>
      <w:r>
        <w:rPr>
          <w:bCs/>
          <w:lang w:val="es-ES"/>
        </w:rPr>
        <w:t xml:space="preserve">A través de la </w:t>
      </w:r>
      <w:hyperlink r:id="rId14" w:history="1">
        <w:r w:rsidR="00A81C5E" w:rsidRPr="004E3E63">
          <w:rPr>
            <w:rStyle w:val="Hipervnculo"/>
            <w:b/>
            <w:color w:val="800000"/>
          </w:rPr>
          <w:t>Circular Externa 02</w:t>
        </w:r>
        <w:r w:rsidR="00A81C5E" w:rsidRPr="004E3E63">
          <w:rPr>
            <w:rStyle w:val="Hipervnculo"/>
            <w:b/>
            <w:color w:val="800000"/>
          </w:rPr>
          <w:t>2</w:t>
        </w:r>
        <w:r w:rsidR="00A81C5E" w:rsidRPr="004E3E63">
          <w:rPr>
            <w:rStyle w:val="Hipervnculo"/>
            <w:b/>
            <w:color w:val="800000"/>
          </w:rPr>
          <w:t xml:space="preserve"> de 2020</w:t>
        </w:r>
      </w:hyperlink>
      <w:r>
        <w:rPr>
          <w:bCs/>
        </w:rPr>
        <w:t xml:space="preserve"> la</w:t>
      </w:r>
      <w:r>
        <w:rPr>
          <w:bCs/>
          <w:lang w:val="es-ES"/>
        </w:rPr>
        <w:t xml:space="preserve"> SFC no estableció instrucciones particulares al respecto</w:t>
      </w:r>
      <w:r w:rsidRPr="00F01470">
        <w:rPr>
          <w:bCs/>
          <w:lang w:val="es-ES"/>
        </w:rPr>
        <w:t xml:space="preserve">; sin </w:t>
      </w:r>
      <w:r w:rsidRPr="00D078F4">
        <w:rPr>
          <w:bCs/>
          <w:lang w:val="es-ES"/>
        </w:rPr>
        <w:t>embargo,</w:t>
      </w:r>
      <w:r w:rsidRPr="00F01470">
        <w:rPr>
          <w:bCs/>
          <w:lang w:val="es-ES"/>
        </w:rPr>
        <w:t xml:space="preserve"> </w:t>
      </w:r>
      <w:r w:rsidR="00A701F9">
        <w:rPr>
          <w:bCs/>
          <w:lang w:val="es-ES"/>
        </w:rPr>
        <w:t xml:space="preserve">se debe tener en cuenta que </w:t>
      </w:r>
      <w:r w:rsidR="00A701F9" w:rsidRPr="00F01470">
        <w:rPr>
          <w:bCs/>
          <w:lang w:val="es-ES"/>
        </w:rPr>
        <w:t xml:space="preserve">cada </w:t>
      </w:r>
      <w:r w:rsidR="00A701F9">
        <w:rPr>
          <w:bCs/>
          <w:lang w:val="es-ES"/>
        </w:rPr>
        <w:t xml:space="preserve">establecimiento de crédito podrá determinarlo </w:t>
      </w:r>
      <w:r w:rsidRPr="008732E7">
        <w:rPr>
          <w:bCs/>
          <w:lang w:val="es-ES"/>
        </w:rPr>
        <w:t>dentro de</w:t>
      </w:r>
      <w:r>
        <w:rPr>
          <w:bCs/>
          <w:lang w:val="es-ES"/>
        </w:rPr>
        <w:t xml:space="preserve"> su</w:t>
      </w:r>
      <w:r w:rsidRPr="008732E7">
        <w:rPr>
          <w:bCs/>
          <w:lang w:val="es-ES"/>
        </w:rPr>
        <w:t xml:space="preserve"> Programa de Acompañamiento a Deudores – PAD</w:t>
      </w:r>
      <w:r>
        <w:rPr>
          <w:bCs/>
          <w:lang w:val="es-ES"/>
        </w:rPr>
        <w:t>.</w:t>
      </w:r>
    </w:p>
    <w:p w14:paraId="48DCD606" w14:textId="77777777" w:rsidR="00A701F9" w:rsidRPr="00A701F9" w:rsidRDefault="00A701F9" w:rsidP="00A701F9">
      <w:pPr>
        <w:pStyle w:val="Default"/>
        <w:jc w:val="both"/>
        <w:rPr>
          <w:bCs/>
          <w:lang w:val="es-ES"/>
        </w:rPr>
      </w:pPr>
    </w:p>
    <w:p w14:paraId="5B0B8E21" w14:textId="77777777" w:rsidR="00A701F9" w:rsidRPr="00D53358" w:rsidRDefault="00A701F9" w:rsidP="00A701F9">
      <w:pPr>
        <w:pStyle w:val="Default"/>
        <w:jc w:val="both"/>
        <w:rPr>
          <w:b/>
          <w:lang w:val="es-ES"/>
        </w:rPr>
      </w:pPr>
    </w:p>
    <w:p w14:paraId="15C77DB1" w14:textId="77777777" w:rsidR="00A701F9" w:rsidRPr="0011561B" w:rsidRDefault="00A701F9" w:rsidP="0011561B">
      <w:pPr>
        <w:rPr>
          <w:b/>
        </w:rPr>
      </w:pPr>
    </w:p>
    <w:p w14:paraId="7A155F8A" w14:textId="77777777" w:rsidR="00122034" w:rsidRPr="00F01470" w:rsidRDefault="00122034" w:rsidP="00D53358">
      <w:pPr>
        <w:pStyle w:val="Default"/>
        <w:ind w:left="720"/>
        <w:jc w:val="both"/>
        <w:rPr>
          <w:bCs/>
          <w:lang w:val="es-ES"/>
        </w:rPr>
      </w:pPr>
    </w:p>
    <w:p w14:paraId="20FF2D5E" w14:textId="77777777" w:rsidR="00FB1A68" w:rsidRDefault="00FB1A68" w:rsidP="00FB1A68">
      <w:pPr>
        <w:pStyle w:val="Default"/>
        <w:jc w:val="both"/>
        <w:rPr>
          <w:b/>
          <w:lang w:val="es-ES"/>
        </w:rPr>
      </w:pPr>
    </w:p>
    <w:p w14:paraId="787C28EA" w14:textId="77777777" w:rsidR="00FB1A68" w:rsidRDefault="00FB1A68" w:rsidP="00D26865">
      <w:pPr>
        <w:pStyle w:val="Default"/>
        <w:jc w:val="both"/>
        <w:rPr>
          <w:b/>
          <w:bCs/>
          <w:lang w:val="es-ES"/>
        </w:rPr>
      </w:pPr>
    </w:p>
    <w:p w14:paraId="4E3A9AEF" w14:textId="77777777" w:rsidR="00D26865" w:rsidRPr="00F05F60" w:rsidRDefault="00D26865" w:rsidP="00D26865">
      <w:pPr>
        <w:pStyle w:val="Default"/>
        <w:jc w:val="both"/>
        <w:rPr>
          <w:b/>
          <w:bCs/>
          <w:lang w:val="es-ES"/>
        </w:rPr>
      </w:pPr>
    </w:p>
    <w:p w14:paraId="39569B77" w14:textId="77777777" w:rsidR="00D26865" w:rsidRPr="00F05F60" w:rsidRDefault="00D26865" w:rsidP="00D26865">
      <w:pPr>
        <w:pStyle w:val="Default"/>
        <w:jc w:val="both"/>
      </w:pPr>
    </w:p>
    <w:p w14:paraId="4A96F980" w14:textId="77777777" w:rsidR="00D26865" w:rsidRPr="00F835D8" w:rsidRDefault="00D26865" w:rsidP="00D26865">
      <w:pPr>
        <w:pStyle w:val="Default"/>
        <w:jc w:val="both"/>
      </w:pPr>
    </w:p>
    <w:p w14:paraId="1CEE721A" w14:textId="77777777" w:rsidR="00D26865" w:rsidRPr="00F835D8" w:rsidRDefault="00D26865" w:rsidP="00D26865">
      <w:pPr>
        <w:pStyle w:val="Default"/>
        <w:jc w:val="both"/>
      </w:pPr>
    </w:p>
    <w:p w14:paraId="029C17AE" w14:textId="77777777" w:rsidR="00D26865" w:rsidRPr="00F835D8" w:rsidRDefault="00D26865" w:rsidP="00D26865">
      <w:pPr>
        <w:jc w:val="both"/>
        <w:rPr>
          <w:rFonts w:ascii="Arial" w:hAnsi="Arial" w:cs="Arial"/>
          <w:sz w:val="24"/>
        </w:rPr>
      </w:pPr>
    </w:p>
    <w:p w14:paraId="39452595" w14:textId="77777777" w:rsidR="00D26865" w:rsidRDefault="00D26865" w:rsidP="00D26865">
      <w:pPr>
        <w:pStyle w:val="Default"/>
        <w:jc w:val="both"/>
        <w:rPr>
          <w:color w:val="auto"/>
        </w:rPr>
      </w:pPr>
    </w:p>
    <w:p w14:paraId="2CBFA7E3" w14:textId="77777777" w:rsidR="00D26865" w:rsidRPr="00B94BBE" w:rsidRDefault="00D26865" w:rsidP="00D26865">
      <w:pPr>
        <w:pStyle w:val="Default"/>
        <w:jc w:val="both"/>
        <w:rPr>
          <w:color w:val="auto"/>
        </w:rPr>
      </w:pPr>
    </w:p>
    <w:p w14:paraId="4F988961" w14:textId="77777777" w:rsidR="00D26865" w:rsidRDefault="00D26865" w:rsidP="00D26865">
      <w:pPr>
        <w:pStyle w:val="Default"/>
        <w:jc w:val="both"/>
        <w:rPr>
          <w:b/>
          <w:color w:val="auto"/>
        </w:rPr>
      </w:pPr>
    </w:p>
    <w:p w14:paraId="29DB26E1" w14:textId="77777777" w:rsidR="00D26865" w:rsidRDefault="00D26865" w:rsidP="00D26865">
      <w:pPr>
        <w:pStyle w:val="Default"/>
        <w:jc w:val="both"/>
        <w:rPr>
          <w:b/>
          <w:color w:val="auto"/>
        </w:rPr>
      </w:pPr>
    </w:p>
    <w:p w14:paraId="576F5B01" w14:textId="77777777" w:rsidR="00D26865" w:rsidRDefault="00D26865" w:rsidP="00D26865">
      <w:pPr>
        <w:pStyle w:val="Default"/>
        <w:jc w:val="both"/>
        <w:rPr>
          <w:b/>
          <w:color w:val="auto"/>
        </w:rPr>
      </w:pPr>
    </w:p>
    <w:p w14:paraId="66032A53" w14:textId="77777777" w:rsidR="00D26865" w:rsidRDefault="00D26865" w:rsidP="00831634">
      <w:pPr>
        <w:jc w:val="both"/>
        <w:rPr>
          <w:rFonts w:ascii="Arial" w:hAnsi="Arial" w:cs="Arial"/>
          <w:b/>
          <w:color w:val="C00000"/>
          <w:sz w:val="24"/>
          <w:szCs w:val="24"/>
          <w:lang w:val="es-CO"/>
        </w:rPr>
      </w:pPr>
    </w:p>
    <w:sectPr w:rsidR="00D26865" w:rsidSect="005903E9">
      <w:headerReference w:type="default" r:id="rId15"/>
      <w:footerReference w:type="default" r:id="rId16"/>
      <w:headerReference w:type="first" r:id="rId17"/>
      <w:footerReference w:type="first" r:id="rId18"/>
      <w:pgSz w:w="12240" w:h="15840"/>
      <w:pgMar w:top="2552" w:right="1467" w:bottom="1701" w:left="1701" w:header="720" w:footer="49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EE18" w14:textId="77777777" w:rsidR="00961C23" w:rsidRDefault="00961C23">
      <w:r>
        <w:separator/>
      </w:r>
    </w:p>
  </w:endnote>
  <w:endnote w:type="continuationSeparator" w:id="0">
    <w:p w14:paraId="785117D3" w14:textId="77777777" w:rsidR="00961C23" w:rsidRDefault="00961C23">
      <w:r>
        <w:continuationSeparator/>
      </w:r>
    </w:p>
  </w:endnote>
  <w:endnote w:type="continuationNotice" w:id="1">
    <w:p w14:paraId="16D0CBA7" w14:textId="77777777" w:rsidR="00961C23" w:rsidRDefault="00961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CFC4" w14:textId="77777777" w:rsidR="0087360C" w:rsidRDefault="00A25B4A" w:rsidP="0070461E">
    <w:pPr>
      <w:tabs>
        <w:tab w:val="right" w:pos="8787"/>
      </w:tabs>
      <w:jc w:val="right"/>
      <w:rPr>
        <w:rFonts w:ascii="Arial" w:hAnsi="Arial" w:cs="Arial"/>
        <w:sz w:val="18"/>
        <w:szCs w:val="18"/>
        <w:lang w:val="es-CO"/>
      </w:rPr>
    </w:pPr>
    <w:r>
      <w:rPr>
        <w:rFonts w:ascii="Arial" w:hAnsi="Arial" w:cs="Arial"/>
        <w:b/>
        <w:noProof/>
        <w:sz w:val="18"/>
        <w:szCs w:val="18"/>
        <w:lang w:val="es-MX" w:eastAsia="es-MX"/>
      </w:rPr>
      <w:drawing>
        <wp:anchor distT="0" distB="0" distL="114300" distR="114300" simplePos="0" relativeHeight="251662336" behindDoc="0" locked="0" layoutInCell="1" allowOverlap="1" wp14:anchorId="6E10C43E" wp14:editId="144572D1">
          <wp:simplePos x="0" y="0"/>
          <wp:positionH relativeFrom="column">
            <wp:posOffset>3809365</wp:posOffset>
          </wp:positionH>
          <wp:positionV relativeFrom="paragraph">
            <wp:posOffset>-172720</wp:posOffset>
          </wp:positionV>
          <wp:extent cx="2263775" cy="382270"/>
          <wp:effectExtent l="0" t="0" r="317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3775" cy="38227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mc:AlternateContent>
        <mc:Choice Requires="wps">
          <w:drawing>
            <wp:anchor distT="4294967295" distB="4294967295" distL="114300" distR="114300" simplePos="0" relativeHeight="251661312" behindDoc="0" locked="0" layoutInCell="1" allowOverlap="1" wp14:anchorId="47526BCE" wp14:editId="3FFE9A4C">
              <wp:simplePos x="0" y="0"/>
              <wp:positionH relativeFrom="column">
                <wp:posOffset>-262890</wp:posOffset>
              </wp:positionH>
              <wp:positionV relativeFrom="paragraph">
                <wp:posOffset>-417830</wp:posOffset>
              </wp:positionV>
              <wp:extent cx="6326505" cy="0"/>
              <wp:effectExtent l="13335" t="10795" r="13335" b="1778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6505" cy="0"/>
                      </a:xfrm>
                      <a:prstGeom prst="line">
                        <a:avLst/>
                      </a:prstGeom>
                      <a:noFill/>
                      <a:ln w="19050">
                        <a:solidFill>
                          <a:srgbClr val="AE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3863C19" id="Line 1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pt,-32.9pt" to="477.4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" strokecolor="#aeaaaa" strokeweight="1.5pt"/>
          </w:pict>
        </mc:Fallback>
      </mc:AlternateContent>
    </w:r>
  </w:p>
  <w:p w14:paraId="4CDA9853" w14:textId="77777777" w:rsidR="0087360C" w:rsidRPr="00F54EBA" w:rsidRDefault="0087360C" w:rsidP="0087360C">
    <w:pPr>
      <w:jc w:val="center"/>
      <w:rPr>
        <w:rFonts w:ascii="Arial" w:hAnsi="Arial" w:cs="Arial"/>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E83E7" w14:textId="77777777" w:rsidR="0087360C" w:rsidRDefault="00A25B4A" w:rsidP="0070461E">
    <w:pPr>
      <w:pStyle w:val="Piedepgina"/>
      <w:tabs>
        <w:tab w:val="clear" w:pos="4252"/>
        <w:tab w:val="clear" w:pos="8504"/>
        <w:tab w:val="right" w:pos="8787"/>
      </w:tabs>
      <w:jc w:val="right"/>
    </w:pPr>
    <w:r>
      <w:rPr>
        <w:noProof/>
        <w:lang w:val="es-MX" w:eastAsia="es-MX"/>
      </w:rPr>
      <mc:AlternateContent>
        <mc:Choice Requires="wps">
          <w:drawing>
            <wp:anchor distT="4294967295" distB="4294967295" distL="114300" distR="114300" simplePos="0" relativeHeight="251654144" behindDoc="0" locked="0" layoutInCell="1" allowOverlap="1" wp14:anchorId="7945A5E7" wp14:editId="7FFA8B25">
              <wp:simplePos x="0" y="0"/>
              <wp:positionH relativeFrom="column">
                <wp:posOffset>-262890</wp:posOffset>
              </wp:positionH>
              <wp:positionV relativeFrom="paragraph">
                <wp:posOffset>-419100</wp:posOffset>
              </wp:positionV>
              <wp:extent cx="6326505" cy="0"/>
              <wp:effectExtent l="13335" t="9525" r="13335" b="9525"/>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6505" cy="0"/>
                      </a:xfrm>
                      <a:prstGeom prst="line">
                        <a:avLst/>
                      </a:prstGeom>
                      <a:noFill/>
                      <a:ln w="19050">
                        <a:solidFill>
                          <a:srgbClr val="AE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BC7F60B" id="Line 32"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pt,-33pt" to="477.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" strokecolor="#aeaaaa" strokeweight="1.5pt"/>
          </w:pict>
        </mc:Fallback>
      </mc:AlternateContent>
    </w:r>
    <w:r>
      <w:rPr>
        <w:noProof/>
        <w:lang w:val="es-MX" w:eastAsia="es-MX"/>
      </w:rPr>
      <w:drawing>
        <wp:anchor distT="0" distB="0" distL="114300" distR="114300" simplePos="0" relativeHeight="251656192" behindDoc="0" locked="0" layoutInCell="1" allowOverlap="1" wp14:anchorId="49B910F0" wp14:editId="5BCBA2D3">
          <wp:simplePos x="0" y="0"/>
          <wp:positionH relativeFrom="column">
            <wp:posOffset>3808095</wp:posOffset>
          </wp:positionH>
          <wp:positionV relativeFrom="paragraph">
            <wp:posOffset>-171450</wp:posOffset>
          </wp:positionV>
          <wp:extent cx="2263775" cy="382270"/>
          <wp:effectExtent l="0" t="0" r="3175" b="0"/>
          <wp:wrapSquare wrapText="bothSides"/>
          <wp:docPr id="1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3775" cy="382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06D98" w14:textId="77777777" w:rsidR="00961C23" w:rsidRDefault="00961C23">
      <w:r>
        <w:separator/>
      </w:r>
    </w:p>
  </w:footnote>
  <w:footnote w:type="continuationSeparator" w:id="0">
    <w:p w14:paraId="1CF388A1" w14:textId="77777777" w:rsidR="00961C23" w:rsidRDefault="00961C23">
      <w:r>
        <w:continuationSeparator/>
      </w:r>
    </w:p>
  </w:footnote>
  <w:footnote w:type="continuationNotice" w:id="1">
    <w:p w14:paraId="6E513B17" w14:textId="77777777" w:rsidR="00961C23" w:rsidRDefault="00961C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E99B" w14:textId="77777777" w:rsidR="0087360C" w:rsidRDefault="00A25B4A" w:rsidP="0087360C">
    <w:pPr>
      <w:pStyle w:val="Encabezado"/>
    </w:pPr>
    <w:r>
      <w:rPr>
        <w:noProof/>
        <w:szCs w:val="24"/>
        <w:lang w:val="es-MX" w:eastAsia="es-MX"/>
      </w:rPr>
      <mc:AlternateContent>
        <mc:Choice Requires="wps">
          <w:drawing>
            <wp:anchor distT="0" distB="0" distL="114300" distR="114300" simplePos="0" relativeHeight="251664384" behindDoc="0" locked="0" layoutInCell="1" allowOverlap="1" wp14:anchorId="244DD3E9" wp14:editId="55B922F0">
              <wp:simplePos x="0" y="0"/>
              <wp:positionH relativeFrom="column">
                <wp:posOffset>2558415</wp:posOffset>
              </wp:positionH>
              <wp:positionV relativeFrom="paragraph">
                <wp:posOffset>-196850</wp:posOffset>
              </wp:positionV>
              <wp:extent cx="3467100" cy="897890"/>
              <wp:effectExtent l="0" t="0" r="0" b="0"/>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67100" cy="8978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C075B4" w14:textId="77777777" w:rsidR="00E724D2" w:rsidRDefault="00E724D2" w:rsidP="00E724D2">
                          <w:pPr>
                            <w:jc w:val="right"/>
                            <w:rPr>
                              <w:rFonts w:ascii="Arial" w:hAnsi="Arial" w:cs="Arial"/>
                              <w:b/>
                              <w:sz w:val="28"/>
                              <w:lang w:val="es-CO"/>
                            </w:rPr>
                          </w:pPr>
                          <w:r>
                            <w:rPr>
                              <w:rFonts w:ascii="Arial" w:hAnsi="Arial" w:cs="Arial"/>
                              <w:b/>
                              <w:sz w:val="28"/>
                              <w:lang w:val="es-CO"/>
                            </w:rPr>
                            <w:t xml:space="preserve">ABC </w:t>
                          </w:r>
                          <w:r w:rsidRPr="00AC2DAA">
                            <w:rPr>
                              <w:rFonts w:ascii="Arial" w:hAnsi="Arial" w:cs="Arial"/>
                              <w:b/>
                              <w:sz w:val="28"/>
                              <w:lang w:val="es-CO"/>
                            </w:rPr>
                            <w:t>sobre</w:t>
                          </w:r>
                          <w:r w:rsidRPr="00B40333">
                            <w:t xml:space="preserve"> </w:t>
                          </w:r>
                          <w:r w:rsidRPr="00E724D2">
                            <w:rPr>
                              <w:rFonts w:ascii="Arial" w:hAnsi="Arial" w:cs="Arial"/>
                              <w:b/>
                              <w:sz w:val="28"/>
                              <w:lang w:val="es-CO"/>
                            </w:rPr>
                            <w:t xml:space="preserve">Programa de Acompañamiento a Deudores – PAD </w:t>
                          </w:r>
                        </w:p>
                        <w:p w14:paraId="20701DE9" w14:textId="77777777" w:rsidR="00E724D2" w:rsidRDefault="00E724D2" w:rsidP="00E724D2">
                          <w:pPr>
                            <w:jc w:val="right"/>
                            <w:rPr>
                              <w:rFonts w:ascii="Arial" w:hAnsi="Arial" w:cs="Arial"/>
                              <w:b/>
                              <w:sz w:val="22"/>
                              <w:lang w:val="es-CO"/>
                            </w:rPr>
                          </w:pPr>
                        </w:p>
                        <w:p w14:paraId="6AD0C744" w14:textId="2E7439DC" w:rsidR="004D17AF" w:rsidRPr="007705CD" w:rsidRDefault="00854FDC" w:rsidP="00B37238">
                          <w:pPr>
                            <w:jc w:val="right"/>
                            <w:rPr>
                              <w:rFonts w:ascii="Arial" w:hAnsi="Arial" w:cs="Arial"/>
                              <w:b/>
                              <w:sz w:val="22"/>
                              <w:lang w:val="es-CO"/>
                            </w:rPr>
                          </w:pPr>
                          <w:r>
                            <w:rPr>
                              <w:rFonts w:ascii="Arial" w:hAnsi="Arial" w:cs="Arial"/>
                              <w:b/>
                              <w:sz w:val="22"/>
                              <w:lang w:val="es-CO"/>
                            </w:rPr>
                            <w:t>Julio 1 de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44DD3E9" id="_x0000_t202" coordsize="21600,21600" o:spt="202" path="m,l,21600r21600,l21600,xe">
              <v:stroke joinstyle="miter"/>
              <v:path gradientshapeok="t" o:connecttype="rect"/>
            </v:shapetype>
            <v:shape id="Text Box 20" o:spid="_x0000_s1026" type="#_x0000_t202" style="position:absolute;margin-left:201.45pt;margin-top:-15.5pt;width:273pt;height:7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" stroked="f" strokeweight=".5pt">
              <v:path arrowok="t"/>
              <v:textbox>
                <w:txbxContent>
                  <w:p w14:paraId="06C075B4" w14:textId="77777777" w:rsidR="00E724D2" w:rsidRDefault="00E724D2" w:rsidP="00E724D2">
                    <w:pPr>
                      <w:jc w:val="right"/>
                      <w:rPr>
                        <w:rFonts w:ascii="Arial" w:hAnsi="Arial" w:cs="Arial"/>
                        <w:b/>
                        <w:sz w:val="28"/>
                        <w:lang w:val="es-CO"/>
                      </w:rPr>
                    </w:pPr>
                    <w:r>
                      <w:rPr>
                        <w:rFonts w:ascii="Arial" w:hAnsi="Arial" w:cs="Arial"/>
                        <w:b/>
                        <w:sz w:val="28"/>
                        <w:lang w:val="es-CO"/>
                      </w:rPr>
                      <w:t xml:space="preserve">ABC </w:t>
                    </w:r>
                    <w:r w:rsidRPr="00AC2DAA">
                      <w:rPr>
                        <w:rFonts w:ascii="Arial" w:hAnsi="Arial" w:cs="Arial"/>
                        <w:b/>
                        <w:sz w:val="28"/>
                        <w:lang w:val="es-CO"/>
                      </w:rPr>
                      <w:t>sobre</w:t>
                    </w:r>
                    <w:r w:rsidRPr="00B40333">
                      <w:t xml:space="preserve"> </w:t>
                    </w:r>
                    <w:r w:rsidRPr="00E724D2">
                      <w:rPr>
                        <w:rFonts w:ascii="Arial" w:hAnsi="Arial" w:cs="Arial"/>
                        <w:b/>
                        <w:sz w:val="28"/>
                        <w:lang w:val="es-CO"/>
                      </w:rPr>
                      <w:t xml:space="preserve">Programa de Acompañamiento a Deudores – PAD </w:t>
                    </w:r>
                  </w:p>
                  <w:p w14:paraId="20701DE9" w14:textId="77777777" w:rsidR="00E724D2" w:rsidRDefault="00E724D2" w:rsidP="00E724D2">
                    <w:pPr>
                      <w:jc w:val="right"/>
                      <w:rPr>
                        <w:rFonts w:ascii="Arial" w:hAnsi="Arial" w:cs="Arial"/>
                        <w:b/>
                        <w:sz w:val="22"/>
                        <w:lang w:val="es-CO"/>
                      </w:rPr>
                    </w:pPr>
                  </w:p>
                  <w:p w14:paraId="6AD0C744" w14:textId="2E7439DC" w:rsidR="004D17AF" w:rsidRPr="007705CD" w:rsidRDefault="00854FDC" w:rsidP="00B37238">
                    <w:pPr>
                      <w:jc w:val="right"/>
                      <w:rPr>
                        <w:rFonts w:ascii="Arial" w:hAnsi="Arial" w:cs="Arial"/>
                        <w:b/>
                        <w:sz w:val="22"/>
                        <w:lang w:val="es-CO"/>
                      </w:rPr>
                    </w:pPr>
                    <w:r>
                      <w:rPr>
                        <w:rFonts w:ascii="Arial" w:hAnsi="Arial" w:cs="Arial"/>
                        <w:b/>
                        <w:sz w:val="22"/>
                        <w:lang w:val="es-CO"/>
                      </w:rPr>
                      <w:t>Julio 1 de 2020</w:t>
                    </w:r>
                  </w:p>
                </w:txbxContent>
              </v:textbox>
            </v:shape>
          </w:pict>
        </mc:Fallback>
      </mc:AlternateContent>
    </w:r>
    <w:r>
      <w:rPr>
        <w:noProof/>
        <w:lang w:val="es-MX" w:eastAsia="es-MX"/>
      </w:rPr>
      <w:drawing>
        <wp:anchor distT="0" distB="0" distL="114300" distR="114300" simplePos="0" relativeHeight="251665408" behindDoc="0" locked="0" layoutInCell="1" allowOverlap="1" wp14:anchorId="73F4F6EB" wp14:editId="17B179C7">
          <wp:simplePos x="0" y="0"/>
          <wp:positionH relativeFrom="column">
            <wp:posOffset>-356235</wp:posOffset>
          </wp:positionH>
          <wp:positionV relativeFrom="page">
            <wp:posOffset>410210</wp:posOffset>
          </wp:positionV>
          <wp:extent cx="848995" cy="680085"/>
          <wp:effectExtent l="0" t="0" r="8255" b="571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8008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mc:AlternateContent>
        <mc:Choice Requires="wps">
          <w:drawing>
            <wp:anchor distT="4294967295" distB="4294967295" distL="114300" distR="114300" simplePos="0" relativeHeight="251658240" behindDoc="0" locked="0" layoutInCell="1" allowOverlap="1" wp14:anchorId="0E998A0F" wp14:editId="33520EDB">
              <wp:simplePos x="0" y="0"/>
              <wp:positionH relativeFrom="column">
                <wp:posOffset>-288290</wp:posOffset>
              </wp:positionH>
              <wp:positionV relativeFrom="paragraph">
                <wp:posOffset>791845</wp:posOffset>
              </wp:positionV>
              <wp:extent cx="6326505" cy="0"/>
              <wp:effectExtent l="16510" t="10795" r="10160" b="17780"/>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6505" cy="0"/>
                      </a:xfrm>
                      <a:prstGeom prst="line">
                        <a:avLst/>
                      </a:prstGeom>
                      <a:noFill/>
                      <a:ln w="19050">
                        <a:solidFill>
                          <a:srgbClr val="AE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12B8551A" id="Line 1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pt,62.35pt" to="475.4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" strokecolor="#aeaaaa" strokeweight="1.5pt"/>
          </w:pict>
        </mc:Fallback>
      </mc:AlternateContent>
    </w:r>
  </w:p>
  <w:p w14:paraId="6319C3A3" w14:textId="77777777" w:rsidR="0087360C" w:rsidRPr="00E435C2" w:rsidRDefault="0087360C" w:rsidP="0087360C">
    <w:pPr>
      <w:pStyle w:val="Encabezado"/>
      <w:rPr>
        <w:szCs w:val="24"/>
      </w:rPr>
    </w:pPr>
  </w:p>
  <w:p w14:paraId="6E732671" w14:textId="77777777" w:rsidR="0087360C" w:rsidRDefault="008736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B5A2" w14:textId="77777777" w:rsidR="0087360C" w:rsidRDefault="00A25B4A">
    <w:pPr>
      <w:pStyle w:val="Encabezado"/>
    </w:pPr>
    <w:r>
      <w:rPr>
        <w:noProof/>
        <w:lang w:val="es-MX" w:eastAsia="es-MX"/>
      </w:rPr>
      <mc:AlternateContent>
        <mc:Choice Requires="wps">
          <w:drawing>
            <wp:anchor distT="0" distB="0" distL="114300" distR="114300" simplePos="0" relativeHeight="251653120" behindDoc="0" locked="0" layoutInCell="1" allowOverlap="1" wp14:anchorId="257234FF" wp14:editId="78FF7BEC">
              <wp:simplePos x="0" y="0"/>
              <wp:positionH relativeFrom="column">
                <wp:posOffset>2513965</wp:posOffset>
              </wp:positionH>
              <wp:positionV relativeFrom="paragraph">
                <wp:posOffset>-215900</wp:posOffset>
              </wp:positionV>
              <wp:extent cx="3503295" cy="914400"/>
              <wp:effectExtent l="0" t="0" r="1905" b="0"/>
              <wp:wrapNone/>
              <wp:docPr id="3" name="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3295" cy="9144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C2075C9" w14:textId="53DF3E36" w:rsidR="0087360C" w:rsidRDefault="00DC644F" w:rsidP="008843C0">
                          <w:pPr>
                            <w:jc w:val="right"/>
                            <w:rPr>
                              <w:rFonts w:ascii="Arial" w:hAnsi="Arial" w:cs="Arial"/>
                              <w:b/>
                              <w:sz w:val="28"/>
                              <w:lang w:val="es-CO"/>
                            </w:rPr>
                          </w:pPr>
                          <w:r>
                            <w:rPr>
                              <w:rFonts w:ascii="Arial" w:hAnsi="Arial" w:cs="Arial"/>
                              <w:b/>
                              <w:sz w:val="28"/>
                              <w:lang w:val="es-CO"/>
                            </w:rPr>
                            <w:t xml:space="preserve">ABC </w:t>
                          </w:r>
                          <w:r w:rsidR="00AC2DAA" w:rsidRPr="00AC2DAA">
                            <w:rPr>
                              <w:rFonts w:ascii="Arial" w:hAnsi="Arial" w:cs="Arial"/>
                              <w:b/>
                              <w:sz w:val="28"/>
                              <w:lang w:val="es-CO"/>
                            </w:rPr>
                            <w:t>sobre</w:t>
                          </w:r>
                          <w:r w:rsidR="00B40333" w:rsidRPr="00B40333">
                            <w:t xml:space="preserve"> </w:t>
                          </w:r>
                          <w:r w:rsidR="00E724D2" w:rsidRPr="00E724D2">
                            <w:rPr>
                              <w:rFonts w:ascii="Arial" w:hAnsi="Arial" w:cs="Arial"/>
                              <w:b/>
                              <w:sz w:val="28"/>
                              <w:lang w:val="es-CO"/>
                            </w:rPr>
                            <w:t xml:space="preserve">Programa de Acompañamiento a Deudores – PAD </w:t>
                          </w:r>
                        </w:p>
                        <w:p w14:paraId="645381E0" w14:textId="77777777" w:rsidR="004E1897" w:rsidRDefault="004E1897" w:rsidP="008843C0">
                          <w:pPr>
                            <w:jc w:val="right"/>
                            <w:rPr>
                              <w:rFonts w:ascii="Arial" w:hAnsi="Arial" w:cs="Arial"/>
                              <w:b/>
                              <w:sz w:val="22"/>
                              <w:lang w:val="es-CO"/>
                            </w:rPr>
                          </w:pPr>
                        </w:p>
                        <w:p w14:paraId="72AA50C1" w14:textId="6D6DA211" w:rsidR="007705CD" w:rsidRPr="007705CD" w:rsidRDefault="00AC2DAA" w:rsidP="008843C0">
                          <w:pPr>
                            <w:jc w:val="right"/>
                            <w:rPr>
                              <w:rFonts w:ascii="Arial" w:hAnsi="Arial" w:cs="Arial"/>
                              <w:b/>
                              <w:sz w:val="22"/>
                              <w:lang w:val="es-CO"/>
                            </w:rPr>
                          </w:pPr>
                          <w:r>
                            <w:rPr>
                              <w:rFonts w:ascii="Arial" w:hAnsi="Arial" w:cs="Arial"/>
                              <w:b/>
                              <w:sz w:val="22"/>
                              <w:lang w:val="es-CO"/>
                            </w:rPr>
                            <w:t>Ju</w:t>
                          </w:r>
                          <w:r w:rsidR="006F0964">
                            <w:rPr>
                              <w:rFonts w:ascii="Arial" w:hAnsi="Arial" w:cs="Arial"/>
                              <w:b/>
                              <w:sz w:val="22"/>
                              <w:lang w:val="es-CO"/>
                            </w:rPr>
                            <w:t>l</w:t>
                          </w:r>
                          <w:r>
                            <w:rPr>
                              <w:rFonts w:ascii="Arial" w:hAnsi="Arial" w:cs="Arial"/>
                              <w:b/>
                              <w:sz w:val="22"/>
                              <w:lang w:val="es-CO"/>
                            </w:rPr>
                            <w:t>io</w:t>
                          </w:r>
                          <w:r w:rsidR="00854FDC">
                            <w:rPr>
                              <w:rFonts w:ascii="Arial" w:hAnsi="Arial" w:cs="Arial"/>
                              <w:b/>
                              <w:sz w:val="22"/>
                              <w:lang w:val="es-CO"/>
                            </w:rPr>
                            <w:t xml:space="preserve"> 1 de</w:t>
                          </w:r>
                          <w:r w:rsidR="0070461E">
                            <w:rPr>
                              <w:rFonts w:ascii="Arial" w:hAnsi="Arial" w:cs="Arial"/>
                              <w:b/>
                              <w:sz w:val="22"/>
                              <w:lang w:val="es-CO"/>
                            </w:rPr>
                            <w:t xml:space="preserve"> 2</w:t>
                          </w:r>
                          <w:r>
                            <w:rPr>
                              <w:rFonts w:ascii="Arial" w:hAnsi="Arial" w:cs="Arial"/>
                              <w:b/>
                              <w:sz w:val="22"/>
                              <w:lang w:val="es-CO"/>
                            </w:rPr>
                            <w:t>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57234FF" id="_x0000_t202" coordsize="21600,21600" o:spt="202" path="m,l,21600r21600,l21600,xe">
              <v:stroke joinstyle="miter"/>
              <v:path gradientshapeok="t" o:connecttype="rect"/>
            </v:shapetype>
            <v:shape id="6 Cuadro de texto" o:spid="_x0000_s1027" type="#_x0000_t202" style="position:absolute;margin-left:197.95pt;margin-top:-17pt;width:275.85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" stroked="f" strokeweight=".5pt">
              <v:path arrowok="t"/>
              <v:textbox>
                <w:txbxContent>
                  <w:p w14:paraId="5C2075C9" w14:textId="53DF3E36" w:rsidR="0087360C" w:rsidRDefault="00DC644F" w:rsidP="008843C0">
                    <w:pPr>
                      <w:jc w:val="right"/>
                      <w:rPr>
                        <w:rFonts w:ascii="Arial" w:hAnsi="Arial" w:cs="Arial"/>
                        <w:b/>
                        <w:sz w:val="28"/>
                        <w:lang w:val="es-CO"/>
                      </w:rPr>
                    </w:pPr>
                    <w:r>
                      <w:rPr>
                        <w:rFonts w:ascii="Arial" w:hAnsi="Arial" w:cs="Arial"/>
                        <w:b/>
                        <w:sz w:val="28"/>
                        <w:lang w:val="es-CO"/>
                      </w:rPr>
                      <w:t xml:space="preserve">ABC </w:t>
                    </w:r>
                    <w:r w:rsidR="00AC2DAA" w:rsidRPr="00AC2DAA">
                      <w:rPr>
                        <w:rFonts w:ascii="Arial" w:hAnsi="Arial" w:cs="Arial"/>
                        <w:b/>
                        <w:sz w:val="28"/>
                        <w:lang w:val="es-CO"/>
                      </w:rPr>
                      <w:t>sobre</w:t>
                    </w:r>
                    <w:r w:rsidR="00B40333" w:rsidRPr="00B40333">
                      <w:t xml:space="preserve"> </w:t>
                    </w:r>
                    <w:r w:rsidR="00E724D2" w:rsidRPr="00E724D2">
                      <w:rPr>
                        <w:rFonts w:ascii="Arial" w:hAnsi="Arial" w:cs="Arial"/>
                        <w:b/>
                        <w:sz w:val="28"/>
                        <w:lang w:val="es-CO"/>
                      </w:rPr>
                      <w:t xml:space="preserve">Programa de Acompañamiento a Deudores – PAD </w:t>
                    </w:r>
                  </w:p>
                  <w:p w14:paraId="645381E0" w14:textId="77777777" w:rsidR="004E1897" w:rsidRDefault="004E1897" w:rsidP="008843C0">
                    <w:pPr>
                      <w:jc w:val="right"/>
                      <w:rPr>
                        <w:rFonts w:ascii="Arial" w:hAnsi="Arial" w:cs="Arial"/>
                        <w:b/>
                        <w:sz w:val="22"/>
                        <w:lang w:val="es-CO"/>
                      </w:rPr>
                    </w:pPr>
                  </w:p>
                  <w:p w14:paraId="72AA50C1" w14:textId="6D6DA211" w:rsidR="007705CD" w:rsidRPr="007705CD" w:rsidRDefault="00AC2DAA" w:rsidP="008843C0">
                    <w:pPr>
                      <w:jc w:val="right"/>
                      <w:rPr>
                        <w:rFonts w:ascii="Arial" w:hAnsi="Arial" w:cs="Arial"/>
                        <w:b/>
                        <w:sz w:val="22"/>
                        <w:lang w:val="es-CO"/>
                      </w:rPr>
                    </w:pPr>
                    <w:r>
                      <w:rPr>
                        <w:rFonts w:ascii="Arial" w:hAnsi="Arial" w:cs="Arial"/>
                        <w:b/>
                        <w:sz w:val="22"/>
                        <w:lang w:val="es-CO"/>
                      </w:rPr>
                      <w:t>Ju</w:t>
                    </w:r>
                    <w:r w:rsidR="006F0964">
                      <w:rPr>
                        <w:rFonts w:ascii="Arial" w:hAnsi="Arial" w:cs="Arial"/>
                        <w:b/>
                        <w:sz w:val="22"/>
                        <w:lang w:val="es-CO"/>
                      </w:rPr>
                      <w:t>l</w:t>
                    </w:r>
                    <w:r>
                      <w:rPr>
                        <w:rFonts w:ascii="Arial" w:hAnsi="Arial" w:cs="Arial"/>
                        <w:b/>
                        <w:sz w:val="22"/>
                        <w:lang w:val="es-CO"/>
                      </w:rPr>
                      <w:t>io</w:t>
                    </w:r>
                    <w:r w:rsidR="00854FDC">
                      <w:rPr>
                        <w:rFonts w:ascii="Arial" w:hAnsi="Arial" w:cs="Arial"/>
                        <w:b/>
                        <w:sz w:val="22"/>
                        <w:lang w:val="es-CO"/>
                      </w:rPr>
                      <w:t xml:space="preserve"> 1 de</w:t>
                    </w:r>
                    <w:r w:rsidR="0070461E">
                      <w:rPr>
                        <w:rFonts w:ascii="Arial" w:hAnsi="Arial" w:cs="Arial"/>
                        <w:b/>
                        <w:sz w:val="22"/>
                        <w:lang w:val="es-CO"/>
                      </w:rPr>
                      <w:t xml:space="preserve"> 2</w:t>
                    </w:r>
                    <w:r>
                      <w:rPr>
                        <w:rFonts w:ascii="Arial" w:hAnsi="Arial" w:cs="Arial"/>
                        <w:b/>
                        <w:sz w:val="22"/>
                        <w:lang w:val="es-CO"/>
                      </w:rPr>
                      <w:t>020</w:t>
                    </w:r>
                  </w:p>
                </w:txbxContent>
              </v:textbox>
            </v:shape>
          </w:pict>
        </mc:Fallback>
      </mc:AlternateContent>
    </w:r>
    <w:r>
      <w:rPr>
        <w:noProof/>
        <w:lang w:val="es-MX" w:eastAsia="es-MX"/>
      </w:rPr>
      <mc:AlternateContent>
        <mc:Choice Requires="wps">
          <w:drawing>
            <wp:anchor distT="4294967295" distB="4294967295" distL="114300" distR="114300" simplePos="0" relativeHeight="251657216" behindDoc="0" locked="0" layoutInCell="1" allowOverlap="1" wp14:anchorId="0FAB5114" wp14:editId="3A522FDA">
              <wp:simplePos x="0" y="0"/>
              <wp:positionH relativeFrom="column">
                <wp:posOffset>-287020</wp:posOffset>
              </wp:positionH>
              <wp:positionV relativeFrom="paragraph">
                <wp:posOffset>791210</wp:posOffset>
              </wp:positionV>
              <wp:extent cx="6326505" cy="0"/>
              <wp:effectExtent l="17780" t="10160" r="18415" b="1841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6505" cy="0"/>
                      </a:xfrm>
                      <a:prstGeom prst="line">
                        <a:avLst/>
                      </a:prstGeom>
                      <a:noFill/>
                      <a:ln w="19050">
                        <a:solidFill>
                          <a:srgbClr val="AE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61CF3E2" id="Line 1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pt,62.3pt" to="475.5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" strokecolor="#aeaaaa" strokeweight="1.5pt"/>
          </w:pict>
        </mc:Fallback>
      </mc:AlternateContent>
    </w:r>
    <w:r>
      <w:rPr>
        <w:noProof/>
        <w:lang w:val="es-MX" w:eastAsia="es-MX"/>
      </w:rPr>
      <w:drawing>
        <wp:anchor distT="0" distB="0" distL="114300" distR="114300" simplePos="0" relativeHeight="251655168" behindDoc="0" locked="0" layoutInCell="1" allowOverlap="1" wp14:anchorId="7E0291E3" wp14:editId="43A3AD8C">
          <wp:simplePos x="0" y="0"/>
          <wp:positionH relativeFrom="column">
            <wp:posOffset>-356235</wp:posOffset>
          </wp:positionH>
          <wp:positionV relativeFrom="page">
            <wp:posOffset>410210</wp:posOffset>
          </wp:positionV>
          <wp:extent cx="848995" cy="680085"/>
          <wp:effectExtent l="0" t="0" r="8255" b="5715"/>
          <wp:wrapSquare wrapText="bothSides"/>
          <wp:docPr id="1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8008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DCB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56458"/>
    <w:multiLevelType w:val="hybridMultilevel"/>
    <w:tmpl w:val="D5DE1E08"/>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836A42"/>
    <w:multiLevelType w:val="hybridMultilevel"/>
    <w:tmpl w:val="648E3B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7D34C37"/>
    <w:multiLevelType w:val="hybridMultilevel"/>
    <w:tmpl w:val="DB667254"/>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623AF1"/>
    <w:multiLevelType w:val="hybridMultilevel"/>
    <w:tmpl w:val="CD887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E43208"/>
    <w:multiLevelType w:val="hybridMultilevel"/>
    <w:tmpl w:val="80E415C4"/>
    <w:lvl w:ilvl="0" w:tplc="3036098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275A62"/>
    <w:multiLevelType w:val="hybridMultilevel"/>
    <w:tmpl w:val="03644C84"/>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9A7F12"/>
    <w:multiLevelType w:val="hybridMultilevel"/>
    <w:tmpl w:val="04407E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3167293"/>
    <w:multiLevelType w:val="hybridMultilevel"/>
    <w:tmpl w:val="9F9A4C4E"/>
    <w:lvl w:ilvl="0" w:tplc="A490CADA">
      <w:numFmt w:val="bullet"/>
      <w:lvlText w:val=""/>
      <w:lvlJc w:val="left"/>
      <w:pPr>
        <w:ind w:left="1425" w:hanging="360"/>
      </w:pPr>
      <w:rPr>
        <w:rFonts w:ascii="Symbol" w:eastAsia="Times New Roman" w:hAnsi="Symbol" w:cs="Aria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9" w15:restartNumberingAfterBreak="0">
    <w:nsid w:val="18EB30C4"/>
    <w:multiLevelType w:val="hybridMultilevel"/>
    <w:tmpl w:val="84808498"/>
    <w:lvl w:ilvl="0" w:tplc="413AA6A4">
      <w:start w:val="1"/>
      <w:numFmt w:val="decimal"/>
      <w:lvlText w:val="%1."/>
      <w:lvlJc w:val="left"/>
      <w:pPr>
        <w:ind w:left="927"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1BC93076"/>
    <w:multiLevelType w:val="hybridMultilevel"/>
    <w:tmpl w:val="DA8498DC"/>
    <w:lvl w:ilvl="0" w:tplc="A490CADA">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081B45"/>
    <w:multiLevelType w:val="hybridMultilevel"/>
    <w:tmpl w:val="04407E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8D082D"/>
    <w:multiLevelType w:val="hybridMultilevel"/>
    <w:tmpl w:val="F18073C0"/>
    <w:lvl w:ilvl="0" w:tplc="08AE3F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1323520"/>
    <w:multiLevelType w:val="hybridMultilevel"/>
    <w:tmpl w:val="F18073C0"/>
    <w:lvl w:ilvl="0" w:tplc="08AE3F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1EF18C9"/>
    <w:multiLevelType w:val="hybridMultilevel"/>
    <w:tmpl w:val="1DB4D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0175C0"/>
    <w:multiLevelType w:val="hybridMultilevel"/>
    <w:tmpl w:val="F18073C0"/>
    <w:lvl w:ilvl="0" w:tplc="08AE3F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6083117"/>
    <w:multiLevelType w:val="hybridMultilevel"/>
    <w:tmpl w:val="B330D9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26B80B89"/>
    <w:multiLevelType w:val="hybridMultilevel"/>
    <w:tmpl w:val="84808498"/>
    <w:lvl w:ilvl="0" w:tplc="413AA6A4">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28980919"/>
    <w:multiLevelType w:val="hybridMultilevel"/>
    <w:tmpl w:val="84808498"/>
    <w:lvl w:ilvl="0" w:tplc="413AA6A4">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9107CA8"/>
    <w:multiLevelType w:val="hybridMultilevel"/>
    <w:tmpl w:val="8402C6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B9C2C48"/>
    <w:multiLevelType w:val="hybridMultilevel"/>
    <w:tmpl w:val="F73AF4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D5B2E43"/>
    <w:multiLevelType w:val="hybridMultilevel"/>
    <w:tmpl w:val="80E415C4"/>
    <w:lvl w:ilvl="0" w:tplc="3036098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EFF25E2"/>
    <w:multiLevelType w:val="hybridMultilevel"/>
    <w:tmpl w:val="5838E280"/>
    <w:lvl w:ilvl="0" w:tplc="90047B3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4513A32"/>
    <w:multiLevelType w:val="hybridMultilevel"/>
    <w:tmpl w:val="E1680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B7F2925"/>
    <w:multiLevelType w:val="hybridMultilevel"/>
    <w:tmpl w:val="48986DFE"/>
    <w:lvl w:ilvl="0" w:tplc="A490CADA">
      <w:numFmt w:val="bullet"/>
      <w:lvlText w:val=""/>
      <w:lvlJc w:val="left"/>
      <w:pPr>
        <w:ind w:left="1800" w:hanging="360"/>
      </w:pPr>
      <w:rPr>
        <w:rFonts w:ascii="Symbol" w:eastAsia="Times New Roman" w:hAnsi="Symbo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4A5F5FF2"/>
    <w:multiLevelType w:val="hybridMultilevel"/>
    <w:tmpl w:val="03644C84"/>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C081D4E"/>
    <w:multiLevelType w:val="hybridMultilevel"/>
    <w:tmpl w:val="02D2B5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3EA78BD"/>
    <w:multiLevelType w:val="hybridMultilevel"/>
    <w:tmpl w:val="F18073C0"/>
    <w:lvl w:ilvl="0" w:tplc="08AE3F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7333A0"/>
    <w:multiLevelType w:val="hybridMultilevel"/>
    <w:tmpl w:val="174C0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6D05B5"/>
    <w:multiLevelType w:val="hybridMultilevel"/>
    <w:tmpl w:val="186AF584"/>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CC328D"/>
    <w:multiLevelType w:val="hybridMultilevel"/>
    <w:tmpl w:val="E16806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B265F87"/>
    <w:multiLevelType w:val="hybridMultilevel"/>
    <w:tmpl w:val="225A1FFE"/>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0496088"/>
    <w:multiLevelType w:val="hybridMultilevel"/>
    <w:tmpl w:val="84808498"/>
    <w:lvl w:ilvl="0" w:tplc="413AA6A4">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71355C06"/>
    <w:multiLevelType w:val="hybridMultilevel"/>
    <w:tmpl w:val="5D54D290"/>
    <w:lvl w:ilvl="0" w:tplc="58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74DE4BF5"/>
    <w:multiLevelType w:val="hybridMultilevel"/>
    <w:tmpl w:val="DB667254"/>
    <w:lvl w:ilvl="0" w:tplc="3036098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622390E"/>
    <w:multiLevelType w:val="hybridMultilevel"/>
    <w:tmpl w:val="F18073C0"/>
    <w:lvl w:ilvl="0" w:tplc="08AE3F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D90587D"/>
    <w:multiLevelType w:val="hybridMultilevel"/>
    <w:tmpl w:val="1A0EF97A"/>
    <w:lvl w:ilvl="0" w:tplc="A490CADA">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24"/>
  </w:num>
  <w:num w:numId="4">
    <w:abstractNumId w:val="29"/>
  </w:num>
  <w:num w:numId="5">
    <w:abstractNumId w:val="8"/>
  </w:num>
  <w:num w:numId="6">
    <w:abstractNumId w:val="22"/>
  </w:num>
  <w:num w:numId="7">
    <w:abstractNumId w:val="11"/>
  </w:num>
  <w:num w:numId="8">
    <w:abstractNumId w:val="28"/>
  </w:num>
  <w:num w:numId="9">
    <w:abstractNumId w:val="5"/>
  </w:num>
  <w:num w:numId="10">
    <w:abstractNumId w:val="21"/>
  </w:num>
  <w:num w:numId="11">
    <w:abstractNumId w:val="34"/>
  </w:num>
  <w:num w:numId="12">
    <w:abstractNumId w:val="6"/>
  </w:num>
  <w:num w:numId="13">
    <w:abstractNumId w:val="25"/>
  </w:num>
  <w:num w:numId="14">
    <w:abstractNumId w:val="2"/>
  </w:num>
  <w:num w:numId="15">
    <w:abstractNumId w:val="31"/>
  </w:num>
  <w:num w:numId="16">
    <w:abstractNumId w:val="3"/>
  </w:num>
  <w:num w:numId="17">
    <w:abstractNumId w:val="7"/>
  </w:num>
  <w:num w:numId="18">
    <w:abstractNumId w:val="1"/>
  </w:num>
  <w:num w:numId="19">
    <w:abstractNumId w:val="12"/>
  </w:num>
  <w:num w:numId="20">
    <w:abstractNumId w:val="0"/>
  </w:num>
  <w:num w:numId="21">
    <w:abstractNumId w:val="14"/>
  </w:num>
  <w:num w:numId="22">
    <w:abstractNumId w:val="4"/>
  </w:num>
  <w:num w:numId="23">
    <w:abstractNumId w:val="19"/>
  </w:num>
  <w:num w:numId="24">
    <w:abstractNumId w:val="26"/>
  </w:num>
  <w:num w:numId="25">
    <w:abstractNumId w:val="23"/>
  </w:num>
  <w:num w:numId="26">
    <w:abstractNumId w:val="30"/>
  </w:num>
  <w:num w:numId="27">
    <w:abstractNumId w:val="13"/>
  </w:num>
  <w:num w:numId="28">
    <w:abstractNumId w:val="20"/>
  </w:num>
  <w:num w:numId="29">
    <w:abstractNumId w:val="35"/>
  </w:num>
  <w:num w:numId="30">
    <w:abstractNumId w:val="27"/>
  </w:num>
  <w:num w:numId="31">
    <w:abstractNumId w:val="15"/>
  </w:num>
  <w:num w:numId="32">
    <w:abstractNumId w:val="9"/>
  </w:num>
  <w:num w:numId="33">
    <w:abstractNumId w:val="17"/>
  </w:num>
  <w:num w:numId="34">
    <w:abstractNumId w:val="32"/>
  </w:num>
  <w:num w:numId="35">
    <w:abstractNumId w:val="18"/>
  </w:num>
  <w:num w:numId="36">
    <w:abstractNumId w:val="16"/>
  </w:num>
  <w:num w:numId="37">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DC"/>
    <w:rsid w:val="00005897"/>
    <w:rsid w:val="0000638A"/>
    <w:rsid w:val="000073CB"/>
    <w:rsid w:val="000139A1"/>
    <w:rsid w:val="0001415F"/>
    <w:rsid w:val="0001674C"/>
    <w:rsid w:val="00027D75"/>
    <w:rsid w:val="000320C4"/>
    <w:rsid w:val="00032D57"/>
    <w:rsid w:val="00037DAE"/>
    <w:rsid w:val="0004009B"/>
    <w:rsid w:val="00041359"/>
    <w:rsid w:val="00056850"/>
    <w:rsid w:val="00064908"/>
    <w:rsid w:val="00076CAE"/>
    <w:rsid w:val="00076DFC"/>
    <w:rsid w:val="00080101"/>
    <w:rsid w:val="00083A6F"/>
    <w:rsid w:val="000916D4"/>
    <w:rsid w:val="000928DC"/>
    <w:rsid w:val="00097AD4"/>
    <w:rsid w:val="000A7A9D"/>
    <w:rsid w:val="000B4C88"/>
    <w:rsid w:val="000B5D40"/>
    <w:rsid w:val="000C4145"/>
    <w:rsid w:val="000C5C88"/>
    <w:rsid w:val="000C70C4"/>
    <w:rsid w:val="000D05E9"/>
    <w:rsid w:val="000D544B"/>
    <w:rsid w:val="000D5669"/>
    <w:rsid w:val="000E2B98"/>
    <w:rsid w:val="000F0004"/>
    <w:rsid w:val="000F056A"/>
    <w:rsid w:val="000F402A"/>
    <w:rsid w:val="00100FAC"/>
    <w:rsid w:val="0010298D"/>
    <w:rsid w:val="00102D23"/>
    <w:rsid w:val="001127A8"/>
    <w:rsid w:val="00114576"/>
    <w:rsid w:val="0011561B"/>
    <w:rsid w:val="00122034"/>
    <w:rsid w:val="0012588E"/>
    <w:rsid w:val="00131BFF"/>
    <w:rsid w:val="001424C2"/>
    <w:rsid w:val="0014631C"/>
    <w:rsid w:val="001465FB"/>
    <w:rsid w:val="00157A25"/>
    <w:rsid w:val="001669F8"/>
    <w:rsid w:val="00170191"/>
    <w:rsid w:val="001719EF"/>
    <w:rsid w:val="0018486A"/>
    <w:rsid w:val="00186B13"/>
    <w:rsid w:val="00190227"/>
    <w:rsid w:val="00190EF9"/>
    <w:rsid w:val="00192252"/>
    <w:rsid w:val="00194985"/>
    <w:rsid w:val="00195BA8"/>
    <w:rsid w:val="001979FF"/>
    <w:rsid w:val="001A1A05"/>
    <w:rsid w:val="001A48A4"/>
    <w:rsid w:val="001B00A2"/>
    <w:rsid w:val="001B191A"/>
    <w:rsid w:val="001B54DC"/>
    <w:rsid w:val="001C0B71"/>
    <w:rsid w:val="001C35B1"/>
    <w:rsid w:val="001C4007"/>
    <w:rsid w:val="001C4110"/>
    <w:rsid w:val="001C679E"/>
    <w:rsid w:val="001C7D82"/>
    <w:rsid w:val="001D0ADF"/>
    <w:rsid w:val="001D31B7"/>
    <w:rsid w:val="001D55BD"/>
    <w:rsid w:val="001F0AFD"/>
    <w:rsid w:val="001F0EF0"/>
    <w:rsid w:val="001F3D7A"/>
    <w:rsid w:val="0020115E"/>
    <w:rsid w:val="00202466"/>
    <w:rsid w:val="00210CDC"/>
    <w:rsid w:val="0021487B"/>
    <w:rsid w:val="00220FE0"/>
    <w:rsid w:val="00221663"/>
    <w:rsid w:val="00221737"/>
    <w:rsid w:val="002222A6"/>
    <w:rsid w:val="00222A9F"/>
    <w:rsid w:val="002269A8"/>
    <w:rsid w:val="00231B3E"/>
    <w:rsid w:val="002322DD"/>
    <w:rsid w:val="002339E7"/>
    <w:rsid w:val="00236C15"/>
    <w:rsid w:val="00242795"/>
    <w:rsid w:val="00242AFD"/>
    <w:rsid w:val="00244F06"/>
    <w:rsid w:val="0024773B"/>
    <w:rsid w:val="00252669"/>
    <w:rsid w:val="00252E33"/>
    <w:rsid w:val="00253A01"/>
    <w:rsid w:val="00255424"/>
    <w:rsid w:val="00262729"/>
    <w:rsid w:val="00262880"/>
    <w:rsid w:val="00270011"/>
    <w:rsid w:val="002805BB"/>
    <w:rsid w:val="0028286C"/>
    <w:rsid w:val="002861F2"/>
    <w:rsid w:val="00293E5C"/>
    <w:rsid w:val="002B37A9"/>
    <w:rsid w:val="002B4E1F"/>
    <w:rsid w:val="002C53E6"/>
    <w:rsid w:val="002C586A"/>
    <w:rsid w:val="002D0840"/>
    <w:rsid w:val="002D43E3"/>
    <w:rsid w:val="002D458C"/>
    <w:rsid w:val="002D47F4"/>
    <w:rsid w:val="002D4C6A"/>
    <w:rsid w:val="002E0447"/>
    <w:rsid w:val="002F1329"/>
    <w:rsid w:val="002F160E"/>
    <w:rsid w:val="002F3025"/>
    <w:rsid w:val="002F31FF"/>
    <w:rsid w:val="002F4977"/>
    <w:rsid w:val="002F641E"/>
    <w:rsid w:val="00300A34"/>
    <w:rsid w:val="0031055A"/>
    <w:rsid w:val="00312764"/>
    <w:rsid w:val="00315BFA"/>
    <w:rsid w:val="00316501"/>
    <w:rsid w:val="00321F43"/>
    <w:rsid w:val="0032359B"/>
    <w:rsid w:val="003311A8"/>
    <w:rsid w:val="0033155F"/>
    <w:rsid w:val="00332B6E"/>
    <w:rsid w:val="00333C1D"/>
    <w:rsid w:val="00333D00"/>
    <w:rsid w:val="0033790B"/>
    <w:rsid w:val="00342396"/>
    <w:rsid w:val="00352862"/>
    <w:rsid w:val="00355816"/>
    <w:rsid w:val="0037181B"/>
    <w:rsid w:val="00373DCD"/>
    <w:rsid w:val="003748D5"/>
    <w:rsid w:val="003752A8"/>
    <w:rsid w:val="00377A2A"/>
    <w:rsid w:val="00393FAE"/>
    <w:rsid w:val="00394717"/>
    <w:rsid w:val="00396B5A"/>
    <w:rsid w:val="00397875"/>
    <w:rsid w:val="003A1F8A"/>
    <w:rsid w:val="003A30F7"/>
    <w:rsid w:val="003A4440"/>
    <w:rsid w:val="003D4A34"/>
    <w:rsid w:val="003D4E1D"/>
    <w:rsid w:val="003D7B00"/>
    <w:rsid w:val="003D7C49"/>
    <w:rsid w:val="003F771B"/>
    <w:rsid w:val="00404E12"/>
    <w:rsid w:val="004146F8"/>
    <w:rsid w:val="00414A53"/>
    <w:rsid w:val="004151A3"/>
    <w:rsid w:val="004202C3"/>
    <w:rsid w:val="00421D71"/>
    <w:rsid w:val="00423BBA"/>
    <w:rsid w:val="00425164"/>
    <w:rsid w:val="00425BC3"/>
    <w:rsid w:val="004277FA"/>
    <w:rsid w:val="00432670"/>
    <w:rsid w:val="0043549D"/>
    <w:rsid w:val="004467D0"/>
    <w:rsid w:val="00451472"/>
    <w:rsid w:val="004519E7"/>
    <w:rsid w:val="00451D34"/>
    <w:rsid w:val="004569CB"/>
    <w:rsid w:val="00462FC2"/>
    <w:rsid w:val="004633AC"/>
    <w:rsid w:val="004648A2"/>
    <w:rsid w:val="004649DF"/>
    <w:rsid w:val="00466E11"/>
    <w:rsid w:val="00477BFB"/>
    <w:rsid w:val="00484607"/>
    <w:rsid w:val="0048670A"/>
    <w:rsid w:val="00486AFB"/>
    <w:rsid w:val="00492147"/>
    <w:rsid w:val="00494066"/>
    <w:rsid w:val="004B6237"/>
    <w:rsid w:val="004B667E"/>
    <w:rsid w:val="004C3D75"/>
    <w:rsid w:val="004C4BC7"/>
    <w:rsid w:val="004C5E90"/>
    <w:rsid w:val="004D116F"/>
    <w:rsid w:val="004D17AF"/>
    <w:rsid w:val="004E1897"/>
    <w:rsid w:val="004E262B"/>
    <w:rsid w:val="004E3E63"/>
    <w:rsid w:val="004F11AB"/>
    <w:rsid w:val="00504B9F"/>
    <w:rsid w:val="005063D1"/>
    <w:rsid w:val="005069CB"/>
    <w:rsid w:val="00507FC5"/>
    <w:rsid w:val="00511D2E"/>
    <w:rsid w:val="0051298E"/>
    <w:rsid w:val="00514334"/>
    <w:rsid w:val="00514499"/>
    <w:rsid w:val="005168FE"/>
    <w:rsid w:val="00524E14"/>
    <w:rsid w:val="00525B83"/>
    <w:rsid w:val="00525E61"/>
    <w:rsid w:val="00527A03"/>
    <w:rsid w:val="005346DD"/>
    <w:rsid w:val="00535386"/>
    <w:rsid w:val="00535C34"/>
    <w:rsid w:val="0054032B"/>
    <w:rsid w:val="00542BC4"/>
    <w:rsid w:val="00545BAD"/>
    <w:rsid w:val="00545CD1"/>
    <w:rsid w:val="00547DB9"/>
    <w:rsid w:val="0055153B"/>
    <w:rsid w:val="00552A51"/>
    <w:rsid w:val="00553132"/>
    <w:rsid w:val="005626C0"/>
    <w:rsid w:val="005632B1"/>
    <w:rsid w:val="00573A75"/>
    <w:rsid w:val="00573F65"/>
    <w:rsid w:val="00581753"/>
    <w:rsid w:val="005903E9"/>
    <w:rsid w:val="0059735F"/>
    <w:rsid w:val="005A1598"/>
    <w:rsid w:val="005B225A"/>
    <w:rsid w:val="005B349A"/>
    <w:rsid w:val="005B3BBB"/>
    <w:rsid w:val="005B7EF8"/>
    <w:rsid w:val="005B7FD8"/>
    <w:rsid w:val="005C12F2"/>
    <w:rsid w:val="005C3985"/>
    <w:rsid w:val="005C4731"/>
    <w:rsid w:val="005C7ACD"/>
    <w:rsid w:val="005D1F19"/>
    <w:rsid w:val="005E0469"/>
    <w:rsid w:val="005E1F5C"/>
    <w:rsid w:val="005E3ABA"/>
    <w:rsid w:val="005E3D18"/>
    <w:rsid w:val="005E630A"/>
    <w:rsid w:val="005F1D20"/>
    <w:rsid w:val="005F375E"/>
    <w:rsid w:val="00600E51"/>
    <w:rsid w:val="00605EA2"/>
    <w:rsid w:val="00607F85"/>
    <w:rsid w:val="00611584"/>
    <w:rsid w:val="00614C70"/>
    <w:rsid w:val="00623C4A"/>
    <w:rsid w:val="0062627E"/>
    <w:rsid w:val="00631D36"/>
    <w:rsid w:val="0063407C"/>
    <w:rsid w:val="00640E4B"/>
    <w:rsid w:val="00641923"/>
    <w:rsid w:val="00645687"/>
    <w:rsid w:val="00647495"/>
    <w:rsid w:val="006571CB"/>
    <w:rsid w:val="0066497E"/>
    <w:rsid w:val="00670A7E"/>
    <w:rsid w:val="006720F8"/>
    <w:rsid w:val="0067384A"/>
    <w:rsid w:val="00674CF3"/>
    <w:rsid w:val="00676C2B"/>
    <w:rsid w:val="006804B8"/>
    <w:rsid w:val="0068072C"/>
    <w:rsid w:val="006820D4"/>
    <w:rsid w:val="0069457A"/>
    <w:rsid w:val="006A52A5"/>
    <w:rsid w:val="006B0B11"/>
    <w:rsid w:val="006B1068"/>
    <w:rsid w:val="006B2E22"/>
    <w:rsid w:val="006B3BEA"/>
    <w:rsid w:val="006C2650"/>
    <w:rsid w:val="006D00EE"/>
    <w:rsid w:val="006D2791"/>
    <w:rsid w:val="006D7CD1"/>
    <w:rsid w:val="006E023A"/>
    <w:rsid w:val="006E561A"/>
    <w:rsid w:val="006F0964"/>
    <w:rsid w:val="006F762F"/>
    <w:rsid w:val="00704251"/>
    <w:rsid w:val="0070461E"/>
    <w:rsid w:val="00705280"/>
    <w:rsid w:val="00711963"/>
    <w:rsid w:val="007132A0"/>
    <w:rsid w:val="007170DE"/>
    <w:rsid w:val="00717CB9"/>
    <w:rsid w:val="00725E8D"/>
    <w:rsid w:val="007325A3"/>
    <w:rsid w:val="00734786"/>
    <w:rsid w:val="00734F91"/>
    <w:rsid w:val="00735E4A"/>
    <w:rsid w:val="007372B6"/>
    <w:rsid w:val="00740D12"/>
    <w:rsid w:val="00741044"/>
    <w:rsid w:val="007411A5"/>
    <w:rsid w:val="00741AFF"/>
    <w:rsid w:val="007549AC"/>
    <w:rsid w:val="007549C2"/>
    <w:rsid w:val="0075557F"/>
    <w:rsid w:val="007705CD"/>
    <w:rsid w:val="00777C92"/>
    <w:rsid w:val="0078220B"/>
    <w:rsid w:val="00784C4C"/>
    <w:rsid w:val="00784D8D"/>
    <w:rsid w:val="00787C81"/>
    <w:rsid w:val="007900C0"/>
    <w:rsid w:val="00795660"/>
    <w:rsid w:val="007957E5"/>
    <w:rsid w:val="007977FC"/>
    <w:rsid w:val="007A0985"/>
    <w:rsid w:val="007A36B5"/>
    <w:rsid w:val="007A41B3"/>
    <w:rsid w:val="007A5F05"/>
    <w:rsid w:val="007B0B4D"/>
    <w:rsid w:val="007B0BFA"/>
    <w:rsid w:val="007B51EA"/>
    <w:rsid w:val="007B58FA"/>
    <w:rsid w:val="007C0114"/>
    <w:rsid w:val="007D1791"/>
    <w:rsid w:val="007D3FE8"/>
    <w:rsid w:val="007D53FA"/>
    <w:rsid w:val="007D7EA2"/>
    <w:rsid w:val="007E2840"/>
    <w:rsid w:val="007F14CB"/>
    <w:rsid w:val="007F7DB6"/>
    <w:rsid w:val="00813CD6"/>
    <w:rsid w:val="0081689B"/>
    <w:rsid w:val="008174DF"/>
    <w:rsid w:val="008214E6"/>
    <w:rsid w:val="0082412F"/>
    <w:rsid w:val="008248AC"/>
    <w:rsid w:val="00830661"/>
    <w:rsid w:val="00831634"/>
    <w:rsid w:val="00837315"/>
    <w:rsid w:val="00842473"/>
    <w:rsid w:val="00850DA4"/>
    <w:rsid w:val="008534B4"/>
    <w:rsid w:val="00854FDC"/>
    <w:rsid w:val="00861373"/>
    <w:rsid w:val="00862733"/>
    <w:rsid w:val="00866333"/>
    <w:rsid w:val="008732E7"/>
    <w:rsid w:val="0087360C"/>
    <w:rsid w:val="0087605A"/>
    <w:rsid w:val="00880E68"/>
    <w:rsid w:val="00882598"/>
    <w:rsid w:val="00882BDB"/>
    <w:rsid w:val="00883AD5"/>
    <w:rsid w:val="008843C0"/>
    <w:rsid w:val="00886BE0"/>
    <w:rsid w:val="00890464"/>
    <w:rsid w:val="008A0266"/>
    <w:rsid w:val="008A1902"/>
    <w:rsid w:val="008A341D"/>
    <w:rsid w:val="008A59CA"/>
    <w:rsid w:val="008B1550"/>
    <w:rsid w:val="008B23F5"/>
    <w:rsid w:val="008B5FDB"/>
    <w:rsid w:val="008B766D"/>
    <w:rsid w:val="008C0419"/>
    <w:rsid w:val="008C1982"/>
    <w:rsid w:val="008C1BD8"/>
    <w:rsid w:val="008C7FEC"/>
    <w:rsid w:val="008D0153"/>
    <w:rsid w:val="008D5450"/>
    <w:rsid w:val="008E566F"/>
    <w:rsid w:val="00906234"/>
    <w:rsid w:val="00907C4E"/>
    <w:rsid w:val="00924F3B"/>
    <w:rsid w:val="00926579"/>
    <w:rsid w:val="00926FF2"/>
    <w:rsid w:val="009315DA"/>
    <w:rsid w:val="00943C73"/>
    <w:rsid w:val="00945488"/>
    <w:rsid w:val="00945577"/>
    <w:rsid w:val="009472E3"/>
    <w:rsid w:val="00961C23"/>
    <w:rsid w:val="00970E6D"/>
    <w:rsid w:val="00971441"/>
    <w:rsid w:val="009820C0"/>
    <w:rsid w:val="009830A5"/>
    <w:rsid w:val="00986F89"/>
    <w:rsid w:val="0098752D"/>
    <w:rsid w:val="00993F2C"/>
    <w:rsid w:val="009A1967"/>
    <w:rsid w:val="009A618E"/>
    <w:rsid w:val="009A6284"/>
    <w:rsid w:val="009A6B16"/>
    <w:rsid w:val="009A7DF6"/>
    <w:rsid w:val="009B65FF"/>
    <w:rsid w:val="009B69FF"/>
    <w:rsid w:val="009D38F0"/>
    <w:rsid w:val="009D52BE"/>
    <w:rsid w:val="009D6AA8"/>
    <w:rsid w:val="009E38CB"/>
    <w:rsid w:val="009F2937"/>
    <w:rsid w:val="009F7F19"/>
    <w:rsid w:val="00A01633"/>
    <w:rsid w:val="00A06A8A"/>
    <w:rsid w:val="00A21027"/>
    <w:rsid w:val="00A21D9F"/>
    <w:rsid w:val="00A25B4A"/>
    <w:rsid w:val="00A2777A"/>
    <w:rsid w:val="00A31FD8"/>
    <w:rsid w:val="00A41804"/>
    <w:rsid w:val="00A42593"/>
    <w:rsid w:val="00A45B2D"/>
    <w:rsid w:val="00A532A2"/>
    <w:rsid w:val="00A544DE"/>
    <w:rsid w:val="00A55B52"/>
    <w:rsid w:val="00A622B8"/>
    <w:rsid w:val="00A64AE1"/>
    <w:rsid w:val="00A64B8E"/>
    <w:rsid w:val="00A67625"/>
    <w:rsid w:val="00A701F9"/>
    <w:rsid w:val="00A72813"/>
    <w:rsid w:val="00A77041"/>
    <w:rsid w:val="00A81C5E"/>
    <w:rsid w:val="00A81F15"/>
    <w:rsid w:val="00A85D0A"/>
    <w:rsid w:val="00A910AD"/>
    <w:rsid w:val="00A9139F"/>
    <w:rsid w:val="00A96AF3"/>
    <w:rsid w:val="00AB5B6C"/>
    <w:rsid w:val="00AB79F2"/>
    <w:rsid w:val="00AC2DAA"/>
    <w:rsid w:val="00AC4815"/>
    <w:rsid w:val="00AC595A"/>
    <w:rsid w:val="00AD0A9E"/>
    <w:rsid w:val="00AF1DBF"/>
    <w:rsid w:val="00AF5FBE"/>
    <w:rsid w:val="00AF7E50"/>
    <w:rsid w:val="00B0190F"/>
    <w:rsid w:val="00B01A2E"/>
    <w:rsid w:val="00B03EAA"/>
    <w:rsid w:val="00B114BB"/>
    <w:rsid w:val="00B125D5"/>
    <w:rsid w:val="00B22BE2"/>
    <w:rsid w:val="00B247B9"/>
    <w:rsid w:val="00B25432"/>
    <w:rsid w:val="00B2784C"/>
    <w:rsid w:val="00B278B9"/>
    <w:rsid w:val="00B30794"/>
    <w:rsid w:val="00B30DA8"/>
    <w:rsid w:val="00B324F6"/>
    <w:rsid w:val="00B344E3"/>
    <w:rsid w:val="00B366BD"/>
    <w:rsid w:val="00B37238"/>
    <w:rsid w:val="00B40333"/>
    <w:rsid w:val="00B42A91"/>
    <w:rsid w:val="00B42BFB"/>
    <w:rsid w:val="00B45341"/>
    <w:rsid w:val="00B50D91"/>
    <w:rsid w:val="00B525D4"/>
    <w:rsid w:val="00B55D7E"/>
    <w:rsid w:val="00B566F1"/>
    <w:rsid w:val="00B56A4E"/>
    <w:rsid w:val="00B577F5"/>
    <w:rsid w:val="00B6236D"/>
    <w:rsid w:val="00B6270B"/>
    <w:rsid w:val="00B672E1"/>
    <w:rsid w:val="00B70D10"/>
    <w:rsid w:val="00B7387B"/>
    <w:rsid w:val="00B81C81"/>
    <w:rsid w:val="00B8555C"/>
    <w:rsid w:val="00B86998"/>
    <w:rsid w:val="00B8790A"/>
    <w:rsid w:val="00B9157C"/>
    <w:rsid w:val="00B91821"/>
    <w:rsid w:val="00B91CF1"/>
    <w:rsid w:val="00BA65B7"/>
    <w:rsid w:val="00BA7929"/>
    <w:rsid w:val="00BB1FED"/>
    <w:rsid w:val="00BB5796"/>
    <w:rsid w:val="00BB66A5"/>
    <w:rsid w:val="00BC584B"/>
    <w:rsid w:val="00BC6D02"/>
    <w:rsid w:val="00BD16F8"/>
    <w:rsid w:val="00BD4271"/>
    <w:rsid w:val="00BE11A5"/>
    <w:rsid w:val="00BE3C11"/>
    <w:rsid w:val="00BE3CAF"/>
    <w:rsid w:val="00BF0BB2"/>
    <w:rsid w:val="00BF18D3"/>
    <w:rsid w:val="00BF2FB6"/>
    <w:rsid w:val="00BF3310"/>
    <w:rsid w:val="00C0058A"/>
    <w:rsid w:val="00C02BFB"/>
    <w:rsid w:val="00C0518E"/>
    <w:rsid w:val="00C14728"/>
    <w:rsid w:val="00C16F33"/>
    <w:rsid w:val="00C22085"/>
    <w:rsid w:val="00C30845"/>
    <w:rsid w:val="00C3176F"/>
    <w:rsid w:val="00C31E68"/>
    <w:rsid w:val="00C32224"/>
    <w:rsid w:val="00C33812"/>
    <w:rsid w:val="00C3737E"/>
    <w:rsid w:val="00C37760"/>
    <w:rsid w:val="00C41900"/>
    <w:rsid w:val="00C43439"/>
    <w:rsid w:val="00C45962"/>
    <w:rsid w:val="00C46B99"/>
    <w:rsid w:val="00C47188"/>
    <w:rsid w:val="00C47996"/>
    <w:rsid w:val="00C5365A"/>
    <w:rsid w:val="00C56418"/>
    <w:rsid w:val="00C605A5"/>
    <w:rsid w:val="00C6125E"/>
    <w:rsid w:val="00C63F9C"/>
    <w:rsid w:val="00C6583E"/>
    <w:rsid w:val="00C66CE9"/>
    <w:rsid w:val="00C71FA9"/>
    <w:rsid w:val="00C81BFE"/>
    <w:rsid w:val="00C83736"/>
    <w:rsid w:val="00CB146A"/>
    <w:rsid w:val="00CB4F4F"/>
    <w:rsid w:val="00CB56C9"/>
    <w:rsid w:val="00CB6FBC"/>
    <w:rsid w:val="00CE36D9"/>
    <w:rsid w:val="00CF03D9"/>
    <w:rsid w:val="00CF6D10"/>
    <w:rsid w:val="00D00D59"/>
    <w:rsid w:val="00D02B70"/>
    <w:rsid w:val="00D04F5B"/>
    <w:rsid w:val="00D078F4"/>
    <w:rsid w:val="00D131BF"/>
    <w:rsid w:val="00D17231"/>
    <w:rsid w:val="00D175C4"/>
    <w:rsid w:val="00D213C5"/>
    <w:rsid w:val="00D21858"/>
    <w:rsid w:val="00D22290"/>
    <w:rsid w:val="00D22757"/>
    <w:rsid w:val="00D2381A"/>
    <w:rsid w:val="00D26865"/>
    <w:rsid w:val="00D269B5"/>
    <w:rsid w:val="00D3080F"/>
    <w:rsid w:val="00D348F8"/>
    <w:rsid w:val="00D444F4"/>
    <w:rsid w:val="00D44A8D"/>
    <w:rsid w:val="00D52052"/>
    <w:rsid w:val="00D53358"/>
    <w:rsid w:val="00D54A05"/>
    <w:rsid w:val="00D55021"/>
    <w:rsid w:val="00D678DA"/>
    <w:rsid w:val="00D717BA"/>
    <w:rsid w:val="00D90DB8"/>
    <w:rsid w:val="00D92894"/>
    <w:rsid w:val="00D94A18"/>
    <w:rsid w:val="00DA13BB"/>
    <w:rsid w:val="00DA1481"/>
    <w:rsid w:val="00DA2CAD"/>
    <w:rsid w:val="00DB13D1"/>
    <w:rsid w:val="00DB2B2A"/>
    <w:rsid w:val="00DC4C4D"/>
    <w:rsid w:val="00DC644F"/>
    <w:rsid w:val="00DC7817"/>
    <w:rsid w:val="00DD0AA7"/>
    <w:rsid w:val="00DD6642"/>
    <w:rsid w:val="00DD7D6B"/>
    <w:rsid w:val="00DE15A6"/>
    <w:rsid w:val="00DE50FB"/>
    <w:rsid w:val="00DF6615"/>
    <w:rsid w:val="00DF6BB4"/>
    <w:rsid w:val="00DF7427"/>
    <w:rsid w:val="00E06A0B"/>
    <w:rsid w:val="00E11883"/>
    <w:rsid w:val="00E1281D"/>
    <w:rsid w:val="00E1425E"/>
    <w:rsid w:val="00E15946"/>
    <w:rsid w:val="00E15F92"/>
    <w:rsid w:val="00E20639"/>
    <w:rsid w:val="00E2373E"/>
    <w:rsid w:val="00E2470A"/>
    <w:rsid w:val="00E25D8A"/>
    <w:rsid w:val="00E33D4E"/>
    <w:rsid w:val="00E403C3"/>
    <w:rsid w:val="00E40EFE"/>
    <w:rsid w:val="00E43392"/>
    <w:rsid w:val="00E44FF1"/>
    <w:rsid w:val="00E45C27"/>
    <w:rsid w:val="00E46A27"/>
    <w:rsid w:val="00E50C56"/>
    <w:rsid w:val="00E5105A"/>
    <w:rsid w:val="00E53953"/>
    <w:rsid w:val="00E554C4"/>
    <w:rsid w:val="00E57133"/>
    <w:rsid w:val="00E60145"/>
    <w:rsid w:val="00E64417"/>
    <w:rsid w:val="00E6477C"/>
    <w:rsid w:val="00E6793E"/>
    <w:rsid w:val="00E724D2"/>
    <w:rsid w:val="00E7465F"/>
    <w:rsid w:val="00E8586F"/>
    <w:rsid w:val="00EA2A3E"/>
    <w:rsid w:val="00EA4145"/>
    <w:rsid w:val="00EB1B12"/>
    <w:rsid w:val="00EB6EC6"/>
    <w:rsid w:val="00EC0550"/>
    <w:rsid w:val="00EC7CD1"/>
    <w:rsid w:val="00ED1C5E"/>
    <w:rsid w:val="00ED3A74"/>
    <w:rsid w:val="00ED6849"/>
    <w:rsid w:val="00ED77B1"/>
    <w:rsid w:val="00EE13A0"/>
    <w:rsid w:val="00EE303D"/>
    <w:rsid w:val="00EF3CD1"/>
    <w:rsid w:val="00EF4F20"/>
    <w:rsid w:val="00F01470"/>
    <w:rsid w:val="00F03B30"/>
    <w:rsid w:val="00F04652"/>
    <w:rsid w:val="00F05D14"/>
    <w:rsid w:val="00F23954"/>
    <w:rsid w:val="00F27FC5"/>
    <w:rsid w:val="00F40CB2"/>
    <w:rsid w:val="00F472F5"/>
    <w:rsid w:val="00F50BE5"/>
    <w:rsid w:val="00F54A90"/>
    <w:rsid w:val="00F55947"/>
    <w:rsid w:val="00F57A50"/>
    <w:rsid w:val="00F607BD"/>
    <w:rsid w:val="00F64E34"/>
    <w:rsid w:val="00F66051"/>
    <w:rsid w:val="00F72D81"/>
    <w:rsid w:val="00F73330"/>
    <w:rsid w:val="00F733B9"/>
    <w:rsid w:val="00F75AD2"/>
    <w:rsid w:val="00F778A7"/>
    <w:rsid w:val="00F77B2B"/>
    <w:rsid w:val="00F915BB"/>
    <w:rsid w:val="00F93C50"/>
    <w:rsid w:val="00F973F4"/>
    <w:rsid w:val="00FA2E2F"/>
    <w:rsid w:val="00FA6D78"/>
    <w:rsid w:val="00FB1587"/>
    <w:rsid w:val="00FB1A68"/>
    <w:rsid w:val="00FB1E55"/>
    <w:rsid w:val="00FB2AEF"/>
    <w:rsid w:val="00FB33CE"/>
    <w:rsid w:val="00FC1D4B"/>
    <w:rsid w:val="00FC5246"/>
    <w:rsid w:val="00FC5315"/>
    <w:rsid w:val="00FC79CA"/>
    <w:rsid w:val="00FD02C8"/>
    <w:rsid w:val="00FD1B49"/>
    <w:rsid w:val="00FD2F84"/>
    <w:rsid w:val="00FD6970"/>
    <w:rsid w:val="00FD7C86"/>
    <w:rsid w:val="00FE01C4"/>
    <w:rsid w:val="00FE1358"/>
    <w:rsid w:val="00FE1983"/>
    <w:rsid w:val="00FE3378"/>
    <w:rsid w:val="00FE6A64"/>
    <w:rsid w:val="00FE6C27"/>
    <w:rsid w:val="00FF0352"/>
    <w:rsid w:val="00FF2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674CAA"/>
  <w15:docId w15:val="{6EEE3331-87D8-4487-A194-615E1B05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10CDC"/>
    <w:rPr>
      <w:lang w:val="es-ES"/>
    </w:rPr>
  </w:style>
  <w:style w:type="paragraph" w:styleId="Ttulo2">
    <w:name w:val="heading 2"/>
    <w:basedOn w:val="Normal"/>
    <w:next w:val="Normal"/>
    <w:link w:val="Ttulo2Car"/>
    <w:qFormat/>
    <w:rsid w:val="00210CDC"/>
    <w:pPr>
      <w:keepNext/>
      <w:jc w:val="both"/>
      <w:outlineLvl w:val="1"/>
    </w:pPr>
    <w:rPr>
      <w:rFonts w:ascii="Arial" w:hAnsi="Arial"/>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210CDC"/>
    <w:rPr>
      <w:rFonts w:ascii="Arial" w:hAnsi="Arial"/>
      <w:lang w:val="es-ES_tradnl" w:eastAsia="x-none"/>
    </w:rPr>
  </w:style>
  <w:style w:type="paragraph" w:styleId="Encabezado">
    <w:name w:val="header"/>
    <w:basedOn w:val="Normal"/>
    <w:link w:val="EncabezadoCar"/>
    <w:rsid w:val="00210CDC"/>
    <w:pPr>
      <w:tabs>
        <w:tab w:val="center" w:pos="4252"/>
        <w:tab w:val="right" w:pos="8504"/>
      </w:tabs>
    </w:pPr>
  </w:style>
  <w:style w:type="character" w:customStyle="1" w:styleId="EncabezadoCar">
    <w:name w:val="Encabezado Car"/>
    <w:link w:val="Encabezado"/>
    <w:rsid w:val="00210CDC"/>
    <w:rPr>
      <w:lang w:val="es-ES" w:eastAsia="es-ES"/>
    </w:rPr>
  </w:style>
  <w:style w:type="paragraph" w:styleId="Piedepgina">
    <w:name w:val="footer"/>
    <w:basedOn w:val="Normal"/>
    <w:link w:val="PiedepginaCar"/>
    <w:uiPriority w:val="99"/>
    <w:rsid w:val="00210CDC"/>
    <w:pPr>
      <w:tabs>
        <w:tab w:val="center" w:pos="4252"/>
        <w:tab w:val="right" w:pos="8504"/>
      </w:tabs>
    </w:pPr>
  </w:style>
  <w:style w:type="character" w:customStyle="1" w:styleId="PiedepginaCar">
    <w:name w:val="Pie de página Car"/>
    <w:link w:val="Piedepgina"/>
    <w:uiPriority w:val="99"/>
    <w:rsid w:val="00210CDC"/>
    <w:rPr>
      <w:lang w:val="es-ES" w:eastAsia="es-ES"/>
    </w:rPr>
  </w:style>
  <w:style w:type="paragraph" w:styleId="Textoindependiente">
    <w:name w:val="Body Text"/>
    <w:basedOn w:val="Normal"/>
    <w:link w:val="TextoindependienteCar"/>
    <w:rsid w:val="00210CDC"/>
    <w:pPr>
      <w:jc w:val="both"/>
    </w:pPr>
    <w:rPr>
      <w:rFonts w:ascii="Arial" w:hAnsi="Arial"/>
      <w:sz w:val="24"/>
      <w:lang w:val="es-CO"/>
    </w:rPr>
  </w:style>
  <w:style w:type="character" w:customStyle="1" w:styleId="TextoindependienteCar">
    <w:name w:val="Texto independiente Car"/>
    <w:link w:val="Textoindependiente"/>
    <w:rsid w:val="00210CDC"/>
    <w:rPr>
      <w:rFonts w:ascii="Arial" w:hAnsi="Arial"/>
      <w:sz w:val="24"/>
      <w:lang w:eastAsia="es-ES"/>
    </w:rPr>
  </w:style>
  <w:style w:type="paragraph" w:styleId="Prrafodelista">
    <w:name w:val="List Paragraph"/>
    <w:basedOn w:val="Normal"/>
    <w:uiPriority w:val="34"/>
    <w:qFormat/>
    <w:rsid w:val="00210CDC"/>
    <w:pPr>
      <w:ind w:left="708"/>
    </w:pPr>
  </w:style>
  <w:style w:type="character" w:styleId="Hipervnculo">
    <w:name w:val="Hyperlink"/>
    <w:uiPriority w:val="99"/>
    <w:unhideWhenUsed/>
    <w:rsid w:val="00210CDC"/>
    <w:rPr>
      <w:color w:val="999999"/>
      <w:u w:val="single"/>
    </w:rPr>
  </w:style>
  <w:style w:type="character" w:styleId="Refdecomentario">
    <w:name w:val="annotation reference"/>
    <w:rsid w:val="00210CDC"/>
    <w:rPr>
      <w:sz w:val="16"/>
      <w:szCs w:val="16"/>
    </w:rPr>
  </w:style>
  <w:style w:type="paragraph" w:styleId="Textocomentario">
    <w:name w:val="annotation text"/>
    <w:basedOn w:val="Normal"/>
    <w:link w:val="TextocomentarioCar"/>
    <w:rsid w:val="00210CDC"/>
  </w:style>
  <w:style w:type="character" w:customStyle="1" w:styleId="TextocomentarioCar">
    <w:name w:val="Texto comentario Car"/>
    <w:link w:val="Textocomentario"/>
    <w:rsid w:val="00210CDC"/>
    <w:rPr>
      <w:lang w:val="es-ES" w:eastAsia="es-ES"/>
    </w:rPr>
  </w:style>
  <w:style w:type="paragraph" w:customStyle="1" w:styleId="Standard">
    <w:name w:val="Standard"/>
    <w:rsid w:val="00210CDC"/>
    <w:pPr>
      <w:widowControl w:val="0"/>
      <w:suppressAutoHyphens/>
      <w:autoSpaceDN w:val="0"/>
      <w:textAlignment w:val="baseline"/>
    </w:pPr>
    <w:rPr>
      <w:rFonts w:eastAsia="SimSun" w:cs="Mangal"/>
      <w:kern w:val="3"/>
      <w:sz w:val="24"/>
      <w:szCs w:val="24"/>
      <w:lang w:val="es-CO" w:eastAsia="zh-CN" w:bidi="hi-IN"/>
    </w:rPr>
  </w:style>
  <w:style w:type="paragraph" w:styleId="Textodeglobo">
    <w:name w:val="Balloon Text"/>
    <w:basedOn w:val="Normal"/>
    <w:link w:val="TextodegloboCar"/>
    <w:rsid w:val="00210CDC"/>
    <w:rPr>
      <w:rFonts w:ascii="Tahoma" w:hAnsi="Tahoma" w:cs="Tahoma"/>
      <w:sz w:val="16"/>
      <w:szCs w:val="16"/>
    </w:rPr>
  </w:style>
  <w:style w:type="character" w:customStyle="1" w:styleId="TextodegloboCar">
    <w:name w:val="Texto de globo Car"/>
    <w:link w:val="Textodeglobo"/>
    <w:rsid w:val="00210CDC"/>
    <w:rPr>
      <w:rFonts w:ascii="Tahoma" w:hAnsi="Tahoma" w:cs="Tahoma"/>
      <w:sz w:val="16"/>
      <w:szCs w:val="16"/>
      <w:lang w:val="es-ES" w:eastAsia="es-ES"/>
    </w:rPr>
  </w:style>
  <w:style w:type="paragraph" w:styleId="Asuntodelcomentario">
    <w:name w:val="annotation subject"/>
    <w:basedOn w:val="Textocomentario"/>
    <w:next w:val="Textocomentario"/>
    <w:link w:val="AsuntodelcomentarioCar"/>
    <w:rsid w:val="00C81BFE"/>
    <w:rPr>
      <w:b/>
      <w:bCs/>
    </w:rPr>
  </w:style>
  <w:style w:type="character" w:customStyle="1" w:styleId="AsuntodelcomentarioCar">
    <w:name w:val="Asunto del comentario Car"/>
    <w:link w:val="Asuntodelcomentario"/>
    <w:rsid w:val="00C81BFE"/>
    <w:rPr>
      <w:b/>
      <w:bCs/>
      <w:lang w:val="es-ES" w:eastAsia="es-ES"/>
    </w:rPr>
  </w:style>
  <w:style w:type="character" w:styleId="Hipervnculovisitado">
    <w:name w:val="FollowedHyperlink"/>
    <w:semiHidden/>
    <w:unhideWhenUsed/>
    <w:rsid w:val="00DE15A6"/>
    <w:rPr>
      <w:color w:val="954F72"/>
      <w:u w:val="single"/>
    </w:rPr>
  </w:style>
  <w:style w:type="paragraph" w:styleId="Textonotapie">
    <w:name w:val="footnote text"/>
    <w:basedOn w:val="Normal"/>
    <w:link w:val="TextonotapieCar"/>
    <w:semiHidden/>
    <w:unhideWhenUsed/>
    <w:rsid w:val="007977FC"/>
  </w:style>
  <w:style w:type="character" w:customStyle="1" w:styleId="TextonotapieCar">
    <w:name w:val="Texto nota pie Car"/>
    <w:basedOn w:val="Fuentedeprrafopredeter"/>
    <w:link w:val="Textonotapie"/>
    <w:semiHidden/>
    <w:rsid w:val="007977FC"/>
  </w:style>
  <w:style w:type="character" w:styleId="Refdenotaalpie">
    <w:name w:val="footnote reference"/>
    <w:semiHidden/>
    <w:unhideWhenUsed/>
    <w:rsid w:val="007977FC"/>
    <w:rPr>
      <w:vertAlign w:val="superscript"/>
    </w:rPr>
  </w:style>
  <w:style w:type="paragraph" w:styleId="Textonotaalfinal">
    <w:name w:val="endnote text"/>
    <w:basedOn w:val="Normal"/>
    <w:link w:val="TextonotaalfinalCar"/>
    <w:semiHidden/>
    <w:unhideWhenUsed/>
    <w:rsid w:val="00005897"/>
  </w:style>
  <w:style w:type="character" w:customStyle="1" w:styleId="TextonotaalfinalCar">
    <w:name w:val="Texto nota al final Car"/>
    <w:link w:val="Textonotaalfinal"/>
    <w:semiHidden/>
    <w:rsid w:val="00005897"/>
    <w:rPr>
      <w:lang w:val="es-ES" w:eastAsia="es-ES"/>
    </w:rPr>
  </w:style>
  <w:style w:type="character" w:styleId="Refdenotaalfinal">
    <w:name w:val="endnote reference"/>
    <w:semiHidden/>
    <w:unhideWhenUsed/>
    <w:rsid w:val="00005897"/>
    <w:rPr>
      <w:vertAlign w:val="superscript"/>
    </w:rPr>
  </w:style>
  <w:style w:type="character" w:styleId="Textoennegrita">
    <w:name w:val="Strong"/>
    <w:qFormat/>
    <w:rsid w:val="00BA7929"/>
    <w:rPr>
      <w:b/>
      <w:bCs/>
    </w:rPr>
  </w:style>
  <w:style w:type="paragraph" w:customStyle="1" w:styleId="txtgral">
    <w:name w:val="txtgral"/>
    <w:basedOn w:val="Normal"/>
    <w:rsid w:val="00BA7929"/>
    <w:pPr>
      <w:spacing w:before="100" w:beforeAutospacing="1" w:after="100" w:afterAutospacing="1"/>
    </w:pPr>
    <w:rPr>
      <w:rFonts w:ascii="Verdana" w:hAnsi="Verdana"/>
      <w:color w:val="000000"/>
      <w:sz w:val="18"/>
      <w:szCs w:val="18"/>
    </w:rPr>
  </w:style>
  <w:style w:type="character" w:customStyle="1" w:styleId="apple-converted-space">
    <w:name w:val="apple-converted-space"/>
    <w:rsid w:val="00D348F8"/>
  </w:style>
  <w:style w:type="character" w:customStyle="1" w:styleId="Mencinsinresolver1">
    <w:name w:val="Mención sin resolver1"/>
    <w:uiPriority w:val="99"/>
    <w:semiHidden/>
    <w:unhideWhenUsed/>
    <w:rsid w:val="00D175C4"/>
    <w:rPr>
      <w:color w:val="605E5C"/>
      <w:shd w:val="clear" w:color="auto" w:fill="E1DFDD"/>
    </w:rPr>
  </w:style>
  <w:style w:type="character" w:customStyle="1" w:styleId="Mencinsinresolver2">
    <w:name w:val="Mención sin resolver2"/>
    <w:basedOn w:val="Fuentedeprrafopredeter"/>
    <w:uiPriority w:val="99"/>
    <w:semiHidden/>
    <w:unhideWhenUsed/>
    <w:rsid w:val="00451472"/>
    <w:rPr>
      <w:color w:val="605E5C"/>
      <w:shd w:val="clear" w:color="auto" w:fill="E1DFDD"/>
    </w:rPr>
  </w:style>
  <w:style w:type="paragraph" w:customStyle="1" w:styleId="Default">
    <w:name w:val="Default"/>
    <w:basedOn w:val="Normal"/>
    <w:rsid w:val="00D26865"/>
    <w:pPr>
      <w:autoSpaceDE w:val="0"/>
      <w:autoSpaceDN w:val="0"/>
    </w:pPr>
    <w:rPr>
      <w:rFonts w:ascii="Arial" w:eastAsiaTheme="minorHAnsi" w:hAnsi="Arial" w:cs="Arial"/>
      <w:color w:val="000000"/>
      <w:sz w:val="24"/>
      <w:szCs w:val="24"/>
      <w:lang w:val="es-CO" w:eastAsia="en-US"/>
    </w:rPr>
  </w:style>
  <w:style w:type="character" w:styleId="Mencinsinresolver">
    <w:name w:val="Unresolved Mention"/>
    <w:basedOn w:val="Fuentedeprrafopredeter"/>
    <w:uiPriority w:val="99"/>
    <w:semiHidden/>
    <w:unhideWhenUsed/>
    <w:rsid w:val="004E3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993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uperfinanciera.gov.co/descargas/institucional/pubFile1046463/ce022_20.docx"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uperfinanciera.gov.co/descargas/institucional/pubFile1046463/ce022_20.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uperfinanciera.gov.co/descargas/institucional/pubFile1046463/ce022_20.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superfinanciera.gov.co/descargas/institucional/pubFile1046463/ce022_20.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uperfinanciera.gov.co/descargas/institucional/pubFile1046463/ce022_20.docx" TargetMode="External"/><Relationship Id="rId14" Type="http://schemas.openxmlformats.org/officeDocument/2006/relationships/hyperlink" Target="https://www.superfinanciera.gov.co/descargas/institucional/pubFile1046463/ce022_20.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80643-929A-4FEF-9D9B-2128AC26EF3F}">
  <ds:schemaRefs>
    <ds:schemaRef ds:uri="http://schemas.openxmlformats.org/officeDocument/2006/bibliography"/>
  </ds:schemaRefs>
</ds:datastoreItem>
</file>

<file path=customXml/itemProps2.xml><?xml version="1.0" encoding="utf-8"?>
<ds:datastoreItem xmlns:ds="http://schemas.openxmlformats.org/officeDocument/2006/customXml" ds:itemID="{894F0B47-174E-415C-8645-1C3C2E05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1949</Words>
  <Characters>10919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12843</CharactersWithSpaces>
  <SharedDoc>false</SharedDoc>
  <HLinks>
    <vt:vector size="12" baseType="variant">
      <vt:variant>
        <vt:i4>6750269</vt:i4>
      </vt:variant>
      <vt:variant>
        <vt:i4>3</vt:i4>
      </vt:variant>
      <vt:variant>
        <vt:i4>0</vt:i4>
      </vt:variant>
      <vt:variant>
        <vt:i4>5</vt:i4>
      </vt:variant>
      <vt:variant>
        <vt:lpwstr>https://www.superfinanciera.gov.co/formulesuqueja/faces/registro/registro.xhtml</vt:lpwstr>
      </vt:variant>
      <vt:variant>
        <vt:lpwstr/>
      </vt:variant>
      <vt:variant>
        <vt:i4>4587602</vt:i4>
      </vt:variant>
      <vt:variant>
        <vt:i4>0</vt:i4>
      </vt:variant>
      <vt:variant>
        <vt:i4>0</vt:i4>
      </vt:variant>
      <vt:variant>
        <vt:i4>5</vt:i4>
      </vt:variant>
      <vt:variant>
        <vt:lpwstr>http://www.superfianciera.gov.co/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Rocio Pena Rodriguez</dc:creator>
  <cp:keywords/>
  <cp:lastModifiedBy>Gabriel Armando Ospina Garcia</cp:lastModifiedBy>
  <cp:revision>14</cp:revision>
  <cp:lastPrinted>2020-07-01T20:20:00Z</cp:lastPrinted>
  <dcterms:created xsi:type="dcterms:W3CDTF">2020-07-01T02:53:00Z</dcterms:created>
  <dcterms:modified xsi:type="dcterms:W3CDTF">2020-07-01T22:35:00Z</dcterms:modified>
</cp:coreProperties>
</file>