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DC" w:rsidRDefault="00272CDC" w:rsidP="00645E0C"/>
    <w:p w:rsidR="002C126E" w:rsidRPr="002C126E" w:rsidRDefault="002C126E" w:rsidP="00645E0C">
      <w:pPr>
        <w:jc w:val="center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CARTA CIRCULAR</w:t>
      </w: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50F8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20    </w:t>
      </w: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DE 2020</w:t>
      </w: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center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(</w:t>
      </w:r>
      <w:r w:rsidR="00850F80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Marzo 17 </w:t>
      </w: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)</w:t>
      </w:r>
    </w:p>
    <w:p w:rsidR="00645E0C" w:rsidRDefault="00645E0C" w:rsidP="00645E0C">
      <w:pPr>
        <w:jc w:val="both"/>
        <w:rPr>
          <w:rFonts w:ascii="Times New Roman" w:eastAsia="Times New Roman" w:hAnsi="Times New Roman" w:cs="Times New Roman"/>
        </w:rPr>
      </w:pPr>
    </w:p>
    <w:p w:rsidR="00645E0C" w:rsidRPr="002C126E" w:rsidRDefault="00645E0C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Señores</w:t>
      </w:r>
      <w:r w:rsidRPr="002C126E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REPRESENTANTES LEGALES DE LAS ENTIDADES VIGILADAS, CONTROLADAS Y SUPERVISADAS POR LA SUPERINTENDENCIA FINANCIERA DE COLOMBIA Y PÚBLIC</w:t>
      </w:r>
      <w:bookmarkStart w:id="0" w:name="_GoBack"/>
      <w:bookmarkEnd w:id="0"/>
      <w:r w:rsidRPr="002C126E">
        <w:rPr>
          <w:rFonts w:ascii="Arial" w:eastAsia="Times New Roman" w:hAnsi="Arial" w:cs="Arial"/>
          <w:color w:val="000000"/>
          <w:sz w:val="22"/>
          <w:szCs w:val="22"/>
        </w:rPr>
        <w:t>O EN GENERAL.</w:t>
      </w:r>
    </w:p>
    <w:p w:rsid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645E0C" w:rsidRPr="002C126E" w:rsidRDefault="00645E0C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ind w:left="1418" w:hanging="1418"/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Referencia:</w:t>
      </w: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>Información relativa a los canales virtuales de atención al público de la Superintendencia Financiera de Colombia.</w:t>
      </w:r>
    </w:p>
    <w:p w:rsid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645E0C" w:rsidRPr="002C126E" w:rsidRDefault="00645E0C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Respetados señores: </w:t>
      </w: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 xml:space="preserve">Con ocasión de la emergencia sanitaria </w:t>
      </w:r>
      <w:r w:rsidR="00421C9C">
        <w:rPr>
          <w:rFonts w:ascii="Arial" w:eastAsia="Times New Roman" w:hAnsi="Arial" w:cs="Arial"/>
          <w:color w:val="000000"/>
          <w:sz w:val="22"/>
          <w:szCs w:val="22"/>
        </w:rPr>
        <w:t xml:space="preserve">declarada por el </w:t>
      </w:r>
      <w:r w:rsidR="00E41E51">
        <w:rPr>
          <w:rFonts w:ascii="Arial" w:eastAsia="Times New Roman" w:hAnsi="Arial" w:cs="Arial"/>
          <w:color w:val="000000"/>
          <w:sz w:val="22"/>
          <w:szCs w:val="22"/>
        </w:rPr>
        <w:t>G</w:t>
      </w:r>
      <w:r w:rsidR="00421C9C">
        <w:rPr>
          <w:rFonts w:ascii="Arial" w:eastAsia="Times New Roman" w:hAnsi="Arial" w:cs="Arial"/>
          <w:color w:val="000000"/>
          <w:sz w:val="22"/>
          <w:szCs w:val="22"/>
        </w:rPr>
        <w:t xml:space="preserve">obierno Nacional mediante Resolución 385 del 12 de marzo de 2020 sobre </w:t>
      </w:r>
      <w:r w:rsidRPr="002C126E">
        <w:rPr>
          <w:rFonts w:ascii="Arial" w:eastAsia="Times New Roman" w:hAnsi="Arial" w:cs="Arial"/>
          <w:color w:val="000000"/>
          <w:sz w:val="22"/>
          <w:szCs w:val="22"/>
        </w:rPr>
        <w:t>COVID 19 (Coronavirus), es relevante recordar los canales dispuestos por esta Superintendencia que facilitan la atención a las Entidades Vigiladas y al público en general sin necesidad del desplazamiento a la sede de la Entidad. </w:t>
      </w: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La Superintendencia Financiera cuenta con los siguientes canales virtuales y no presenciales de atención al público: </w:t>
      </w: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numPr>
          <w:ilvl w:val="0"/>
          <w:numId w:val="1"/>
        </w:numPr>
        <w:shd w:val="clear" w:color="auto" w:fill="FFFFFF"/>
        <w:tabs>
          <w:tab w:val="clear" w:pos="720"/>
        </w:tabs>
        <w:ind w:left="426" w:hanging="349"/>
        <w:jc w:val="both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Línea gratuita nacional: </w:t>
      </w:r>
      <w:r w:rsidRPr="002C126E">
        <w:rPr>
          <w:rFonts w:ascii="Arial" w:eastAsia="Times New Roman" w:hAnsi="Arial" w:cs="Arial"/>
          <w:color w:val="000000"/>
          <w:sz w:val="22"/>
          <w:szCs w:val="22"/>
        </w:rPr>
        <w:t>018000 120 100</w:t>
      </w:r>
    </w:p>
    <w:p w:rsidR="002C126E" w:rsidRPr="002C126E" w:rsidRDefault="002C126E" w:rsidP="00645E0C">
      <w:pPr>
        <w:shd w:val="clear" w:color="auto" w:fill="FFFFFF"/>
        <w:ind w:left="775" w:hanging="349"/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Consultas y quejas verbales</w:t>
      </w:r>
    </w:p>
    <w:p w:rsidR="002C126E" w:rsidRPr="002C126E" w:rsidRDefault="002C126E" w:rsidP="00645E0C">
      <w:pPr>
        <w:shd w:val="clear" w:color="auto" w:fill="FFFFFF"/>
        <w:ind w:left="426" w:hanging="349"/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numPr>
          <w:ilvl w:val="0"/>
          <w:numId w:val="2"/>
        </w:numPr>
        <w:shd w:val="clear" w:color="auto" w:fill="FFFFFF"/>
        <w:tabs>
          <w:tab w:val="clear" w:pos="720"/>
        </w:tabs>
        <w:ind w:left="426" w:hanging="349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Centro de Contacto: </w:t>
      </w:r>
      <w:r w:rsidRPr="002C126E">
        <w:rPr>
          <w:rFonts w:ascii="Arial" w:eastAsia="Times New Roman" w:hAnsi="Arial" w:cs="Arial"/>
          <w:color w:val="000000"/>
          <w:sz w:val="22"/>
          <w:szCs w:val="22"/>
        </w:rPr>
        <w:t>(57 1) 307 8042 </w:t>
      </w:r>
    </w:p>
    <w:p w:rsidR="002C126E" w:rsidRDefault="002C126E" w:rsidP="00645E0C">
      <w:pPr>
        <w:shd w:val="clear" w:color="auto" w:fill="FFFFFF"/>
        <w:ind w:left="426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Consultas y quejas verbales</w:t>
      </w:r>
    </w:p>
    <w:p w:rsidR="00645E0C" w:rsidRPr="002C126E" w:rsidRDefault="00645E0C" w:rsidP="00645E0C">
      <w:pPr>
        <w:shd w:val="clear" w:color="auto" w:fill="FFFFFF"/>
        <w:ind w:left="426"/>
        <w:jc w:val="both"/>
        <w:rPr>
          <w:rFonts w:ascii="Times New Roman" w:eastAsia="Times New Roman" w:hAnsi="Times New Roman" w:cs="Times New Roman"/>
        </w:rPr>
      </w:pPr>
    </w:p>
    <w:p w:rsidR="00645E0C" w:rsidRPr="00645E0C" w:rsidRDefault="002C126E" w:rsidP="00645E0C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2"/>
          <w:szCs w:val="22"/>
          <w:u w:val="single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Formulario en línea para presentación</w:t>
      </w:r>
      <w:r w:rsidRPr="002C126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de quejas: </w:t>
      </w:r>
    </w:p>
    <w:p w:rsidR="002C126E" w:rsidRPr="002C126E" w:rsidRDefault="0029013F" w:rsidP="00645E0C">
      <w:pPr>
        <w:ind w:left="426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2"/>
          <w:szCs w:val="22"/>
          <w:u w:val="single"/>
        </w:rPr>
      </w:pPr>
      <w:hyperlink r:id="rId8" w:history="1">
        <w:r w:rsidR="00645E0C" w:rsidRPr="006200A9">
          <w:rPr>
            <w:rStyle w:val="Hipervnculo"/>
            <w:rFonts w:ascii="Arial" w:eastAsia="Times New Roman" w:hAnsi="Arial" w:cs="Arial"/>
            <w:sz w:val="22"/>
            <w:szCs w:val="22"/>
          </w:rPr>
          <w:t>https://www.superfinanciera.gov.co/FormuleSuQueja/faces/registro/registro.xhtml</w:t>
        </w:r>
      </w:hyperlink>
    </w:p>
    <w:p w:rsidR="002C126E" w:rsidRPr="002C126E" w:rsidRDefault="002C126E" w:rsidP="00645E0C">
      <w:pPr>
        <w:spacing w:before="120"/>
        <w:ind w:firstLine="425"/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En este canal se podrán radicar las 24 horas</w:t>
      </w:r>
      <w:r w:rsidR="00421C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del día</w:t>
      </w: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los siguientes trámites:</w:t>
      </w:r>
    </w:p>
    <w:p w:rsidR="002C126E" w:rsidRDefault="002C126E" w:rsidP="003040AC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0" w:afterAutospacing="0"/>
        <w:ind w:left="850" w:hanging="35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Quejas contra entidades vigiladas</w:t>
      </w:r>
    </w:p>
    <w:p w:rsidR="002C126E" w:rsidRDefault="002C126E" w:rsidP="00645E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Derechos de petición</w:t>
      </w:r>
    </w:p>
    <w:p w:rsidR="002C126E" w:rsidRDefault="002C126E" w:rsidP="00645E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Consultas</w:t>
      </w:r>
    </w:p>
    <w:p w:rsidR="002C126E" w:rsidRDefault="002C126E" w:rsidP="00645E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Solicitudes de información</w:t>
      </w:r>
    </w:p>
    <w:p w:rsidR="002C126E" w:rsidRDefault="002C126E" w:rsidP="00645E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Quejas por servicio de la SFC</w:t>
      </w:r>
    </w:p>
    <w:p w:rsidR="002C126E" w:rsidRDefault="002C126E" w:rsidP="00645E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Reclamos</w:t>
      </w:r>
    </w:p>
    <w:p w:rsidR="002C126E" w:rsidRDefault="002C126E" w:rsidP="00645E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Sugerencias</w:t>
      </w:r>
    </w:p>
    <w:p w:rsidR="002C126E" w:rsidRDefault="002C126E" w:rsidP="00645E0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Denuncias</w:t>
      </w:r>
    </w:p>
    <w:p w:rsidR="00645E0C" w:rsidRDefault="00645E0C" w:rsidP="00645E0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2C126E" w:rsidRDefault="002C126E" w:rsidP="00645E0C">
      <w:pPr>
        <w:pStyle w:val="NormalWeb"/>
        <w:shd w:val="clear" w:color="auto" w:fill="FFFFFF"/>
        <w:spacing w:before="0" w:beforeAutospacing="0" w:after="0" w:afterAutospacing="0"/>
        <w:ind w:left="360"/>
        <w:jc w:val="both"/>
      </w:pPr>
      <w:r>
        <w:rPr>
          <w:rFonts w:ascii="Arial" w:hAnsi="Arial" w:cs="Arial"/>
          <w:color w:val="000000"/>
          <w:sz w:val="22"/>
          <w:szCs w:val="22"/>
        </w:rPr>
        <w:t>Después de que efectúe la radicación por este formulario, recibirá una confirmación inmediata de la misma.</w:t>
      </w:r>
    </w:p>
    <w:p w:rsidR="002C126E" w:rsidRDefault="002C126E" w:rsidP="00645E0C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="00C83BC5" w:rsidRDefault="00C83BC5" w:rsidP="00645E0C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="002C126E" w:rsidRPr="008505E6" w:rsidRDefault="002C126E" w:rsidP="008505E6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8505E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E-mail: </w:t>
      </w:r>
      <w:hyperlink r:id="rId9" w:history="1">
        <w:r w:rsidRPr="008505E6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super@superfinanciera.gov.co</w:t>
        </w:r>
      </w:hyperlink>
    </w:p>
    <w:p w:rsidR="002C126E" w:rsidRDefault="002C126E" w:rsidP="008505E6">
      <w:pPr>
        <w:pStyle w:val="NormalWeb"/>
        <w:shd w:val="clear" w:color="auto" w:fill="FFFFFF"/>
        <w:spacing w:before="120" w:beforeAutospacing="0" w:after="0" w:afterAutospacing="0"/>
        <w:ind w:left="426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 este canal se podrán radicar las 24 horas </w:t>
      </w:r>
      <w:r w:rsidR="00421C9C">
        <w:rPr>
          <w:rFonts w:ascii="Arial" w:hAnsi="Arial" w:cs="Arial"/>
          <w:b/>
          <w:bCs/>
          <w:color w:val="000000"/>
          <w:sz w:val="22"/>
          <w:szCs w:val="22"/>
        </w:rPr>
        <w:t xml:space="preserve">del día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los siguientes trámites:</w:t>
      </w:r>
    </w:p>
    <w:p w:rsidR="002C126E" w:rsidRPr="00645E0C" w:rsidRDefault="002C126E" w:rsidP="008505E6">
      <w:pPr>
        <w:numPr>
          <w:ilvl w:val="0"/>
          <w:numId w:val="13"/>
        </w:numPr>
        <w:spacing w:before="120"/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5E0C">
        <w:rPr>
          <w:rFonts w:ascii="Arial" w:eastAsia="Times New Roman" w:hAnsi="Arial" w:cs="Arial"/>
          <w:color w:val="000000"/>
          <w:sz w:val="22"/>
          <w:szCs w:val="22"/>
        </w:rPr>
        <w:t>Demandas, contestación de demandas y demás actuaciones de procesos de protección al consumidor</w:t>
      </w:r>
    </w:p>
    <w:p w:rsidR="002C126E" w:rsidRPr="00645E0C" w:rsidRDefault="002C126E" w:rsidP="008505E6">
      <w:pPr>
        <w:numPr>
          <w:ilvl w:val="0"/>
          <w:numId w:val="13"/>
        </w:numPr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5E0C">
        <w:rPr>
          <w:rFonts w:ascii="Arial" w:eastAsia="Times New Roman" w:hAnsi="Arial" w:cs="Arial"/>
          <w:color w:val="000000"/>
          <w:sz w:val="22"/>
          <w:szCs w:val="22"/>
        </w:rPr>
        <w:t>Quejas contra entidades vigiladas</w:t>
      </w:r>
    </w:p>
    <w:p w:rsidR="002C126E" w:rsidRPr="00645E0C" w:rsidRDefault="002C126E" w:rsidP="008505E6">
      <w:pPr>
        <w:numPr>
          <w:ilvl w:val="0"/>
          <w:numId w:val="13"/>
        </w:numPr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5E0C">
        <w:rPr>
          <w:rFonts w:ascii="Arial" w:eastAsia="Times New Roman" w:hAnsi="Arial" w:cs="Arial"/>
          <w:color w:val="000000"/>
          <w:sz w:val="22"/>
          <w:szCs w:val="22"/>
        </w:rPr>
        <w:t>Derechos de petición</w:t>
      </w:r>
    </w:p>
    <w:p w:rsidR="002C126E" w:rsidRPr="00645E0C" w:rsidRDefault="002C126E" w:rsidP="008505E6">
      <w:pPr>
        <w:numPr>
          <w:ilvl w:val="0"/>
          <w:numId w:val="13"/>
        </w:numPr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5E0C">
        <w:rPr>
          <w:rFonts w:ascii="Arial" w:eastAsia="Times New Roman" w:hAnsi="Arial" w:cs="Arial"/>
          <w:color w:val="000000"/>
          <w:sz w:val="22"/>
          <w:szCs w:val="22"/>
        </w:rPr>
        <w:t>Consultas</w:t>
      </w:r>
    </w:p>
    <w:p w:rsidR="002C126E" w:rsidRPr="00645E0C" w:rsidRDefault="002C126E" w:rsidP="008505E6">
      <w:pPr>
        <w:numPr>
          <w:ilvl w:val="0"/>
          <w:numId w:val="13"/>
        </w:numPr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5E0C">
        <w:rPr>
          <w:rFonts w:ascii="Arial" w:eastAsia="Times New Roman" w:hAnsi="Arial" w:cs="Arial"/>
          <w:color w:val="000000"/>
          <w:sz w:val="22"/>
          <w:szCs w:val="22"/>
        </w:rPr>
        <w:t>Solicitudes de información</w:t>
      </w:r>
    </w:p>
    <w:p w:rsidR="002C126E" w:rsidRPr="00645E0C" w:rsidRDefault="002C126E" w:rsidP="008505E6">
      <w:pPr>
        <w:numPr>
          <w:ilvl w:val="0"/>
          <w:numId w:val="13"/>
        </w:numPr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5E0C">
        <w:rPr>
          <w:rFonts w:ascii="Arial" w:eastAsia="Times New Roman" w:hAnsi="Arial" w:cs="Arial"/>
          <w:color w:val="000000"/>
          <w:sz w:val="22"/>
          <w:szCs w:val="22"/>
        </w:rPr>
        <w:t>Quejas por servicio de la SFC</w:t>
      </w:r>
    </w:p>
    <w:p w:rsidR="002C126E" w:rsidRPr="00645E0C" w:rsidRDefault="002C126E" w:rsidP="008505E6">
      <w:pPr>
        <w:numPr>
          <w:ilvl w:val="0"/>
          <w:numId w:val="13"/>
        </w:numPr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5E0C">
        <w:rPr>
          <w:rFonts w:ascii="Arial" w:eastAsia="Times New Roman" w:hAnsi="Arial" w:cs="Arial"/>
          <w:color w:val="000000"/>
          <w:sz w:val="22"/>
          <w:szCs w:val="22"/>
        </w:rPr>
        <w:t>Reclamos</w:t>
      </w:r>
    </w:p>
    <w:p w:rsidR="002C126E" w:rsidRPr="00645E0C" w:rsidRDefault="002C126E" w:rsidP="008505E6">
      <w:pPr>
        <w:numPr>
          <w:ilvl w:val="0"/>
          <w:numId w:val="13"/>
        </w:numPr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45E0C">
        <w:rPr>
          <w:rFonts w:ascii="Arial" w:eastAsia="Times New Roman" w:hAnsi="Arial" w:cs="Arial"/>
          <w:color w:val="000000"/>
          <w:sz w:val="22"/>
          <w:szCs w:val="22"/>
        </w:rPr>
        <w:t>Sugerencias</w:t>
      </w:r>
    </w:p>
    <w:p w:rsidR="002C126E" w:rsidRPr="002C126E" w:rsidRDefault="002C126E" w:rsidP="008505E6">
      <w:pPr>
        <w:numPr>
          <w:ilvl w:val="0"/>
          <w:numId w:val="13"/>
        </w:numPr>
        <w:ind w:left="851" w:hanging="35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Denuncias</w:t>
      </w:r>
    </w:p>
    <w:p w:rsidR="002C126E" w:rsidRPr="002C126E" w:rsidRDefault="002C126E" w:rsidP="00645E0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8505E6">
      <w:pPr>
        <w:shd w:val="clear" w:color="auto" w:fill="FFFFFF"/>
        <w:ind w:left="426"/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Después de que efectúe la radicación por este formulario, recibirá una confirmación posterior de la misma.</w:t>
      </w:r>
    </w:p>
    <w:p w:rsidR="002C126E" w:rsidRPr="002C126E" w:rsidRDefault="002C126E" w:rsidP="00645E0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</w:rPr>
      </w:pPr>
    </w:p>
    <w:p w:rsidR="002C126E" w:rsidRPr="008505E6" w:rsidRDefault="002C126E" w:rsidP="008505E6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Casillero virtual de las Entidades Vigiladas (SIRI)</w:t>
      </w:r>
    </w:p>
    <w:p w:rsidR="002C126E" w:rsidRPr="002C126E" w:rsidRDefault="002C126E" w:rsidP="00645E0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Mecanismo habilitado para el envío y recibo de comunicaciones y documentación entre la SFC y las Entidades Vigiladas y controladas, que tienen habilitado este medio.</w:t>
      </w:r>
    </w:p>
    <w:p w:rsidR="002C126E" w:rsidRPr="002C126E" w:rsidRDefault="002C126E" w:rsidP="00645E0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</w:rPr>
      </w:pPr>
    </w:p>
    <w:p w:rsidR="002C126E" w:rsidRPr="008505E6" w:rsidRDefault="002C126E" w:rsidP="008505E6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Correo electrónico para </w:t>
      </w:r>
      <w:r w:rsidR="003040AC">
        <w:rPr>
          <w:rFonts w:ascii="Arial" w:eastAsia="Times New Roman" w:hAnsi="Arial" w:cs="Arial"/>
          <w:b/>
          <w:bCs/>
          <w:color w:val="000000"/>
          <w:sz w:val="22"/>
          <w:szCs w:val="22"/>
        </w:rPr>
        <w:t>obtener información sobre el trámite de funciones jurisdiccionales</w:t>
      </w:r>
      <w:r w:rsidRPr="008505E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: </w:t>
      </w:r>
      <w:r w:rsidR="003040AC" w:rsidRPr="008505E6">
        <w:rPr>
          <w:rFonts w:ascii="Arial" w:eastAsia="Times New Roman" w:hAnsi="Arial" w:cs="Arial"/>
          <w:color w:val="0000FF"/>
          <w:sz w:val="22"/>
          <w:szCs w:val="22"/>
          <w:u w:val="single"/>
        </w:rPr>
        <w:t>jurisdiccionales</w:t>
      </w:r>
      <w:hyperlink r:id="rId10" w:history="1">
        <w:r w:rsidRPr="008505E6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@superfinanciera.gov.co</w:t>
        </w:r>
      </w:hyperlink>
    </w:p>
    <w:p w:rsidR="002C126E" w:rsidRPr="002C126E" w:rsidRDefault="002C126E" w:rsidP="00645E0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</w:rPr>
      </w:pPr>
    </w:p>
    <w:p w:rsidR="002C126E" w:rsidRDefault="002C126E" w:rsidP="008505E6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Página web: </w:t>
      </w:r>
      <w:hyperlink r:id="rId11" w:history="1">
        <w:r w:rsidRPr="008505E6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www.superfinanciera.gov.co</w:t>
        </w:r>
      </w:hyperlink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Adicionalmente, a través de las siguientes cuentas institucionales en redes sociales se podrá obtener información de interés: </w:t>
      </w: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8505E6" w:rsidRDefault="002C126E" w:rsidP="008505E6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Twitter:</w:t>
      </w:r>
      <w:r w:rsidRPr="008505E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@SFCsupervisor</w:t>
      </w:r>
    </w:p>
    <w:p w:rsidR="002C126E" w:rsidRPr="008505E6" w:rsidRDefault="002C126E" w:rsidP="008505E6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Facebook:</w:t>
      </w:r>
      <w:r w:rsidRPr="008505E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superintendencia.financiera</w:t>
      </w:r>
    </w:p>
    <w:p w:rsidR="002C126E" w:rsidRPr="008505E6" w:rsidRDefault="002C126E" w:rsidP="008505E6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Instagram:</w:t>
      </w:r>
      <w:r w:rsidRPr="008505E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Superfinanciera</w:t>
      </w:r>
    </w:p>
    <w:p w:rsidR="002C126E" w:rsidRPr="008505E6" w:rsidRDefault="002C126E" w:rsidP="008505E6">
      <w:pPr>
        <w:numPr>
          <w:ilvl w:val="0"/>
          <w:numId w:val="3"/>
        </w:numPr>
        <w:tabs>
          <w:tab w:val="clear" w:pos="720"/>
        </w:tabs>
        <w:ind w:left="426" w:hanging="34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Youtube:</w:t>
      </w:r>
      <w:r w:rsidRPr="008505E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/superfinancieracol</w:t>
      </w: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 xml:space="preserve">La Superintendencia Financiera también pone a disposición de la ciudadanía en general el correo electrónico </w:t>
      </w:r>
      <w:hyperlink r:id="rId12" w:history="1">
        <w:r w:rsidRPr="002C126E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notragueentero@superfinanciera.gov.co</w:t>
        </w:r>
      </w:hyperlink>
      <w:r w:rsidRPr="002C126E">
        <w:rPr>
          <w:rFonts w:ascii="Arial" w:eastAsia="Times New Roman" w:hAnsi="Arial" w:cs="Arial"/>
          <w:color w:val="000000"/>
          <w:sz w:val="22"/>
          <w:szCs w:val="22"/>
        </w:rPr>
        <w:t xml:space="preserve">, a través del cual se podrá verificar </w:t>
      </w:r>
      <w:r w:rsidR="003040AC">
        <w:rPr>
          <w:rFonts w:ascii="Arial" w:eastAsia="Times New Roman" w:hAnsi="Arial" w:cs="Arial"/>
          <w:color w:val="000000"/>
          <w:sz w:val="22"/>
          <w:szCs w:val="22"/>
        </w:rPr>
        <w:t xml:space="preserve">la veracidad de cualquier </w:t>
      </w:r>
      <w:r w:rsidRPr="002C126E">
        <w:rPr>
          <w:rFonts w:ascii="Arial" w:eastAsia="Times New Roman" w:hAnsi="Arial" w:cs="Arial"/>
          <w:color w:val="000000"/>
          <w:sz w:val="22"/>
          <w:szCs w:val="22"/>
        </w:rPr>
        <w:t>información que circule en redes sociales relacionada con el funcionamiento del sistema financiero colombiano</w:t>
      </w:r>
      <w:r w:rsidR="003040AC">
        <w:rPr>
          <w:rFonts w:ascii="Arial" w:eastAsia="Times New Roman" w:hAnsi="Arial" w:cs="Arial"/>
          <w:color w:val="000000"/>
          <w:sz w:val="22"/>
          <w:szCs w:val="22"/>
        </w:rPr>
        <w:t>, igualmente el canal está dispuesto para tener un contacto directo con la ciudadanía que le permita solucionar cualquier inquietud en corto tiempo sobre la actividad de nuestras entidades vigiladas</w:t>
      </w:r>
      <w:r w:rsidRPr="002C126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Cordialmente,</w:t>
      </w:r>
    </w:p>
    <w:p w:rsid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</w:p>
    <w:p w:rsidR="00645E0C" w:rsidRDefault="00645E0C" w:rsidP="00645E0C">
      <w:pPr>
        <w:jc w:val="both"/>
        <w:rPr>
          <w:rFonts w:ascii="Times New Roman" w:eastAsia="Times New Roman" w:hAnsi="Times New Roman" w:cs="Times New Roman"/>
        </w:rPr>
      </w:pPr>
    </w:p>
    <w:p w:rsidR="00645E0C" w:rsidRDefault="00645E0C" w:rsidP="00645E0C">
      <w:pPr>
        <w:jc w:val="both"/>
        <w:rPr>
          <w:rFonts w:ascii="Times New Roman" w:eastAsia="Times New Roman" w:hAnsi="Times New Roman" w:cs="Times New Roman"/>
        </w:rPr>
      </w:pPr>
    </w:p>
    <w:p w:rsidR="00645E0C" w:rsidRPr="002C126E" w:rsidRDefault="00645E0C" w:rsidP="00645E0C">
      <w:pPr>
        <w:jc w:val="both"/>
        <w:rPr>
          <w:rFonts w:ascii="Times New Roman" w:eastAsia="Times New Roman" w:hAnsi="Times New Roman" w:cs="Times New Roman"/>
        </w:rPr>
      </w:pPr>
    </w:p>
    <w:p w:rsidR="002C126E" w:rsidRPr="002C126E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b/>
          <w:bCs/>
          <w:color w:val="000000"/>
          <w:sz w:val="22"/>
          <w:szCs w:val="22"/>
        </w:rPr>
        <w:t>JORGE CASTAÑO GUTIÉRREZ</w:t>
      </w:r>
    </w:p>
    <w:p w:rsidR="002C126E" w:rsidRPr="00645E0C" w:rsidRDefault="002C126E" w:rsidP="00645E0C">
      <w:pPr>
        <w:jc w:val="both"/>
        <w:rPr>
          <w:rFonts w:ascii="Times New Roman" w:eastAsia="Times New Roman" w:hAnsi="Times New Roman" w:cs="Times New Roman"/>
        </w:rPr>
      </w:pPr>
      <w:r w:rsidRPr="002C126E">
        <w:rPr>
          <w:rFonts w:ascii="Arial" w:eastAsia="Times New Roman" w:hAnsi="Arial" w:cs="Arial"/>
          <w:color w:val="000000"/>
          <w:sz w:val="22"/>
          <w:szCs w:val="22"/>
        </w:rPr>
        <w:t>Superintendente Financiero</w:t>
      </w:r>
    </w:p>
    <w:sectPr w:rsidR="002C126E" w:rsidRPr="00645E0C" w:rsidSect="003040AC">
      <w:headerReference w:type="default" r:id="rId13"/>
      <w:pgSz w:w="12240" w:h="18720" w:code="14"/>
      <w:pgMar w:top="1276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51B" w:rsidRDefault="009C251B" w:rsidP="002C126E">
      <w:r>
        <w:separator/>
      </w:r>
    </w:p>
  </w:endnote>
  <w:endnote w:type="continuationSeparator" w:id="0">
    <w:p w:rsidR="009C251B" w:rsidRDefault="009C251B" w:rsidP="002C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51B" w:rsidRDefault="009C251B" w:rsidP="002C126E">
      <w:r>
        <w:separator/>
      </w:r>
    </w:p>
  </w:footnote>
  <w:footnote w:type="continuationSeparator" w:id="0">
    <w:p w:rsidR="009C251B" w:rsidRDefault="009C251B" w:rsidP="002C1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6E" w:rsidRPr="00645E0C" w:rsidRDefault="002C126E" w:rsidP="00645E0C">
    <w:pPr>
      <w:jc w:val="center"/>
      <w:rPr>
        <w:rFonts w:ascii="Times New Roman" w:eastAsia="Times New Roman" w:hAnsi="Times New Roman" w:cs="Times New Roman"/>
      </w:rPr>
    </w:pPr>
    <w:r w:rsidRPr="002C126E">
      <w:rPr>
        <w:rFonts w:ascii="Arial" w:eastAsia="Times New Roman" w:hAnsi="Arial" w:cs="Arial"/>
        <w:b/>
        <w:bCs/>
        <w:color w:val="000000"/>
      </w:rPr>
      <w:t>SUPERINTENDENCIA FINANCIERA DE COLOMBIA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92C"/>
    <w:multiLevelType w:val="multilevel"/>
    <w:tmpl w:val="FB6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1A3D"/>
    <w:multiLevelType w:val="multilevel"/>
    <w:tmpl w:val="A99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E4370"/>
    <w:multiLevelType w:val="multilevel"/>
    <w:tmpl w:val="DDA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7C6A"/>
    <w:multiLevelType w:val="multilevel"/>
    <w:tmpl w:val="965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23294"/>
    <w:multiLevelType w:val="multilevel"/>
    <w:tmpl w:val="186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139C6"/>
    <w:multiLevelType w:val="multilevel"/>
    <w:tmpl w:val="3A7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41AFD"/>
    <w:multiLevelType w:val="multilevel"/>
    <w:tmpl w:val="13B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26CF7"/>
    <w:multiLevelType w:val="hybridMultilevel"/>
    <w:tmpl w:val="28AEE11A"/>
    <w:lvl w:ilvl="0" w:tplc="53C4DBB2">
      <w:start w:val="1"/>
      <w:numFmt w:val="bullet"/>
      <w:lvlText w:val="-"/>
      <w:lvlJc w:val="left"/>
      <w:pPr>
        <w:ind w:left="720" w:hanging="360"/>
      </w:pPr>
      <w:rPr>
        <w:rFonts w:ascii="Wide Latin" w:hAnsi="Wide Lati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B145C"/>
    <w:multiLevelType w:val="multilevel"/>
    <w:tmpl w:val="835E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55873"/>
    <w:multiLevelType w:val="multilevel"/>
    <w:tmpl w:val="FAAC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36EDF"/>
    <w:multiLevelType w:val="multilevel"/>
    <w:tmpl w:val="550A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61D15"/>
    <w:multiLevelType w:val="multilevel"/>
    <w:tmpl w:val="AAF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1400C"/>
    <w:multiLevelType w:val="multilevel"/>
    <w:tmpl w:val="B3B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6E"/>
    <w:rsid w:val="00272CDC"/>
    <w:rsid w:val="0029013F"/>
    <w:rsid w:val="002C126E"/>
    <w:rsid w:val="003040AC"/>
    <w:rsid w:val="00307DDB"/>
    <w:rsid w:val="00374F72"/>
    <w:rsid w:val="00376430"/>
    <w:rsid w:val="00421C9C"/>
    <w:rsid w:val="006036C9"/>
    <w:rsid w:val="00645E0C"/>
    <w:rsid w:val="00770CFA"/>
    <w:rsid w:val="008505E6"/>
    <w:rsid w:val="00850F80"/>
    <w:rsid w:val="009C251B"/>
    <w:rsid w:val="00B43434"/>
    <w:rsid w:val="00B47142"/>
    <w:rsid w:val="00C83BC5"/>
    <w:rsid w:val="00E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5DB6B6-0992-8145-BEA7-D7DE3CA6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CO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2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126E"/>
  </w:style>
  <w:style w:type="paragraph" w:styleId="Piedepgina">
    <w:name w:val="footer"/>
    <w:basedOn w:val="Normal"/>
    <w:link w:val="PiedepginaCar"/>
    <w:uiPriority w:val="99"/>
    <w:unhideWhenUsed/>
    <w:rsid w:val="002C12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26E"/>
  </w:style>
  <w:style w:type="paragraph" w:styleId="NormalWeb">
    <w:name w:val="Normal (Web)"/>
    <w:basedOn w:val="Normal"/>
    <w:uiPriority w:val="99"/>
    <w:semiHidden/>
    <w:unhideWhenUsed/>
    <w:rsid w:val="002C12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Fuentedeprrafopredeter"/>
    <w:rsid w:val="002C126E"/>
  </w:style>
  <w:style w:type="character" w:styleId="Hipervnculo">
    <w:name w:val="Hyperlink"/>
    <w:basedOn w:val="Fuentedeprrafopredeter"/>
    <w:uiPriority w:val="99"/>
    <w:unhideWhenUsed/>
    <w:rsid w:val="002C126E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5E0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45E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343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financiera.gov.co/FormuleSuQueja/faces/registro/registro.x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otragueentero@superfinanciera.gov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uperfinanciera.gov.co/jsp/index.js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otificaciones_ingreso@superfinanciera.gov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perfinanciera.gov.co/FormuleSuQueja/faces/registro/registro.x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6AB2E-62AC-4F24-9574-D07C702B4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2984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A. Aguirre C.</dc:creator>
  <cp:keywords/>
  <dc:description/>
  <cp:lastModifiedBy>Maria Paula Garcia Salazar</cp:lastModifiedBy>
  <cp:revision>2</cp:revision>
  <cp:lastPrinted>2020-03-17T15:38:00Z</cp:lastPrinted>
  <dcterms:created xsi:type="dcterms:W3CDTF">2020-04-29T22:32:00Z</dcterms:created>
  <dcterms:modified xsi:type="dcterms:W3CDTF">2020-04-29T22:32:00Z</dcterms:modified>
</cp:coreProperties>
</file>