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Liberation Serif" w:hAnsi="Liberation Serif" w:eastAsia="Times New Roman" w:cs="Times New Roman"/>
          <w:b/>
          <w:bCs/>
          <w:lang w:val="en-US"/>
        </w:rPr>
      </w:pPr>
      <w:r>
        <w:rPr>
          <w:rFonts w:eastAsia="Times New Roman" w:cs="Times New Roman" w:ascii="Liberation Serif" w:hAnsi="Liberation Serif"/>
          <w:b/>
          <w:bCs/>
          <w:lang w:val="en-US"/>
        </w:rPr>
      </w:r>
    </w:p>
    <w:p>
      <w:pPr>
        <w:pStyle w:val="Normal1"/>
        <w:jc w:val="center"/>
        <w:rPr>
          <w:rFonts w:ascii="Liberation Serif" w:hAnsi="Liberation Serif" w:eastAsia="Times New Roman" w:cs="Times New Roman"/>
          <w:b/>
          <w:bCs/>
          <w:lang w:val="en-US"/>
        </w:rPr>
      </w:pPr>
      <w:r>
        <w:rPr>
          <w:rFonts w:eastAsia="Times New Roman" w:cs="Times New Roman" w:ascii="Liberation Serif" w:hAnsi="Liberation Serif"/>
          <w:b/>
          <w:bCs/>
          <w:lang w:val="en-US"/>
        </w:rPr>
      </w:r>
    </w:p>
    <w:p>
      <w:pPr>
        <w:pStyle w:val="Normal1"/>
        <w:jc w:val="center"/>
        <w:rPr>
          <w:rFonts w:ascii="Liberation Serif" w:hAnsi="Liberation Serif" w:eastAsia="Times New Roman" w:cs="Times New Roman"/>
          <w:b/>
          <w:bCs/>
          <w:lang w:val="en-US"/>
        </w:rPr>
      </w:pPr>
      <w:r>
        <w:rPr>
          <w:rFonts w:eastAsia="Times New Roman" w:cs="Times New Roman" w:ascii="Liberation Serif" w:hAnsi="Liberation Serif"/>
          <w:b/>
          <w:bCs/>
          <w:lang w:val="en-US"/>
        </w:rPr>
        <w:t>Manual asymmetries in motor performance and control mechanisms following unilateral stroke</w:t>
      </w:r>
    </w:p>
    <w:p>
      <w:pPr>
        <w:pStyle w:val="Normal1"/>
        <w:jc w:val="center"/>
        <w:rPr>
          <w:rFonts w:ascii="Liberation Serif" w:hAnsi="Liberation Serif"/>
          <w:lang w:val="en-US"/>
        </w:rPr>
      </w:pPr>
      <w:r>
        <w:rPr>
          <w:rFonts w:ascii="Liberation Serif" w:hAnsi="Liberation Serif"/>
          <w:lang w:val="en-US"/>
        </w:rPr>
      </w:r>
    </w:p>
    <w:p>
      <w:pPr>
        <w:pStyle w:val="Normal1"/>
        <w:jc w:val="center"/>
        <w:rPr>
          <w:rFonts w:ascii="Liberation Serif" w:hAnsi="Liberation Serif"/>
          <w:lang w:val="en-US"/>
        </w:rPr>
      </w:pPr>
      <w:r>
        <w:rPr>
          <w:rFonts w:ascii="Liberation Serif" w:hAnsi="Liberation Serif"/>
          <w:lang w:val="en-US"/>
        </w:rPr>
      </w:r>
    </w:p>
    <w:p>
      <w:pPr>
        <w:pStyle w:val="Normal1"/>
        <w:jc w:val="center"/>
        <w:rPr>
          <w:rFonts w:ascii="Liberation Serif" w:hAnsi="Liberation Serif"/>
          <w:lang w:val="en-US"/>
        </w:rPr>
      </w:pPr>
      <w:r>
        <w:rPr>
          <w:rFonts w:ascii="Liberation Serif" w:hAnsi="Liberation Serif"/>
          <w:lang w:val="en-US"/>
        </w:rPr>
      </w:r>
    </w:p>
    <w:p>
      <w:pPr>
        <w:pStyle w:val="Normal1"/>
        <w:jc w:val="center"/>
        <w:rPr>
          <w:rFonts w:ascii="Liberation Serif" w:hAnsi="Liberation Serif"/>
          <w:lang w:val="en-US"/>
        </w:rPr>
      </w:pPr>
      <w:r>
        <w:rPr>
          <w:rFonts w:ascii="Liberation Serif" w:hAnsi="Liberation Serif"/>
          <w:lang w:val="en-US"/>
        </w:rPr>
      </w:r>
    </w:p>
    <w:p>
      <w:pPr>
        <w:pStyle w:val="Normal1"/>
        <w:jc w:val="center"/>
        <w:rPr>
          <w:rFonts w:ascii="Liberation Serif" w:hAnsi="Liberation Serif"/>
          <w:lang w:val="en-US"/>
        </w:rPr>
      </w:pPr>
      <w:r>
        <w:rPr>
          <w:rFonts w:ascii="Liberation Serif" w:hAnsi="Liberation Serif"/>
          <w:lang w:val="en-US"/>
        </w:rPr>
      </w:r>
    </w:p>
    <w:p>
      <w:pPr>
        <w:pStyle w:val="Normal1"/>
        <w:jc w:val="center"/>
        <w:rPr>
          <w:rFonts w:ascii="Liberation Serif" w:hAnsi="Liberation Serif"/>
          <w:lang w:val="en-US"/>
        </w:rPr>
      </w:pPr>
      <w:r>
        <w:rPr>
          <w:rFonts w:ascii="Liberation Serif" w:hAnsi="Liberation Serif"/>
          <w:lang w:val="en-US"/>
        </w:rPr>
        <w:t>Daiana Amaral Medeiros</w:t>
      </w:r>
    </w:p>
    <w:p>
      <w:pPr>
        <w:pStyle w:val="Normal1"/>
        <w:jc w:val="center"/>
        <w:rPr>
          <w:rFonts w:ascii="Liberation Serif" w:hAnsi="Liberation Serif"/>
          <w:lang w:val="en-US"/>
        </w:rPr>
      </w:pPr>
      <w:r>
        <w:rPr>
          <w:rFonts w:ascii="Liberation Serif" w:hAnsi="Liberation Serif"/>
          <w:lang w:val="en-US"/>
        </w:rPr>
        <w:t>Universidade Federal do Rio Grande do Sul, Porto Alegre, RS, Brasil</w:t>
      </w:r>
    </w:p>
    <w:p>
      <w:pPr>
        <w:pStyle w:val="Normal1"/>
        <w:jc w:val="center"/>
        <w:rPr>
          <w:rFonts w:ascii="Liberation Serif" w:hAnsi="Liberation Serif"/>
          <w:lang w:val="en-US"/>
        </w:rPr>
      </w:pPr>
      <w:r>
        <w:rPr>
          <w:rFonts w:ascii="Liberation Serif" w:hAnsi="Liberation Serif"/>
          <w:lang w:val="en-US"/>
        </w:rPr>
        <w:t>Lidiane Aparecida Fernandes</w:t>
      </w:r>
    </w:p>
    <w:p>
      <w:pPr>
        <w:pStyle w:val="Normal1"/>
        <w:jc w:val="center"/>
        <w:rPr>
          <w:rFonts w:ascii="Liberation Serif" w:hAnsi="Liberation Serif"/>
          <w:lang w:val="en-US"/>
        </w:rPr>
      </w:pPr>
      <w:r>
        <w:rPr>
          <w:rFonts w:ascii="Liberation Serif" w:hAnsi="Liberation Serif"/>
          <w:lang w:val="en-US"/>
        </w:rPr>
        <w:t>Universidade Federal de Ouro Preto, Ouro Preto, MG, Brasil</w:t>
      </w:r>
    </w:p>
    <w:p>
      <w:pPr>
        <w:pStyle w:val="Normal1"/>
        <w:jc w:val="center"/>
        <w:rPr>
          <w:rFonts w:ascii="Liberation Serif" w:hAnsi="Liberation Serif"/>
          <w:lang w:val="en-US"/>
        </w:rPr>
      </w:pPr>
      <w:r>
        <w:rPr>
          <w:rFonts w:ascii="Liberation Serif" w:hAnsi="Liberation Serif"/>
          <w:lang w:val="en-US"/>
        </w:rPr>
        <w:t>Flávia Batalha Gomes Costa</w:t>
      </w:r>
    </w:p>
    <w:p>
      <w:pPr>
        <w:pStyle w:val="Normal1"/>
        <w:jc w:val="center"/>
        <w:rPr>
          <w:rFonts w:ascii="Liberation Serif" w:hAnsi="Liberation Serif"/>
          <w:lang w:val="en-US"/>
        </w:rPr>
      </w:pPr>
      <w:r>
        <w:rPr>
          <w:rFonts w:ascii="Liberation Serif" w:hAnsi="Liberation Serif"/>
          <w:lang w:val="en-US"/>
        </w:rPr>
        <w:t>Universidade Federal de Juiz de Fora, Governador Valadares, MG, Brasil</w:t>
      </w:r>
    </w:p>
    <w:p>
      <w:pPr>
        <w:pStyle w:val="Normal1"/>
        <w:jc w:val="center"/>
        <w:rPr>
          <w:rFonts w:ascii="Liberation Serif" w:hAnsi="Liberation Serif"/>
          <w:lang w:val="en-US"/>
        </w:rPr>
      </w:pPr>
      <w:r>
        <w:rPr>
          <w:rFonts w:ascii="Liberation Serif" w:hAnsi="Liberation Serif"/>
          <w:lang w:val="en-US"/>
        </w:rPr>
        <w:t>Guilherme Menezes Lage</w:t>
      </w:r>
    </w:p>
    <w:p>
      <w:pPr>
        <w:pStyle w:val="Normal1"/>
        <w:jc w:val="center"/>
        <w:rPr>
          <w:rFonts w:ascii="Liberation Serif" w:hAnsi="Liberation Serif"/>
          <w:lang w:val="en-US"/>
        </w:rPr>
      </w:pPr>
      <w:r>
        <w:rPr>
          <w:rFonts w:ascii="Liberation Serif" w:hAnsi="Liberation Serif"/>
          <w:lang w:val="en-US"/>
        </w:rPr>
        <w:t>Universidade Federal de Minas Gerais, Belo Horizonte, MG, Brasil</w:t>
      </w:r>
    </w:p>
    <w:p>
      <w:pPr>
        <w:pStyle w:val="Normal1"/>
        <w:jc w:val="center"/>
        <w:rPr>
          <w:rFonts w:ascii="Liberation Serif" w:hAnsi="Liberation Serif"/>
          <w:lang w:val="en-US"/>
        </w:rPr>
      </w:pPr>
      <w:r>
        <w:rPr>
          <w:rFonts w:ascii="Liberation Serif" w:hAnsi="Liberation Serif"/>
          <w:lang w:val="en-US"/>
        </w:rPr>
        <w:t>Tércio Apolinário-Souza</w:t>
      </w:r>
    </w:p>
    <w:p>
      <w:pPr>
        <w:pStyle w:val="Normal1"/>
        <w:jc w:val="center"/>
        <w:rPr>
          <w:rFonts w:ascii="Liberation Serif" w:hAnsi="Liberation Serif"/>
          <w:lang w:val="en-US"/>
        </w:rPr>
      </w:pPr>
      <w:r>
        <w:rPr>
          <w:rFonts w:ascii="Liberation Serif" w:hAnsi="Liberation Serif"/>
          <w:lang w:val="en-US"/>
        </w:rPr>
        <w:t>Universidade Federal do Rio Grande do Sul, Porto Alegre, RS, Brasil</w:t>
      </w:r>
    </w:p>
    <w:p>
      <w:pPr>
        <w:pStyle w:val="Normal1"/>
        <w:jc w:val="center"/>
        <w:rPr>
          <w:rFonts w:ascii="Liberation Serif" w:hAnsi="Liberation Serif"/>
          <w:lang w:val="en-US"/>
        </w:rPr>
      </w:pPr>
      <w:r>
        <w:rPr>
          <w:rFonts w:ascii="Liberation Serif" w:hAnsi="Liberation Serif"/>
          <w:lang w:val="en-US"/>
        </w:rPr>
      </w:r>
    </w:p>
    <w:p>
      <w:pPr>
        <w:pStyle w:val="Normal1"/>
        <w:jc w:val="both"/>
        <w:rPr>
          <w:rFonts w:ascii="Liberation Serif" w:hAnsi="Liberation Serif"/>
          <w:lang w:val="en-US"/>
        </w:rPr>
      </w:pPr>
      <w:r>
        <w:rPr>
          <w:rFonts w:ascii="Liberation Serif" w:hAnsi="Liberation Serif"/>
          <w:lang w:val="en-US"/>
        </w:rPr>
      </w:r>
    </w:p>
    <w:p>
      <w:pPr>
        <w:pStyle w:val="Normal1"/>
        <w:jc w:val="both"/>
        <w:rPr>
          <w:rFonts w:ascii="Liberation Serif" w:hAnsi="Liberation Serif"/>
          <w:lang w:val="en-US"/>
        </w:rPr>
      </w:pPr>
      <w:r>
        <w:rPr>
          <w:rFonts w:ascii="Liberation Serif" w:hAnsi="Liberation Serif"/>
          <w:lang w:val="en-US"/>
        </w:rPr>
      </w:r>
    </w:p>
    <w:p>
      <w:pPr>
        <w:pStyle w:val="Normal1"/>
        <w:jc w:val="both"/>
        <w:rPr>
          <w:rFonts w:ascii="Liberation Serif" w:hAnsi="Liberation Serif"/>
          <w:lang w:val="en-US"/>
        </w:rPr>
      </w:pPr>
      <w:r>
        <w:rPr>
          <w:rFonts w:ascii="Liberation Serif" w:hAnsi="Liberation Serif"/>
          <w:lang w:val="en-US"/>
        </w:rPr>
      </w:r>
    </w:p>
    <w:p>
      <w:pPr>
        <w:pStyle w:val="Normal1"/>
        <w:jc w:val="both"/>
        <w:rPr>
          <w:rFonts w:ascii="Liberation Serif" w:hAnsi="Liberation Serif"/>
          <w:lang w:val="en-US"/>
        </w:rPr>
      </w:pPr>
      <w:r>
        <w:rPr>
          <w:rFonts w:ascii="Liberation Serif" w:hAnsi="Liberation Serif"/>
          <w:lang w:val="en-US"/>
        </w:rPr>
      </w:r>
    </w:p>
    <w:p>
      <w:pPr>
        <w:pStyle w:val="Normal1"/>
        <w:jc w:val="both"/>
        <w:rPr>
          <w:rFonts w:ascii="Liberation Serif" w:hAnsi="Liberation Serif"/>
          <w:lang w:val="en-US"/>
        </w:rPr>
      </w:pPr>
      <w:r>
        <w:rPr>
          <w:rFonts w:ascii="Liberation Serif" w:hAnsi="Liberation Serif"/>
          <w:lang w:val="en-US"/>
        </w:rPr>
      </w:r>
    </w:p>
    <w:p>
      <w:pPr>
        <w:pStyle w:val="Normal1"/>
        <w:jc w:val="both"/>
        <w:rPr/>
      </w:pPr>
      <w:r>
        <w:rPr>
          <w:rStyle w:val="DefaultParagraphFont"/>
          <w:rFonts w:ascii="Liberation Serif" w:hAnsi="Liberation Serif"/>
          <w:lang w:val="en-US"/>
        </w:rPr>
        <w:t>*</w:t>
      </w:r>
      <w:r>
        <w:rPr>
          <w:rStyle w:val="DefaultParagraphFont"/>
          <w:rFonts w:eastAsia="MS Mincho" w:ascii="Liberation Serif" w:hAnsi="Liberation Serif"/>
          <w:lang w:val="en-US"/>
        </w:rPr>
        <w:t>Correspondence concerning this article should be addressed to Daiana Amaral Medeiros, address: R. Felizardo, 750 - Jardim Botânico, Porto Alegre - RS, Brasil; CEP: 90690-200; E-mail: daianaamaralfisio@gmail.com; ORCID: www.orcid.org/0009-0001-5059-1051</w:t>
      </w:r>
    </w:p>
    <w:p>
      <w:pPr>
        <w:pStyle w:val="Normal1"/>
        <w:jc w:val="both"/>
        <w:rPr>
          <w:rFonts w:ascii="Liberation Serif" w:hAnsi="Liberation Serif"/>
          <w:b/>
          <w:bCs/>
          <w:lang w:val="en-US"/>
        </w:rPr>
      </w:pPr>
      <w:r>
        <w:rPr>
          <w:rFonts w:ascii="Liberation Serif" w:hAnsi="Liberation Serif"/>
          <w:b/>
          <w:bCs/>
          <w:lang w:val="en-US"/>
        </w:rPr>
      </w:r>
    </w:p>
    <w:p>
      <w:pPr>
        <w:pStyle w:val="Normal1"/>
        <w:jc w:val="both"/>
        <w:rPr>
          <w:rFonts w:ascii="Liberation Serif" w:hAnsi="Liberation Serif"/>
          <w:b/>
          <w:bCs/>
          <w:lang w:val="en-US"/>
        </w:rPr>
      </w:pPr>
      <w:r>
        <w:rPr>
          <w:rFonts w:ascii="Liberation Serif" w:hAnsi="Liberation Serif"/>
          <w:b/>
          <w:bCs/>
          <w:lang w:val="en-US"/>
        </w:rPr>
        <w:t>1 Introduction</w:t>
      </w:r>
    </w:p>
    <w:p>
      <w:pPr>
        <w:pStyle w:val="Normal1"/>
        <w:spacing w:lineRule="auto" w:line="360" w:before="0" w:after="0"/>
        <w:ind w:firstLine="708"/>
        <w:jc w:val="both"/>
        <w:rPr/>
      </w:pPr>
      <w:r>
        <w:rPr>
          <w:rStyle w:val="DefaultParagraphFont"/>
          <w:rFonts w:ascii="Liberation Serif" w:hAnsi="Liberation Serif"/>
          <w:lang w:val="en-US"/>
        </w:rPr>
        <w:t>Characterized by a sudden interruption of blood flow to the brain, resulting in injury to the central nervous system (Sacco et al., 2013), the stroke  is recognized as one of the leading causes of global morbidity and mortality (Teasell et al., 2009; Tsao et al., 2023). Stroke has a significant impact on motor function, particularly upper-limb motor function (Pollock et al., 2014; Sacco et al., 2013). Upper-limb motor function is essential for activities of daily living, as a lack of engagement in motor activities may accelerate functional decline (Pollock et al., 2014). Understanding the mechanisms that influence upper limb motor control becomes particularly relevant, especially considering that stroke may result in a chronic and potentially debilitating condition for affected individuals (Pollock et al., 2014b).</w:t>
      </w:r>
      <w:r>
        <w:rPr>
          <w:rStyle w:val="DefaultParagraphFont"/>
          <w:rFonts w:eastAsia="Times New Roman" w:cs="Times New Roman" w:ascii="Liberation Serif" w:hAnsi="Liberation Serif"/>
          <w:lang w:val="en-US"/>
        </w:rPr>
        <w:t xml:space="preserve"> </w:t>
      </w:r>
      <w:r>
        <w:rPr>
          <w:rFonts w:ascii="Liberation Serif" w:hAnsi="Liberation Serif"/>
          <w:lang w:val="en-US"/>
        </w:rPr>
        <w:tab/>
      </w:r>
    </w:p>
    <w:p>
      <w:pPr>
        <w:pStyle w:val="Normal1"/>
        <w:spacing w:lineRule="auto" w:line="360" w:before="0" w:after="0"/>
        <w:ind w:firstLine="708"/>
        <w:jc w:val="both"/>
        <w:rPr>
          <w:rFonts w:ascii="Liberation Serif" w:hAnsi="Liberation Serif" w:eastAsia="Times New Roman" w:cs="Times New Roman"/>
          <w:lang w:val="en-US"/>
        </w:rPr>
      </w:pPr>
      <w:r>
        <w:rPr>
          <w:rFonts w:eastAsia="Times New Roman" w:cs="Times New Roman" w:ascii="Liberation Serif" w:hAnsi="Liberation Serif"/>
          <w:lang w:val="en-US"/>
        </w:rPr>
        <w:t>Understanding the mechanisms that influence upper limb motor control can be approached at different levels of analysis (Fernandes et al., 2024). Goal-directed manual movements are, in fact, among the most extensively investigated tasks at the behavioral/psychological level of analysis. A goal-directed manual movement involves the displacement, over a short duration, of the upper limb or an object toward a specific target (Elliott, Helsen, &amp; Chua, 2001; Lage et al., 2013). One of the most frequently employed models in the study of goal-directed manual movements is Woodworth's (1899) hybrid two-phase model. According to Woodworth's (1899) model, the first phase of movement (pre-programming phase) is controlled primarily by an open-loop circuit and functions to rapidly displace the limb toward the target (Elliott; Helsen, 2010). The pre-programming phase requires relatively limited use of online feedback (Elliott, Helsen, &amp; Chua, 2001). In the second phase (feedback phase) current control is initiated via a closed-loop circuit, with online feedback as the predominant control method. During the feedback phase, visual and proprioceptive information is used to adjust the movement trajectory to ensure target accuracy.</w:t>
      </w:r>
    </w:p>
    <w:p>
      <w:pPr>
        <w:pStyle w:val="Normal1"/>
        <w:spacing w:lineRule="auto" w:line="360" w:before="0" w:after="0"/>
        <w:ind w:firstLine="708"/>
        <w:jc w:val="both"/>
        <w:rPr>
          <w:rFonts w:ascii="Liberation Serif" w:hAnsi="Liberation Serif" w:eastAsia="Times New Roman" w:cs="Times New Roman"/>
          <w:lang w:val="en-US"/>
        </w:rPr>
      </w:pPr>
      <w:r>
        <w:rPr>
          <w:rFonts w:eastAsia="Times New Roman" w:cs="Times New Roman" w:ascii="Liberation Serif" w:hAnsi="Liberation Serif"/>
          <w:lang w:val="en-US"/>
        </w:rPr>
        <w:t>Peak velocity has been widely used as a kinematic indicator of the relative contribution of two movement control components. The period preceding peak velocity is generally associated with the initial motor impulse and reflects predominantly pre-programmed aspects of movement execution (Carlton, 1992). In contrast, the period following peak velocity is thought to be more associated with online adjustments and feedback-based control processes occurring during movement execution (Elliott et al., 2010). Additional kinematic variables may also be employed to further characterize the two mechanisms (pre-programming and feedback) such as peak velocity and the number of corrections (number of discontinuities) occurring during the online feedback phase. A greater peak velocity may indicate a system strategy more associated with the pre-programming mechanism. Conversely, a greater number of corrections (number of discontinuities or ND) during the feedback phase indicates a system strategy more closely associated with the online feedback mechanism (Carson et al., 1993). Additional measures, such as the number of movement corrections (ND), may provide complementary information regarding online control, with a greater number of corrections suggesting increased reliance on feedback mechanisms (Carson et al., 1993). More recently, Fernandes et al. (2024) proposed a set of spatial and temporal measures derived from the first and second submovements. These measures provide complementary information regarding the relative contribution of pre-programming and feedback mechanisms, as well as the efficiency with which online corrections are implemented during movement execution.</w:t>
      </w:r>
    </w:p>
    <w:p>
      <w:pPr>
        <w:pStyle w:val="Normal1"/>
        <w:spacing w:lineRule="auto" w:line="360" w:before="0" w:after="0"/>
        <w:ind w:firstLine="360"/>
        <w:jc w:val="both"/>
        <w:rPr/>
      </w:pPr>
      <w:r>
        <w:rPr>
          <w:rStyle w:val="DefaultParagraphFont"/>
          <w:rFonts w:ascii="Liberation Serif" w:hAnsi="Liberation Serif"/>
          <w:lang w:val="en-US"/>
        </w:rPr>
        <w:t xml:space="preserve">The literature has established relationships between the behavioral/psychological level of analysis and the neurobiological level (Haaland et al., 2009; Stewart, Gordon, &amp; Winstein, 2014; Winstein; Varghese, 2018). These relationships manifest through the relatively greater participation of one cerebral hemisphere in behavioral differences in manual control. For example, the literature has demonstrated advantages of the right hand over the left hand in measures such as radial error and movement time (Fernandes et al., 2024; Flowers, 1975). Conversely, the left hand demonstrates advantages over the right hand in reaction time (Carson et al., 1993; Fernandes et al., 2022). As another example, the right hand commonly exhibits a longer period preceding peak velocity (i.e., greater relative time to peak velocity or RTPV) than the left hand (Lavrysen et al., 2012). This indicates a predominance of the pre-programming mechanism during right-hand action compared to left-hand action (Hermsdörfer, Hagl; Nowak, 2004; Swinnen et al., 2002; Wolf et al., 2006). These studies attributed behavioral differences between hands to hemispheric specialization (Sperry, 1961), in which each hemisphere is associated with distinct characteristics of motor action (Gazzaniga, 2000). That is, specific aspects of movement are more closely associated with the hemisphere contralateral to the hand </w:t>
      </w:r>
      <w:r>
        <w:rPr>
          <w:rStyle w:val="DefaultParagraphFont"/>
          <w:rFonts w:eastAsia="MS Mincho" w:ascii="Liberation Serif" w:hAnsi="Liberation Serif"/>
          <w:lang w:val="en-US"/>
        </w:rPr>
        <w:t>exhibiting superior performance (Carson, 1989). Collectively, these findings support the notion of hemispheric specialization in motor control (Sperry, 1961; Gazzaniga, 2000). Evidence suggests that the left hemisphere may contribute more strongly to movement features related to motor planning and execution efficiency, whereas the right hemisphere may play a relatively greater role in processes involving online monitoring and movement correction. Although the precise nature and extent of these specializations remain under investigation, behavioral asymmetries observed between the hands are frequently interpreted within this framework (Carson, 1989).</w:t>
      </w:r>
    </w:p>
    <w:p>
      <w:pPr>
        <w:pStyle w:val="Normal1"/>
        <w:spacing w:lineRule="auto" w:line="360" w:before="0" w:after="0"/>
        <w:ind w:firstLine="360"/>
        <w:jc w:val="both"/>
        <w:rPr/>
      </w:pPr>
      <w:commentRangeStart w:id="0"/>
      <w:r>
        <w:rPr>
          <w:rStyle w:val="DefaultParagraphFont"/>
          <w:rFonts w:ascii="Liberation Serif" w:hAnsi="Liberation Serif"/>
          <w:lang w:val="en-US"/>
        </w:rPr>
        <w:t>Studies investigating stroke (Haaland et al., 2009; Winstein; Pohl, 1995) have also established relationships between the behavioral/psychological level of analysis and the neurobiological level. These relationships manifest through the association between the lesioned hemisphere and differences in the mechanisms. For example, left hemisphere lesions are associated with impairment of the pre-programming phase, predominantly in the right hand (Haaland et al., 2009; Hermsdörfer, Hagl, &amp; Nowak, 2004). Conversely, right hemisphere lesions are associated with impairment of the feedback phase, predominantly in the left hand (Swinnen et al., 2002).</w:t>
      </w:r>
      <w:commentRangeEnd w:id="0"/>
      <w:r>
        <w:commentReference w:id="0"/>
      </w:r>
      <w:r>
        <w:rPr/>
      </w:r>
    </w:p>
    <w:p>
      <w:pPr>
        <w:pStyle w:val="Normal1"/>
        <w:spacing w:lineRule="auto" w:line="360" w:before="0" w:after="0"/>
        <w:ind w:firstLine="360"/>
        <w:jc w:val="both"/>
        <w:rPr>
          <w:rFonts w:ascii="Liberation Serif" w:hAnsi="Liberation Serif" w:eastAsia="Times New Roman" w:cs="Times New Roman"/>
          <w:lang w:val="en-US"/>
        </w:rPr>
      </w:pPr>
      <w:r>
        <w:rPr>
          <w:rFonts w:eastAsia="Times New Roman" w:cs="Times New Roman" w:ascii="Liberation Serif" w:hAnsi="Liberation Serif"/>
          <w:lang w:val="en-US"/>
        </w:rPr>
        <w:t>To the best of our knowledge, studies investigating the relationship between levels of analysis using unilateral lesion models have concentrated on two main approaches: the exclusive assessment of the hand ipsilateral to the lesion (Winstein; Pohl, 1995) or between-group comparisons, typically distinguishing between a control group (no stroke) and individuals with stroke (Stewart; Gordon; Winstein, 2014). The exclusive assessment of the ipsilateral hand allows for a partial understanding of the effect of the lesion on motor performance and control mechanisms, given that the hand assessed is not the one most affected by stroke. Between-group comparisons do not reveal the effect of the lesion on motor performance and control mechanisms between the hands, but rather demonstrate its effect independently of hand. Because both hands are expected to undergo alterations, not only the hand contralateral to the lesion (Langhorne; Coupar; Pollock, 2009; Pollock et al., 2014; Sainburg; Duff, 2006). That is, both hands will be impaired, to some degree, by stroke, but which characteristics of motor performance and control mechanisms are dependent on the lesioned hemisphere? A comprehensive understanding of stroke effects requires analysis of differences between the affected and less affected hands  of the same individual. Therefore, the unaffected hand may be regarded as a within-subject control for the affected hand, thereby revealing the impact of stroke on motor performance and control mechanisms between the hands.</w:t>
      </w:r>
    </w:p>
    <w:p>
      <w:pPr>
        <w:pStyle w:val="Normal1"/>
        <w:spacing w:lineRule="auto" w:line="360" w:before="0" w:after="0"/>
        <w:ind w:firstLine="360"/>
        <w:jc w:val="both"/>
        <w:rPr>
          <w:rFonts w:ascii="Liberation Serif" w:hAnsi="Liberation Serif"/>
          <w:lang w:val="en-US"/>
        </w:rPr>
      </w:pPr>
      <w:r>
        <w:rPr>
          <w:rFonts w:ascii="Liberation Serif" w:hAnsi="Liberation Serif"/>
          <w:lang w:val="en-US"/>
        </w:rPr>
        <w:t>In the present study, asymmetry analyses were performed using the hand ipsilateral to the lesioned hemisphere as the reference. This approach allows the identification of motor performance characteristics and control mechanisms that are differentially affected by unilateral stroke. Based on previous evidence of hemispheric specialization, we hypothesized that individuals with left-hemisphere lesions would exhibit smaller asymmetries in movement time (MT), radial error (ER), and measures of pre-programmed control compared with individuals with right-hemisphere lesions. This prediction is based on the proposed role of the left hemisphere in MT, ER, and programmed control. Conversely, we hypothesized that individuals with right-hemisphere lesions would exhibit smaller asymmetries in reaction time (RT), reflecting the proposed role of the right hemisphere in movement initiation. By examining asymmetries between the affected and less-affected hands, this study aims to improve our understanding of how unilateral brain lesions influence motor performance and control mechanisms during goal-directed manual actions.</w:t>
      </w:r>
    </w:p>
    <w:p>
      <w:pPr>
        <w:pStyle w:val="Normal1"/>
        <w:spacing w:before="0" w:after="0"/>
        <w:rPr>
          <w:rFonts w:ascii="Liberation Serif" w:hAnsi="Liberation Serif"/>
          <w:b/>
          <w:bCs/>
          <w:lang w:val="en-US"/>
        </w:rPr>
      </w:pPr>
      <w:r>
        <w:rPr>
          <w:rFonts w:ascii="Liberation Serif" w:hAnsi="Liberation Serif"/>
          <w:b/>
          <w:bCs/>
          <w:lang w:val="en-US"/>
        </w:rPr>
        <w:t>2. Methods</w:t>
      </w:r>
    </w:p>
    <w:p>
      <w:pPr>
        <w:pStyle w:val="Normal1"/>
        <w:rPr/>
      </w:pPr>
      <w:r>
        <w:rPr>
          <w:rFonts w:ascii="Liberation Serif" w:hAnsi="Liberation Serif"/>
          <w:b/>
          <w:bCs/>
          <w:lang w:val="en-US"/>
        </w:rPr>
        <w:t>2.1. Participants</w:t>
      </w:r>
      <w:r>
        <w:rPr>
          <w:rStyle w:val="DefaultParagraphFont"/>
          <w:rFonts w:eastAsia="Times New Roman" w:cs="Times New Roman" w:ascii="Liberation Serif" w:hAnsi="Liberation Serif"/>
          <w:b/>
          <w:bCs/>
          <w:lang w:val="en-US"/>
        </w:rPr>
        <w:t xml:space="preserve"> </w:t>
      </w:r>
    </w:p>
    <w:p>
      <w:pPr>
        <w:pStyle w:val="Normal1"/>
        <w:spacing w:lineRule="auto" w:line="360"/>
        <w:ind w:firstLine="708"/>
        <w:jc w:val="both"/>
        <w:rPr/>
      </w:pPr>
      <w:r>
        <w:rPr>
          <w:rStyle w:val="DefaultParagraphFont"/>
          <w:rFonts w:eastAsia="Times New Roman" w:cs="Times New Roman" w:ascii="Liberation Serif" w:hAnsi="Liberation Serif"/>
          <w:lang w:val="en-US"/>
        </w:rPr>
        <w:t xml:space="preserve">The study enrolled individuals diagnosed with chronic unilateral stroke (≥ 6 months), of ischemic or hemorrhagic origin, who were right-handed prior to the event, and neurologically healthy individuals. Regarding the stroke participants, the study excluded those presenting bilateral lesions or associated neurological conditions. The sample size was estimated through power analysis (R), adopting α = 0.05, an effect size of 0.46, and a power of 0.80, based on the TRPV parameters described by Fernandes et al. (2022), yielding an estimated 17 participants (16.26) per group. Accounting for a potential 20% attrition rate among stroke participants during the experiment, the study enrolled </w:t>
      </w:r>
      <w:commentRangeStart w:id="1"/>
      <w:r>
        <w:rPr>
          <w:rStyle w:val="DefaultParagraphFont"/>
          <w:rFonts w:eastAsia="Times New Roman" w:cs="Times New Roman" w:ascii="Liberation Serif" w:hAnsi="Liberation Serif"/>
          <w:lang w:val="en-US"/>
        </w:rPr>
        <w:t>40 individuals</w:t>
      </w:r>
      <w:r>
        <w:rPr/>
      </w:r>
      <w:commentRangeEnd w:id="1"/>
      <w:r>
        <w:commentReference w:id="1"/>
      </w:r>
      <w:r>
        <w:rPr>
          <w:rStyle w:val="DefaultParagraphFont"/>
          <w:rFonts w:eastAsia="Times New Roman" w:cs="Times New Roman" w:ascii="Liberation Serif" w:hAnsi="Liberation Serif"/>
          <w:lang w:val="en-US"/>
        </w:rPr>
        <w:t xml:space="preserve"> with stroke. However, eight did not attend all study stages, four were excluded for inability to execution motor task, and seven were excluded due to technical equipment failures. The final stroke sample comprised 25 participants — 12 with right hemisphere lesions (RS) and 13 with left hemisphere lesions (LS). Based on the age and sex distribution of the stroke participants, 17 neurologically healthy individuals were recruited to constitute the non-stroke group (NS). Table 1 presents the participants' characteristics, including age, sex, and time since stroke.</w:t>
      </w:r>
    </w:p>
    <w:p>
      <w:pPr>
        <w:pStyle w:val="Normal1"/>
        <w:spacing w:lineRule="auto" w:line="360" w:before="240" w:after="240"/>
        <w:jc w:val="both"/>
        <w:rPr>
          <w:rFonts w:ascii="Liberation Serif" w:hAnsi="Liberation Serif" w:eastAsia="Times New Roman" w:cs="Times New Roman"/>
          <w:lang w:val="en-US"/>
        </w:rPr>
      </w:pPr>
      <w:r>
        <w:rPr>
          <w:rFonts w:eastAsia="Times New Roman" w:cs="Times New Roman" w:ascii="Liberation Serif" w:hAnsi="Liberation Serif"/>
          <w:lang w:val="en-US"/>
        </w:rPr>
        <w:t>Tabela 1 – Sample characteristics</w:t>
      </w:r>
    </w:p>
    <w:tbl>
      <w:tblPr>
        <w:tblW w:w="7644" w:type="dxa"/>
        <w:jc w:val="start"/>
        <w:tblInd w:w="0" w:type="dxa"/>
        <w:tblLayout w:type="fixed"/>
        <w:tblCellMar>
          <w:top w:w="0" w:type="dxa"/>
          <w:start w:w="108" w:type="dxa"/>
          <w:bottom w:w="0" w:type="dxa"/>
          <w:end w:w="108" w:type="dxa"/>
        </w:tblCellMar>
      </w:tblPr>
      <w:tblGrid>
        <w:gridCol w:w="2453"/>
        <w:gridCol w:w="2453"/>
        <w:gridCol w:w="1369"/>
        <w:gridCol w:w="1369"/>
      </w:tblGrid>
      <w:tr>
        <w:trPr>
          <w:trHeight w:val="300" w:hRule="atLeast"/>
        </w:trPr>
        <w:tc>
          <w:tcPr>
            <w:tcW w:w="2453" w:type="dxa"/>
            <w:tcBorders>
              <w:top w:val="single" w:sz="4" w:space="0" w:color="000000"/>
            </w:tcBorders>
          </w:tcPr>
          <w:p>
            <w:pPr>
              <w:pStyle w:val="Normal1"/>
              <w:spacing w:lineRule="auto" w:line="240" w:before="0" w:after="0"/>
              <w:jc w:val="center"/>
              <w:rPr>
                <w:rFonts w:ascii="Liberation Serif" w:hAnsi="Liberation Serif" w:eastAsia="Times New Roman"/>
                <w:b/>
                <w:bCs/>
                <w:sz w:val="22"/>
                <w:szCs w:val="22"/>
                <w:lang w:val="en-US"/>
              </w:rPr>
            </w:pPr>
            <w:r>
              <w:rPr>
                <w:rFonts w:eastAsia="Times New Roman" w:ascii="Liberation Serif" w:hAnsi="Liberation Serif"/>
                <w:b/>
                <w:bCs/>
                <w:sz w:val="22"/>
                <w:szCs w:val="22"/>
                <w:lang w:val="en-US"/>
              </w:rPr>
              <w:t>Variable</w:t>
            </w:r>
          </w:p>
        </w:tc>
        <w:tc>
          <w:tcPr>
            <w:tcW w:w="2453" w:type="dxa"/>
            <w:tcBorders>
              <w:top w:val="single" w:sz="4" w:space="0" w:color="000000"/>
            </w:tcBorders>
          </w:tcPr>
          <w:p>
            <w:pPr>
              <w:pStyle w:val="Normal1"/>
              <w:spacing w:lineRule="auto" w:line="240" w:before="0" w:after="0"/>
              <w:jc w:val="center"/>
              <w:rPr>
                <w:rFonts w:ascii="Liberation Serif" w:hAnsi="Liberation Serif" w:eastAsia="Times New Roman"/>
                <w:b/>
                <w:bCs/>
                <w:sz w:val="22"/>
                <w:szCs w:val="22"/>
                <w:lang w:val="en-US"/>
              </w:rPr>
            </w:pPr>
            <w:r>
              <w:rPr>
                <w:rFonts w:eastAsia="Times New Roman" w:ascii="Liberation Serif" w:hAnsi="Liberation Serif"/>
                <w:b/>
                <w:bCs/>
                <w:sz w:val="22"/>
                <w:szCs w:val="22"/>
                <w:lang w:val="en-US"/>
              </w:rPr>
              <w:t>RS (n=12)</w:t>
            </w:r>
          </w:p>
        </w:tc>
        <w:tc>
          <w:tcPr>
            <w:tcW w:w="1369" w:type="dxa"/>
            <w:tcBorders>
              <w:top w:val="single" w:sz="4" w:space="0" w:color="000000"/>
            </w:tcBorders>
          </w:tcPr>
          <w:p>
            <w:pPr>
              <w:pStyle w:val="Normal1"/>
              <w:spacing w:lineRule="auto" w:line="240" w:before="0" w:after="0"/>
              <w:jc w:val="center"/>
              <w:rPr>
                <w:rFonts w:ascii="Liberation Serif" w:hAnsi="Liberation Serif" w:eastAsia="Times New Roman"/>
                <w:b/>
                <w:bCs/>
                <w:sz w:val="22"/>
                <w:szCs w:val="22"/>
                <w:lang w:val="en-US"/>
              </w:rPr>
            </w:pPr>
            <w:r>
              <w:rPr>
                <w:rFonts w:eastAsia="Times New Roman" w:ascii="Liberation Serif" w:hAnsi="Liberation Serif"/>
                <w:b/>
                <w:bCs/>
                <w:sz w:val="22"/>
                <w:szCs w:val="22"/>
                <w:lang w:val="en-US"/>
              </w:rPr>
              <w:t>LS (n=13)</w:t>
            </w:r>
          </w:p>
        </w:tc>
        <w:tc>
          <w:tcPr>
            <w:tcW w:w="1369" w:type="dxa"/>
            <w:tcBorders>
              <w:top w:val="single" w:sz="4" w:space="0" w:color="000000"/>
            </w:tcBorders>
          </w:tcPr>
          <w:p>
            <w:pPr>
              <w:pStyle w:val="Normal1"/>
              <w:spacing w:lineRule="auto" w:line="240" w:before="0" w:after="0"/>
              <w:jc w:val="center"/>
              <w:rPr>
                <w:rFonts w:ascii="Liberation Serif" w:hAnsi="Liberation Serif" w:eastAsia="Times New Roman"/>
                <w:b/>
                <w:bCs/>
                <w:sz w:val="22"/>
                <w:szCs w:val="22"/>
                <w:lang w:val="en-US"/>
              </w:rPr>
            </w:pPr>
            <w:r>
              <w:rPr>
                <w:rFonts w:eastAsia="Times New Roman" w:ascii="Liberation Serif" w:hAnsi="Liberation Serif"/>
                <w:b/>
                <w:bCs/>
                <w:sz w:val="22"/>
                <w:szCs w:val="22"/>
                <w:lang w:val="en-US"/>
              </w:rPr>
              <w:t>NS (n=17)</w:t>
            </w:r>
          </w:p>
        </w:tc>
      </w:tr>
      <w:tr>
        <w:trPr>
          <w:trHeight w:val="300" w:hRule="atLeast"/>
        </w:trPr>
        <w:tc>
          <w:tcPr>
            <w:tcW w:w="2453" w:type="dxa"/>
            <w:tcBorders/>
          </w:tcPr>
          <w:p>
            <w:pPr>
              <w:pStyle w:val="Normal1"/>
              <w:spacing w:lineRule="auto" w:line="240" w:before="0" w:after="0"/>
              <w:rPr>
                <w:rFonts w:ascii="Liberation Serif" w:hAnsi="Liberation Serif" w:eastAsia="Times New Roman"/>
                <w:sz w:val="20"/>
                <w:szCs w:val="20"/>
                <w:lang w:val="en-US"/>
              </w:rPr>
            </w:pPr>
            <w:r>
              <w:rPr>
                <w:rFonts w:eastAsia="Times New Roman" w:ascii="Liberation Serif" w:hAnsi="Liberation Serif"/>
                <w:sz w:val="20"/>
                <w:szCs w:val="20"/>
                <w:lang w:val="en-US"/>
              </w:rPr>
              <w:t>Age (years)</w:t>
            </w:r>
          </w:p>
        </w:tc>
        <w:tc>
          <w:tcPr>
            <w:tcW w:w="2453"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63.83 ± 14.59</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56.62 ± 15.34</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51.76 ± 19.21</w:t>
            </w:r>
          </w:p>
        </w:tc>
      </w:tr>
      <w:tr>
        <w:trPr>
          <w:trHeight w:val="300" w:hRule="atLeast"/>
        </w:trPr>
        <w:tc>
          <w:tcPr>
            <w:tcW w:w="2453" w:type="dxa"/>
            <w:tcBorders/>
          </w:tcPr>
          <w:p>
            <w:pPr>
              <w:pStyle w:val="Normal1"/>
              <w:spacing w:lineRule="auto" w:line="240" w:before="0" w:after="0"/>
              <w:rPr>
                <w:rFonts w:ascii="Liberation Serif" w:hAnsi="Liberation Serif" w:eastAsia="Times New Roman"/>
                <w:sz w:val="20"/>
                <w:szCs w:val="20"/>
                <w:lang w:val="en-US"/>
              </w:rPr>
            </w:pPr>
            <w:r>
              <w:rPr>
                <w:rFonts w:eastAsia="Times New Roman" w:ascii="Liberation Serif" w:hAnsi="Liberation Serif"/>
                <w:sz w:val="20"/>
                <w:szCs w:val="20"/>
                <w:lang w:val="en-US"/>
              </w:rPr>
              <w:t>Sex (female/male)%</w:t>
            </w:r>
          </w:p>
        </w:tc>
        <w:tc>
          <w:tcPr>
            <w:tcW w:w="2453"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66.7 / 33.3</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61.5 / 38.5</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64.7 / 35.3</w:t>
            </w:r>
          </w:p>
        </w:tc>
      </w:tr>
      <w:tr>
        <w:trPr>
          <w:trHeight w:val="300" w:hRule="atLeast"/>
        </w:trPr>
        <w:tc>
          <w:tcPr>
            <w:tcW w:w="2453" w:type="dxa"/>
            <w:tcBorders/>
          </w:tcPr>
          <w:p>
            <w:pPr>
              <w:pStyle w:val="Normal1"/>
              <w:spacing w:lineRule="auto" w:line="240" w:before="0" w:after="0"/>
              <w:rPr>
                <w:rFonts w:ascii="Liberation Serif" w:hAnsi="Liberation Serif" w:eastAsia="Times New Roman"/>
                <w:sz w:val="20"/>
                <w:szCs w:val="20"/>
                <w:lang w:val="en-US"/>
              </w:rPr>
            </w:pPr>
            <w:r>
              <w:rPr>
                <w:rFonts w:eastAsia="Times New Roman" w:ascii="Liberation Serif" w:hAnsi="Liberation Serif"/>
                <w:sz w:val="20"/>
                <w:szCs w:val="20"/>
                <w:lang w:val="en-US"/>
              </w:rPr>
              <w:t>Time since stroke (months)</w:t>
            </w:r>
          </w:p>
        </w:tc>
        <w:tc>
          <w:tcPr>
            <w:tcW w:w="2453"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63.18 ± 60.35</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55.50 ± 90.06</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w:t>
            </w:r>
          </w:p>
        </w:tc>
      </w:tr>
      <w:tr>
        <w:trPr>
          <w:trHeight w:val="300" w:hRule="atLeast"/>
        </w:trPr>
        <w:tc>
          <w:tcPr>
            <w:tcW w:w="2453" w:type="dxa"/>
            <w:tcBorders/>
          </w:tcPr>
          <w:p>
            <w:pPr>
              <w:pStyle w:val="Normal1"/>
              <w:spacing w:lineRule="auto" w:line="240" w:before="0" w:after="0"/>
              <w:rPr>
                <w:rFonts w:ascii="Liberation Serif" w:hAnsi="Liberation Serif" w:eastAsia="Times New Roman"/>
                <w:sz w:val="20"/>
                <w:szCs w:val="20"/>
                <w:lang w:val="en-US"/>
              </w:rPr>
            </w:pPr>
            <w:r>
              <w:rPr>
                <w:rFonts w:eastAsia="Times New Roman" w:ascii="Liberation Serif" w:hAnsi="Liberation Serif"/>
                <w:sz w:val="20"/>
                <w:szCs w:val="20"/>
                <w:lang w:val="en-US"/>
              </w:rPr>
              <w:t>MoCA score</w:t>
            </w:r>
          </w:p>
        </w:tc>
        <w:tc>
          <w:tcPr>
            <w:tcW w:w="2453"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21.55 ± 7.45</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26.00 ± 2.62</w:t>
            </w:r>
          </w:p>
        </w:tc>
        <w:tc>
          <w:tcPr>
            <w:tcW w:w="1369" w:type="dxa"/>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w:t>
            </w:r>
          </w:p>
        </w:tc>
      </w:tr>
      <w:tr>
        <w:trPr>
          <w:trHeight w:val="300" w:hRule="atLeast"/>
        </w:trPr>
        <w:tc>
          <w:tcPr>
            <w:tcW w:w="2453" w:type="dxa"/>
            <w:tcBorders>
              <w:bottom w:val="single" w:sz="4" w:space="0" w:color="000000"/>
            </w:tcBorders>
          </w:tcPr>
          <w:p>
            <w:pPr>
              <w:pStyle w:val="Normal1"/>
              <w:spacing w:lineRule="auto" w:line="240" w:before="0" w:after="0"/>
              <w:rPr>
                <w:rFonts w:ascii="Liberation Serif" w:hAnsi="Liberation Serif" w:eastAsia="Times New Roman"/>
                <w:sz w:val="20"/>
                <w:szCs w:val="20"/>
                <w:lang w:val="en-US"/>
              </w:rPr>
            </w:pPr>
            <w:r>
              <w:rPr>
                <w:rFonts w:eastAsia="Times New Roman" w:ascii="Liberation Serif" w:hAnsi="Liberation Serif"/>
                <w:sz w:val="20"/>
                <w:szCs w:val="20"/>
                <w:lang w:val="en-US"/>
              </w:rPr>
              <w:t>Fugl-Meyer (upper limb)</w:t>
            </w:r>
          </w:p>
        </w:tc>
        <w:tc>
          <w:tcPr>
            <w:tcW w:w="2453" w:type="dxa"/>
            <w:tcBorders>
              <w:bottom w:val="single" w:sz="4" w:space="0" w:color="000000"/>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40.08 ± 12.28</w:t>
            </w:r>
          </w:p>
        </w:tc>
        <w:tc>
          <w:tcPr>
            <w:tcW w:w="1369" w:type="dxa"/>
            <w:tcBorders>
              <w:bottom w:val="single" w:sz="4" w:space="0" w:color="000000"/>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42.67 ± 14.43</w:t>
            </w:r>
          </w:p>
        </w:tc>
        <w:tc>
          <w:tcPr>
            <w:tcW w:w="1369" w:type="dxa"/>
            <w:tcBorders>
              <w:bottom w:val="single" w:sz="4" w:space="0" w:color="000000"/>
            </w:tcBorders>
          </w:tcPr>
          <w:p>
            <w:pPr>
              <w:pStyle w:val="Normal1"/>
              <w:spacing w:lineRule="auto" w:line="240" w:before="0" w:after="0"/>
              <w:jc w:val="center"/>
              <w:rPr>
                <w:rFonts w:ascii="Liberation Serif" w:hAnsi="Liberation Serif" w:eastAsia="Times New Roman"/>
                <w:sz w:val="20"/>
                <w:szCs w:val="20"/>
                <w:lang w:val="en-US"/>
              </w:rPr>
            </w:pPr>
            <w:r>
              <w:rPr>
                <w:rFonts w:eastAsia="Times New Roman" w:ascii="Liberation Serif" w:hAnsi="Liberation Serif"/>
                <w:sz w:val="20"/>
                <w:szCs w:val="20"/>
                <w:lang w:val="en-US"/>
              </w:rPr>
              <w:t>—</w:t>
            </w:r>
          </w:p>
        </w:tc>
      </w:tr>
    </w:tbl>
    <w:p>
      <w:pPr>
        <w:pStyle w:val="Normal1"/>
        <w:spacing w:lineRule="auto" w:line="360" w:before="240" w:after="240"/>
        <w:ind w:firstLine="708"/>
        <w:jc w:val="both"/>
        <w:rPr/>
      </w:pPr>
      <w:r>
        <w:rPr>
          <w:rStyle w:val="DefaultParagraphFont"/>
          <w:rFonts w:eastAsia="Times New Roman" w:cs="Times New Roman" w:ascii="Liberation Serif" w:hAnsi="Liberation Serif"/>
          <w:lang w:val="en-US"/>
        </w:rPr>
        <w:t>A local ethics committee approved the study (</w:t>
      </w:r>
      <w:r>
        <w:rPr>
          <w:rStyle w:val="DefaultParagraphFont"/>
          <w:rFonts w:eastAsia="Times New Roman" w:cs="Times New Roman" w:ascii="Liberation Serif" w:hAnsi="Liberation Serif"/>
          <w:shd w:fill="FFFF00" w:val="clear"/>
          <w:lang w:val="en-US"/>
        </w:rPr>
        <w:t>CAAE: 02437218.3.0000.5149</w:t>
      </w:r>
      <w:r>
        <w:rPr>
          <w:rStyle w:val="DefaultParagraphFont"/>
          <w:rFonts w:eastAsia="Times New Roman" w:cs="Times New Roman" w:ascii="Liberation Serif" w:hAnsi="Liberation Serif"/>
          <w:lang w:val="en-US"/>
        </w:rPr>
        <w:t>). All participants provided written informed consent after receiving a full explanation of the study.</w:t>
      </w:r>
    </w:p>
    <w:p>
      <w:pPr>
        <w:pStyle w:val="Normal1"/>
        <w:spacing w:lineRule="auto" w:line="360" w:before="240" w:after="240"/>
        <w:jc w:val="both"/>
        <w:rPr>
          <w:rFonts w:ascii="Liberation Serif" w:hAnsi="Liberation Serif" w:eastAsia="Times New Roman" w:cs="Times New Roman"/>
          <w:lang w:val="en-US"/>
        </w:rPr>
      </w:pPr>
      <w:r>
        <w:rPr>
          <w:rFonts w:eastAsia="Times New Roman" w:cs="Times New Roman" w:ascii="Liberation Serif" w:hAnsi="Liberation Serif"/>
          <w:lang w:val="en-US"/>
        </w:rPr>
        <w:t>2.2 Apparatus and task</w:t>
      </w:r>
    </w:p>
    <w:p>
      <w:pPr>
        <w:pStyle w:val="Normal1"/>
        <w:spacing w:lineRule="auto" w:line="360" w:before="240" w:after="240"/>
        <w:ind w:firstLine="708"/>
        <w:jc w:val="both"/>
        <w:rPr/>
      </w:pPr>
      <w:r>
        <w:rPr>
          <w:rStyle w:val="DefaultParagraphFont"/>
          <w:rFonts w:eastAsia="Times New Roman" w:cs="Times New Roman" w:ascii="Liberation Serif" w:hAnsi="Liberation Serif"/>
          <w:lang w:val="en-US"/>
        </w:rPr>
        <w:t xml:space="preserve">A goal-directed aiming task was administered in previous studies </w:t>
      </w:r>
      <w:commentRangeStart w:id="2"/>
      <w:r>
        <w:rPr>
          <w:rStyle w:val="DefaultParagraphFont"/>
          <w:rFonts w:eastAsia="Times New Roman" w:cs="Times New Roman" w:ascii="Liberation Serif" w:hAnsi="Liberation Serif"/>
          <w:lang w:val="en-US"/>
        </w:rPr>
        <w:t>[21,22,36,37,47]</w:t>
      </w:r>
      <w:r>
        <w:rPr/>
      </w:r>
      <w:commentRangeEnd w:id="2"/>
      <w:r>
        <w:commentReference w:id="2"/>
      </w:r>
      <w:r>
        <w:rPr>
          <w:rStyle w:val="DefaultParagraphFont"/>
          <w:rFonts w:eastAsia="Times New Roman" w:cs="Times New Roman" w:ascii="Liberation Serif" w:hAnsi="Liberation Serif"/>
          <w:lang w:val="en-US"/>
        </w:rPr>
        <w:t>. The motor task involved moving a non-inking pen on a digitizing tablet in such a way that the cursor on the computer screen would move from an initial point (subject’s midline) to a target located 21 cm away at a 45◦ angle from the starting position. The target had a diameter of 0.5 cm and was positioned on either the right or left side, resulting in a difficulty index of 6.2 bits [23]. We used a non-inking pen with a Wacom Intuos 3 digitizing tablet (30.4 cm, RMS accuracy 0.01 cm). The tablet was attached to the computer with a 32-inch monitor, running the customized software (free access https://github.com/apolinario-souza/APONTAMENTO/tree/master/Linger).</w:t>
      </w:r>
    </w:p>
    <w:p>
      <w:pPr>
        <w:pStyle w:val="Normal1"/>
        <w:spacing w:lineRule="auto" w:line="360" w:before="240" w:after="240"/>
        <w:jc w:val="both"/>
        <w:rPr/>
      </w:pPr>
      <w:r>
        <w:rPr>
          <w:rStyle w:val="DefaultParagraphFont"/>
          <w:rFonts w:eastAsia="Times New Roman" w:cs="Times New Roman" w:ascii="Liberation Serif" w:hAnsi="Liberation Serif"/>
          <w:lang w:val="en-US"/>
        </w:rPr>
        <w:t xml:space="preserve">Figure </w:t>
      </w:r>
      <w:r>
        <w:rPr>
          <w:rStyle w:val="DefaultParagraphFont"/>
          <w:rFonts w:eastAsia="Times New Roman" w:cs="Times New Roman" w:ascii="Liberation Serif" w:hAnsi="Liberation Serif"/>
          <w:shd w:fill="FFFF00" w:val="clear"/>
          <w:lang w:val="en-US"/>
        </w:rPr>
        <w:t>1</w:t>
      </w:r>
      <w:r>
        <w:rPr>
          <w:rStyle w:val="DefaultParagraphFont"/>
          <w:rFonts w:eastAsia="Times New Roman" w:cs="Times New Roman" w:ascii="Liberation Serif" w:hAnsi="Liberation Serif"/>
          <w:lang w:val="en-US"/>
        </w:rPr>
        <w:t xml:space="preserve"> – Motor task and apparatus.</w:t>
      </w:r>
    </w:p>
    <w:p>
      <w:pPr>
        <w:pStyle w:val="Normal1"/>
        <w:spacing w:lineRule="auto" w:line="360" w:before="240" w:after="240"/>
        <w:jc w:val="center"/>
        <w:rPr>
          <w:rFonts w:ascii="Liberation Serif" w:hAnsi="Liberation Serif"/>
          <w:lang w:val="en-US"/>
        </w:rPr>
      </w:pPr>
      <w:r>
        <w:rPr>
          <w:rFonts w:ascii="Liberation Serif" w:hAnsi="Liberation Serif"/>
          <w:lang w:val="en-US"/>
        </w:rPr>
        <w:drawing>
          <wp:inline distT="0" distB="0" distL="0" distR="0">
            <wp:extent cx="3970020" cy="2774315"/>
            <wp:effectExtent l="0" t="0" r="0" b="0"/>
            <wp:docPr id="1" name="drawi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title=""/>
                    <pic:cNvPicPr>
                      <a:picLocks noChangeAspect="1" noChangeArrowheads="1"/>
                    </pic:cNvPicPr>
                  </pic:nvPicPr>
                  <pic:blipFill>
                    <a:blip r:embed="rId2"/>
                    <a:stretch>
                      <a:fillRect/>
                    </a:stretch>
                  </pic:blipFill>
                  <pic:spPr bwMode="auto">
                    <a:xfrm>
                      <a:off x="0" y="0"/>
                      <a:ext cx="3970020" cy="2774315"/>
                    </a:xfrm>
                    <a:prstGeom prst="rect">
                      <a:avLst/>
                    </a:prstGeom>
                    <a:noFill/>
                  </pic:spPr>
                </pic:pic>
              </a:graphicData>
            </a:graphic>
          </wp:inline>
        </w:drawing>
      </w:r>
    </w:p>
    <w:p>
      <w:pPr>
        <w:pStyle w:val="Normal1"/>
        <w:spacing w:lineRule="auto" w:line="360" w:before="240" w:after="240"/>
        <w:jc w:val="both"/>
        <w:rPr/>
      </w:pPr>
      <w:r>
        <w:rPr>
          <w:rStyle w:val="DefaultParagraphFont"/>
          <w:rFonts w:eastAsia="Times New Roman" w:cs="Times New Roman" w:ascii="Liberation Serif" w:hAnsi="Liberation Serif"/>
          <w:sz w:val="20"/>
          <w:szCs w:val="20"/>
          <w:shd w:fill="FFFF00" w:val="clear"/>
          <w:lang w:val="en-US"/>
        </w:rPr>
        <w:t>Figure 1</w:t>
      </w:r>
      <w:r>
        <w:rPr>
          <w:rStyle w:val="DefaultParagraphFont"/>
          <w:rFonts w:eastAsia="Times New Roman" w:cs="Times New Roman" w:ascii="Liberation Serif" w:hAnsi="Liberation Serif"/>
          <w:sz w:val="20"/>
          <w:szCs w:val="20"/>
          <w:lang w:val="en-US"/>
        </w:rPr>
        <w:t>. Schematic of the aiming task performed on a digitizing tablet, in which participants moved a stylus from a starting point to a target (</w:t>
      </w:r>
      <w:r>
        <w:rPr>
          <w:rStyle w:val="DefaultParagraphFont"/>
          <w:rFonts w:eastAsia="Times New Roman" w:cs="Times New Roman" w:ascii="Liberation Serif" w:hAnsi="Liberation Serif"/>
          <w:sz w:val="20"/>
          <w:szCs w:val="20"/>
          <w:shd w:fill="FFFF00" w:val="clear"/>
          <w:lang w:val="en-US"/>
        </w:rPr>
        <w:t>21 cm, 45°)</w:t>
      </w:r>
      <w:r>
        <w:rPr>
          <w:rStyle w:val="DefaultParagraphFont"/>
          <w:rFonts w:eastAsia="Times New Roman" w:cs="Times New Roman" w:ascii="Liberation Serif" w:hAnsi="Liberation Serif"/>
          <w:sz w:val="20"/>
          <w:szCs w:val="20"/>
          <w:lang w:val="en-US"/>
        </w:rPr>
        <w:t xml:space="preserve"> as quickly and accurately as possible (</w:t>
      </w:r>
      <w:r>
        <w:rPr>
          <w:rStyle w:val="DefaultParagraphFont"/>
          <w:rFonts w:eastAsia="Times New Roman" w:cs="Times New Roman" w:ascii="Liberation Serif" w:hAnsi="Liberation Serif"/>
          <w:sz w:val="20"/>
          <w:szCs w:val="20"/>
          <w:shd w:fill="FFFF00" w:val="clear"/>
          <w:lang w:val="en-US"/>
        </w:rPr>
        <w:t>ID = 6.2 bits;</w:t>
      </w:r>
      <w:r>
        <w:rPr>
          <w:rStyle w:val="DefaultParagraphFont"/>
          <w:rFonts w:eastAsia="Times New Roman" w:cs="Times New Roman" w:ascii="Liberation Serif" w:hAnsi="Liberation Serif"/>
          <w:sz w:val="20"/>
          <w:szCs w:val="20"/>
          <w:lang w:val="en-US"/>
        </w:rPr>
        <w:t xml:space="preserve"> Fitts, 1954).</w:t>
      </w:r>
    </w:p>
    <w:p>
      <w:pPr>
        <w:pStyle w:val="Normal1"/>
        <w:spacing w:lineRule="auto" w:line="360"/>
        <w:ind w:firstLine="708"/>
        <w:jc w:val="both"/>
        <w:rPr/>
      </w:pPr>
      <w:r>
        <w:rPr>
          <w:rStyle w:val="DefaultParagraphFont"/>
          <w:rFonts w:eastAsia="Times New Roman" w:cs="Times New Roman" w:ascii="Liberation Serif" w:hAnsi="Liberation Serif"/>
          <w:lang w:val="en-US"/>
        </w:rPr>
        <w:t xml:space="preserve">Participants placed the pen on the digitizing tablet at the corresponding position on the starting point (home position). Upon correct positioning at the starting point, participants were immediately given an auditory signal (a 700 Hz tone lasting 200ms) indicating was correct position. We instructed the participants to wait to move the pen until the "start trial" signal. We fixed the starting point and positioned the targets on the right side for the task performed with the right hand and on the left side for the task performed with the left hand. After a 1-second interval, the warning stimulus was presented. This stimulus entailed the removal of the initial point and target on the monitor screen, resulting in a blank screen. Subsequently, within a randomly assigned timeframe ranging from </w:t>
      </w:r>
      <w:r>
        <w:rPr>
          <w:rStyle w:val="DefaultParagraphFont"/>
          <w:rFonts w:eastAsia="Times New Roman" w:cs="Times New Roman" w:ascii="Liberation Serif" w:hAnsi="Liberation Serif"/>
          <w:shd w:fill="FFFF00" w:val="clear"/>
          <w:lang w:val="en-US"/>
        </w:rPr>
        <w:t>2 to 3 s</w:t>
      </w:r>
      <w:r>
        <w:rPr>
          <w:rStyle w:val="DefaultParagraphFont"/>
          <w:rFonts w:eastAsia="Times New Roman" w:cs="Times New Roman" w:ascii="Liberation Serif" w:hAnsi="Liberation Serif"/>
          <w:lang w:val="en-US"/>
        </w:rPr>
        <w:t>econds, participants were presented with a visual and auditory stimulus (consisting of a 200 ms duration 500 Hz tone), indicating the commencement of the movement (imperative stimulus). The imperative stimulus marking the start of the movement involved the reappearance of the initial point and target on the monitor screen. Upon completing the movement, participants were instructed to liftthe pen from the digitizing tablet and reposition it for the subsequent attempt without sliding it across the table. The participants had a maximum of 1.5 seconds to complete the trial.</w:t>
      </w:r>
    </w:p>
    <w:p>
      <w:pPr>
        <w:pStyle w:val="Normal1"/>
        <w:spacing w:lineRule="auto" w:line="360" w:before="240" w:after="240"/>
        <w:ind w:firstLine="708"/>
        <w:jc w:val="both"/>
        <w:rPr/>
      </w:pPr>
      <w:r>
        <w:rPr>
          <w:rStyle w:val="DefaultParagraphFont"/>
          <w:rFonts w:eastAsia="Times New Roman" w:cs="Times New Roman" w:ascii="Liberation Serif" w:hAnsi="Liberation Serif"/>
          <w:lang w:val="en-US"/>
        </w:rPr>
        <w:t xml:space="preserve">The sensor pen was mounted on a custom-designed palmar positioning support (Figure </w:t>
      </w:r>
      <w:r>
        <w:rPr>
          <w:rStyle w:val="DefaultParagraphFont"/>
          <w:rFonts w:eastAsia="Times New Roman" w:cs="Times New Roman" w:ascii="Liberation Serif" w:hAnsi="Liberation Serif"/>
          <w:shd w:fill="FFFF00" w:val="clear"/>
          <w:lang w:val="en-US"/>
        </w:rPr>
        <w:t>2</w:t>
      </w:r>
      <w:r>
        <w:rPr>
          <w:rStyle w:val="DefaultParagraphFont"/>
          <w:rFonts w:eastAsia="Times New Roman" w:cs="Times New Roman" w:ascii="Liberation Serif" w:hAnsi="Liberation Serif"/>
          <w:lang w:val="en-US"/>
        </w:rPr>
        <w:t>) to standardize hand grip and reduce variability associated with differences in manual positioning across participants.</w:t>
      </w:r>
    </w:p>
    <w:p>
      <w:pPr>
        <w:pStyle w:val="Normal1"/>
        <w:spacing w:lineRule="auto" w:line="360" w:before="240" w:after="240"/>
        <w:jc w:val="both"/>
        <w:rPr>
          <w:rFonts w:ascii="Liberation Serif" w:hAnsi="Liberation Serif" w:eastAsia="Times New Roman" w:cs="Times New Roman"/>
          <w:lang w:val="en-US"/>
        </w:rPr>
      </w:pPr>
      <w:r>
        <w:rPr>
          <w:rFonts w:eastAsia="Times New Roman" w:cs="Times New Roman" w:ascii="Liberation Serif" w:hAnsi="Liberation Serif"/>
          <w:lang w:val="en-US"/>
        </w:rPr>
        <w:t>Figure 2 - Positioning orthosis</w:t>
      </w:r>
    </w:p>
    <w:p>
      <w:pPr>
        <w:pStyle w:val="Normal1"/>
        <w:spacing w:lineRule="auto" w:line="360" w:before="240" w:after="240"/>
        <w:rPr>
          <w:rFonts w:ascii="Liberation Serif" w:hAnsi="Liberation Serif"/>
          <w:lang w:val="en-US"/>
        </w:rPr>
      </w:pPr>
      <w:commentRangeStart w:id="3"/>
      <w:r>
        <w:rPr>
          <w:rFonts w:ascii="Liberation Serif" w:hAnsi="Liberation Serif"/>
          <w:lang w:val="en-US"/>
        </w:rPr>
        <w:drawing>
          <wp:inline distT="0" distB="0" distL="0" distR="0">
            <wp:extent cx="1915795" cy="2087880"/>
            <wp:effectExtent l="0" t="0" r="0" b="0"/>
            <wp:docPr id="2"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title=""/>
                    <pic:cNvPicPr>
                      <a:picLocks noChangeAspect="1" noChangeArrowheads="1"/>
                    </pic:cNvPicPr>
                  </pic:nvPicPr>
                  <pic:blipFill>
                    <a:blip r:embed="rId3"/>
                    <a:srcRect l="0" t="7705" r="0" b="9805"/>
                    <a:stretch>
                      <a:fillRect/>
                    </a:stretch>
                  </pic:blipFill>
                  <pic:spPr bwMode="auto">
                    <a:xfrm>
                      <a:off x="0" y="0"/>
                      <a:ext cx="1915795" cy="2087880"/>
                    </a:xfrm>
                    <a:prstGeom prst="rect">
                      <a:avLst/>
                    </a:prstGeom>
                    <a:noFill/>
                  </pic:spPr>
                </pic:pic>
              </a:graphicData>
            </a:graphic>
          </wp:inline>
        </w:drawing>
      </w:r>
      <w:commentRangeEnd w:id="3"/>
      <w:r>
        <w:commentReference w:id="3"/>
      </w:r>
      <w:r>
        <w:rPr>
          <w:rFonts w:ascii="Liberation Serif" w:hAnsi="Liberation Serif"/>
          <w:lang w:val="en-US"/>
        </w:rPr>
      </w:r>
    </w:p>
    <w:p>
      <w:pPr>
        <w:pStyle w:val="Normal1"/>
        <w:spacing w:lineRule="auto" w:line="360" w:before="240" w:after="240"/>
        <w:rPr/>
      </w:pPr>
      <w:r>
        <w:rPr>
          <w:rStyle w:val="DefaultParagraphFont"/>
          <w:rFonts w:ascii="Liberation Serif" w:hAnsi="Liberation Serif"/>
          <w:sz w:val="20"/>
          <w:szCs w:val="20"/>
          <w:lang w:val="en-US"/>
        </w:rPr>
        <w:t>Figure 2. Positioning orthosis for the sensor pen during palmar grasp, illustrating finger flexion, palmar contact, and grip force direction.</w:t>
      </w:r>
    </w:p>
    <w:p>
      <w:pPr>
        <w:pStyle w:val="Normal1"/>
        <w:spacing w:lineRule="auto" w:line="360" w:before="240" w:after="240"/>
        <w:ind w:firstLine="708"/>
        <w:jc w:val="both"/>
        <w:rPr/>
      </w:pPr>
      <w:r>
        <w:rPr>
          <w:rStyle w:val="DefaultParagraphFont"/>
          <w:rFonts w:eastAsia="MS Mincho" w:ascii="Liberation Serif" w:hAnsi="Liberation Serif"/>
          <w:lang w:val="en-US"/>
        </w:rPr>
        <w:t>The motor task was developed using LabVIEW software (National Instruments, Texas, USA). The processing, storage, and data filtering of the motor task were also implemented in LabVIEW (National Instruments, Texas, USA). The data (positions of x and y-axis) obtained during the motor task were acquired at 200 Hz and filtered using a second-order Butterworth low-pass filter with a cutoff frequency of 12 Hz. The criterion for the start and end of the movement relied on a zero rate of position change for 80 ms (ms). If the position (x-axis and yaxis) did not vary within an 80 ms time window, the participant’s manipulated non-inking pen was assumed to be stationary.</w:t>
      </w:r>
    </w:p>
    <w:p>
      <w:pPr>
        <w:pStyle w:val="Normal1"/>
        <w:spacing w:lineRule="auto" w:line="360" w:before="240" w:after="240"/>
        <w:jc w:val="both"/>
        <w:rPr/>
      </w:pPr>
      <w:r>
        <w:rPr>
          <w:rStyle w:val="DefaultParagraphFont"/>
          <w:rFonts w:eastAsia="Times New Roman" w:cs="Times New Roman" w:ascii="Liberation Serif" w:hAnsi="Liberation Serif"/>
          <w:b/>
          <w:bCs/>
          <w:lang w:val="en-US"/>
        </w:rPr>
        <w:t>2.3 Procedures and experimental design</w:t>
      </w:r>
    </w:p>
    <w:p>
      <w:pPr>
        <w:pStyle w:val="Normal1"/>
        <w:spacing w:lineRule="auto" w:line="360" w:before="240" w:after="240"/>
        <w:ind w:firstLine="708"/>
        <w:jc w:val="both"/>
        <w:rPr/>
      </w:pPr>
      <w:r>
        <w:rPr>
          <w:rStyle w:val="DefaultParagraphFont"/>
          <w:rFonts w:eastAsia="Times New Roman" w:cs="Times New Roman" w:ascii="Liberation Serif" w:hAnsi="Liberation Serif"/>
          <w:lang w:val="en-US"/>
        </w:rPr>
        <w:t>All assessments were conducted in a dedicated laboratory setting. Data collection was completed across two sessions separated by no more than 48 hours. During the first session, demographic and clinical information, including age, sex, handedness, and medical history, was obtained. For participants with stroke, additional information regarding stroke type, lesion location, time since stroke, and rehabilitation history was also collected. Cognitive status was screened using the Montreal Cognitive Assessment (MoCA) (Nasreddine et al., 2005). Handedness was determined using the Edinburgh Handedness Inventory (Oldfield, 1971). Upper-extremity motor impairment was assessed using the Fugl-Meyer Assessment for the Upper Extremity (FMA-UE) (Fugl-Meyer et al., 1975), which quantified impairment severity and classified participants as having mild, moderate, or severe impairment.</w:t>
      </w:r>
    </w:p>
    <w:p>
      <w:pPr>
        <w:pStyle w:val="Normal1"/>
        <w:spacing w:lineRule="auto" w:line="360" w:before="240" w:after="240"/>
        <w:ind w:firstLine="708"/>
        <w:jc w:val="both"/>
        <w:rPr/>
      </w:pPr>
      <w:r>
        <w:rPr>
          <w:rStyle w:val="DefaultParagraphFont"/>
          <w:rFonts w:eastAsia="Times New Roman" w:cs="Times New Roman" w:ascii="Liberation Serif" w:hAnsi="Liberation Serif"/>
          <w:lang w:val="en-US"/>
        </w:rPr>
        <w:t>The groups were matched for sex, age, and level of motor impairment. Age matching was performed using predefined age bands (18–35, 36–59, 60–70, and 71–90 years), based on evidence indicating age-related differences in motor control (Van Halewyck et al., 2015; Figueiredo et al., 2018). Participants were not excluded on the basis of cognitive screening scores, as cognitive impairment is highly prevalent following stroke, and excluding these individuals would reduce the representativeness and ecological validity of the study (Sexton et al., 2019). Likewise, participants taking prescribed medications were retained, given that polypharmacy is a common and inherent characteristic of the stroke population (Chao et al., 2025; Gallacher et al., 2014).</w:t>
      </w:r>
    </w:p>
    <w:p>
      <w:pPr>
        <w:pStyle w:val="Normal1"/>
        <w:spacing w:lineRule="auto" w:line="360" w:before="240" w:after="240"/>
        <w:ind w:firstLine="708"/>
        <w:jc w:val="both"/>
        <w:rPr/>
      </w:pPr>
      <w:r>
        <w:rPr>
          <w:rStyle w:val="DefaultParagraphFont"/>
          <w:rFonts w:eastAsia="Times New Roman" w:cs="Times New Roman" w:ascii="Liberation Serif" w:hAnsi="Liberation Serif"/>
          <w:lang w:val="en-US"/>
        </w:rPr>
        <w:t>T</w:t>
      </w:r>
      <w:r>
        <w:rPr>
          <w:rStyle w:val="DefaultParagraphFont"/>
          <w:rFonts w:eastAsia="Times New Roman" w:cs="Times New Roman" w:ascii="Liberation Serif" w:hAnsi="Liberation Serif"/>
          <w:lang w:val="en-US"/>
        </w:rPr>
        <w:t xml:space="preserve">he experimental protocol consisted of three phases: familiarization and testing. The familiarization phase comprised two stages. In the first stage, participants performed 20 trials of the motor task with each hand. After completing these 20 trials, they received a 3-minute break to ask questions and clarify any uncertainties regarding the task. Once all questions had been addressed, participants performed an additional 40 trials with each hand. None of the 60 familiarization trials were included in the analyses and aimed to minimize early learning effects and stabilize performance before the testing phase(Antonioni et al., 2025; Hussain et al., 2018; Perez-Marcos et al., 2017). On the second day, participants completed the testing phase, which consisted of 40 trials performed with each hand.  </w:t>
      </w:r>
    </w:p>
    <w:p>
      <w:pPr>
        <w:pStyle w:val="BodyText"/>
        <w:spacing w:lineRule="auto" w:line="360" w:before="240" w:after="240"/>
        <w:ind w:firstLine="708"/>
        <w:jc w:val="both"/>
        <w:rPr/>
      </w:pPr>
      <w:r>
        <w:rPr>
          <w:rStyle w:val="DefaultParagraphFont"/>
          <w:rFonts w:eastAsia="Times New Roman" w:cs="Times New Roman" w:ascii="Liberation Serif" w:hAnsi="Liberation Serif"/>
          <w:lang w:val="en-US"/>
        </w:rPr>
        <w:t xml:space="preserve">Throughout all phases, participants received standardized instructions regarding the experimental procedures: </w:t>
      </w:r>
      <w:r>
        <w:rPr>
          <w:rStyle w:val="Emphasis"/>
          <w:rFonts w:eastAsia="Times New Roman" w:cs="Times New Roman" w:ascii="Liberation Serif" w:hAnsi="Liberation Serif"/>
          <w:lang w:val="en-US"/>
        </w:rPr>
        <w:t>"Execute the movement as quickly and accurately as possible while ending the movement within the target area."</w:t>
      </w:r>
      <w:r>
        <w:rPr>
          <w:rStyle w:val="DefaultParagraphFont"/>
          <w:rFonts w:eastAsia="Times New Roman" w:cs="Times New Roman" w:ascii="Liberation Serif" w:hAnsi="Liberation Serif"/>
          <w:lang w:val="en-US"/>
        </w:rPr>
        <w:t xml:space="preserve"> They were instructed not to initiate the movement before the imperative stimulus or make corrective reverse movements after reaching the target. Participants completed the task with both hands in a counterbalanced order, with half beginning each phase with the right hand and the other half with the left hand.</w:t>
      </w:r>
    </w:p>
    <w:p>
      <w:pPr>
        <w:pStyle w:val="BodyText"/>
        <w:spacing w:lineRule="auto" w:line="360" w:before="240" w:after="240"/>
        <w:ind w:firstLine="708"/>
        <w:jc w:val="both"/>
        <w:rPr>
          <w:rFonts w:ascii="Liberation Serif" w:hAnsi="Liberation Serif" w:cs="Times New Roman"/>
          <w:lang w:val="en-US"/>
        </w:rPr>
      </w:pPr>
      <w:r>
        <w:rPr>
          <w:rFonts w:cs="Times New Roman" w:ascii="Liberation Serif" w:hAnsi="Liberation Serif"/>
          <w:lang w:val="en-US"/>
        </w:rPr>
        <w:t>Kinematic data were filtered using a second-order low-pass Butterworth filter with a 12-Hz cutoff frequency. Movement onset and offset were identified from changes in pen position over time, using an 80-ms continuous interval without displacement as the criterion for movement absence. Trials with reaction times shorter than 150 ms were excluded from the analyses because they were classified as anticipatory responses.</w:t>
      </w:r>
    </w:p>
    <w:p>
      <w:pPr>
        <w:pStyle w:val="BodyText"/>
        <w:spacing w:lineRule="auto" w:line="360" w:before="240" w:after="240"/>
        <w:ind w:hanging="0"/>
        <w:jc w:val="both"/>
        <w:rPr>
          <w:rFonts w:ascii="Liberation Serif" w:hAnsi="Liberation Serif" w:cs="Times New Roman"/>
          <w:lang w:val="en-US"/>
        </w:rPr>
      </w:pPr>
      <w:r>
        <w:rPr>
          <w:rStyle w:val="DefaultParagraphFont"/>
          <w:rFonts w:eastAsia="Times New Roman" w:cs="Times New Roman" w:ascii="Liberation Serif" w:hAnsi="Liberation Serif"/>
          <w:b/>
          <w:bCs/>
          <w:lang w:val="en-US"/>
        </w:rPr>
        <w:t>2.</w:t>
      </w:r>
      <w:r>
        <w:rPr>
          <w:rStyle w:val="DefaultParagraphFont"/>
          <w:rFonts w:eastAsia="Times New Roman" w:cs="Times New Roman" w:ascii="Liberation Serif" w:hAnsi="Liberation Serif"/>
          <w:b/>
          <w:bCs/>
          <w:lang w:val="en-US"/>
        </w:rPr>
        <w:t>4</w:t>
      </w:r>
      <w:r>
        <w:rPr>
          <w:rStyle w:val="DefaultParagraphFont"/>
          <w:rFonts w:eastAsia="Times New Roman" w:cs="Times New Roman" w:ascii="Liberation Serif" w:hAnsi="Liberation Serif"/>
          <w:b/>
          <w:bCs/>
          <w:lang w:val="en-US"/>
        </w:rPr>
        <w:t xml:space="preserve"> </w:t>
      </w:r>
      <w:r>
        <w:rPr>
          <w:rFonts w:cs="Times New Roman" w:ascii="Liberation Serif" w:hAnsi="Liberation Serif"/>
          <w:b/>
          <w:bCs/>
          <w:lang w:val="en-US"/>
        </w:rPr>
        <w:t>Measurements</w:t>
      </w:r>
    </w:p>
    <w:p>
      <w:pPr>
        <w:pStyle w:val="Normal"/>
        <w:spacing w:lineRule="auto" w:line="360" w:before="240" w:after="240"/>
        <w:ind w:hanging="0"/>
        <w:jc w:val="both"/>
        <w:rPr>
          <w:rFonts w:ascii="Liberation Serif" w:hAnsi="Liberation Serif" w:cs="Times New Roman"/>
          <w:lang w:val="en-US"/>
        </w:rPr>
      </w:pPr>
      <w:r>
        <w:rPr>
          <w:rFonts w:cs="Times New Roman" w:ascii="Liberation Serif" w:hAnsi="Liberation Serif"/>
          <w:lang w:val="en-US"/>
        </w:rPr>
        <w:tab/>
        <w:t xml:space="preserve">The performance metrics examined were reaction time, movement time, </w:t>
      </w:r>
      <w:r>
        <w:rPr>
          <w:rFonts w:cs="Times New Roman" w:ascii="Liberation Serif" w:hAnsi="Liberation Serif"/>
          <w:lang w:val="en-US"/>
        </w:rPr>
        <w:t>radial</w:t>
      </w:r>
      <w:r>
        <w:rPr>
          <w:rFonts w:cs="Times New Roman" w:ascii="Liberation Serif" w:hAnsi="Liberation Serif"/>
          <w:lang w:val="en-US"/>
        </w:rPr>
        <w:t xml:space="preserve"> error, and final angle error. The reaction time (RT) was the time from the beginning of the imperative stimulus until the beginning of the stroke. Movement time (MT) encompasses the time interval between the initiation and finish of the movement. We obtained the </w:t>
      </w:r>
      <w:r>
        <w:rPr>
          <w:rFonts w:cs="Times New Roman" w:ascii="Liberation Serif" w:hAnsi="Liberation Serif"/>
          <w:lang w:val="en-US"/>
        </w:rPr>
        <w:t>radial</w:t>
      </w:r>
      <w:r>
        <w:rPr>
          <w:rFonts w:cs="Times New Roman" w:ascii="Liberation Serif" w:hAnsi="Liberation Serif"/>
          <w:lang w:val="en-US"/>
        </w:rPr>
        <w:t xml:space="preserve"> error (</w:t>
      </w:r>
      <w:r>
        <w:rPr>
          <w:rFonts w:cs="Times New Roman" w:ascii="Liberation Serif" w:hAnsi="Liberation Serif"/>
          <w:lang w:val="en-US"/>
        </w:rPr>
        <w:t>R</w:t>
      </w:r>
      <w:r>
        <w:rPr>
          <w:rFonts w:cs="Times New Roman" w:ascii="Liberation Serif" w:hAnsi="Liberation Serif"/>
          <w:lang w:val="en-US"/>
        </w:rPr>
        <w:t>E) through the following equation:</w:t>
      </w:r>
    </w:p>
    <w:p>
      <w:pPr>
        <w:pStyle w:val="Normal"/>
        <w:spacing w:lineRule="auto" w:line="360" w:before="240" w:after="240"/>
        <w:ind w:hanging="0"/>
        <w:jc w:val="center"/>
        <w:rPr>
          <w:rFonts w:ascii="Liberation Serif" w:hAnsi="Liberation Serif" w:cs="Times New Roman"/>
          <w:lang w:val="en-US"/>
        </w:rPr>
      </w:pPr>
      <w:r>
        <w:rPr>
          <w:rFonts w:cs="Times New Roman" w:ascii="Liberation Serif" w:hAnsi="Liberation Serif"/>
          <w:lang w:val="en-US"/>
        </w:rPr>
      </w:r>
      <m:oMathPara xmlns:m="http://schemas.openxmlformats.org/officeDocument/2006/math">
        <m:oMathParaPr>
          <m:jc m:val="center"/>
        </m:oMathParaPr>
        <m:oMath>
          <m:rad>
            <m:radPr>
              <m:degHide m:val="1"/>
            </m:radPr>
            <m:deg/>
            <m:e>
              <m:sSup>
                <m:e>
                  <m:d>
                    <m:dPr>
                      <m:begChr m:val="("/>
                      <m:endChr m:val=")"/>
                    </m:dPr>
                    <m:e>
                      <m:sSub>
                        <m:e>
                          <m:r>
                            <m:t xml:space="preserve">x</m:t>
                          </m:r>
                        </m:e>
                        <m:sub>
                          <m:r>
                            <m:t xml:space="preserve">f</m:t>
                          </m:r>
                        </m:sub>
                      </m:sSub>
                      <m:r>
                        <m:t xml:space="preserve">−</m:t>
                      </m:r>
                      <m:sSub>
                        <m:e>
                          <m:r>
                            <m:t xml:space="preserve">x</m:t>
                          </m:r>
                        </m:e>
                        <m:sub>
                          <m:r>
                            <m:t xml:space="preserve">t</m:t>
                          </m:r>
                        </m:sub>
                      </m:sSub>
                    </m:e>
                  </m:d>
                </m:e>
                <m:sup>
                  <m:r>
                    <m:t xml:space="preserve">2</m:t>
                  </m:r>
                </m:sup>
              </m:sSup>
              <m:r>
                <m:t xml:space="preserve">+</m:t>
              </m:r>
              <m:sSup>
                <m:e>
                  <m:d>
                    <m:dPr>
                      <m:begChr m:val="("/>
                      <m:endChr m:val=")"/>
                    </m:dPr>
                    <m:e>
                      <m:sSub>
                        <m:e>
                          <m:r>
                            <m:t xml:space="preserve">y</m:t>
                          </m:r>
                        </m:e>
                        <m:sub>
                          <m:r>
                            <m:t xml:space="preserve">f</m:t>
                          </m:r>
                        </m:sub>
                      </m:sSub>
                      <m:r>
                        <m:t xml:space="preserve">−</m:t>
                      </m:r>
                      <m:sSub>
                        <m:e>
                          <m:r>
                            <m:t xml:space="preserve">y</m:t>
                          </m:r>
                        </m:e>
                        <m:sub>
                          <m:r>
                            <m:t xml:space="preserve">t</m:t>
                          </m:r>
                        </m:sub>
                      </m:sSub>
                    </m:e>
                  </m:d>
                </m:e>
                <m:sup>
                  <m:r>
                    <m:t xml:space="preserve">2</m:t>
                  </m:r>
                </m:sup>
              </m:sSup>
            </m:e>
          </m:rad>
        </m:oMath>
      </m:oMathPara>
    </w:p>
    <w:p>
      <w:pPr>
        <w:pStyle w:val="BodyText"/>
        <w:spacing w:lineRule="auto" w:line="360" w:before="240" w:after="240"/>
        <w:ind w:hanging="0"/>
        <w:jc w:val="both"/>
        <w:rPr>
          <w:rFonts w:ascii="Liberation Serif" w:hAnsi="Liberation Serif" w:cs="Times New Roman"/>
          <w:lang w:val="en-US"/>
        </w:rPr>
      </w:pPr>
      <w:r>
        <w:rPr>
          <w:rFonts w:cs="Times New Roman" w:ascii="Liberation Serif" w:hAnsi="Liberation Serif"/>
          <w:lang w:val="en-US"/>
        </w:rPr>
        <w:t>where x</w:t>
      </w:r>
      <w:r>
        <w:rPr>
          <w:rFonts w:cs="Times New Roman" w:ascii="Liberation Serif" w:hAnsi="Liberation Serif"/>
          <w:vertAlign w:val="subscript"/>
          <w:lang w:val="en-US"/>
        </w:rPr>
        <w:t>f</w:t>
      </w:r>
      <w:r>
        <w:rPr>
          <w:rFonts w:cs="Times New Roman" w:ascii="Liberation Serif" w:hAnsi="Liberation Serif"/>
          <w:lang w:val="en-US"/>
        </w:rPr>
        <w:t xml:space="preserve"> and y</w:t>
      </w:r>
      <w:r>
        <w:rPr>
          <w:rFonts w:cs="Times New Roman" w:ascii="Liberation Serif" w:hAnsi="Liberation Serif"/>
          <w:vertAlign w:val="subscript"/>
          <w:lang w:val="en-US"/>
        </w:rPr>
        <w:t>f</w:t>
      </w:r>
      <w:r>
        <w:rPr>
          <w:rFonts w:cs="Times New Roman" w:ascii="Liberation Serif" w:hAnsi="Liberation Serif"/>
          <w:lang w:val="en-US"/>
        </w:rPr>
        <w:t xml:space="preserve"> are the values of the final position produced in the x and y-axis performed in each trial, and the x</w:t>
      </w:r>
      <w:r>
        <w:rPr>
          <w:rFonts w:cs="Times New Roman" w:ascii="Liberation Serif" w:hAnsi="Liberation Serif"/>
          <w:vertAlign w:val="subscript"/>
          <w:lang w:val="en-US"/>
        </w:rPr>
        <w:t>t</w:t>
      </w:r>
      <w:r>
        <w:rPr>
          <w:rFonts w:cs="Times New Roman" w:ascii="Liberation Serif" w:hAnsi="Liberation Serif"/>
          <w:lang w:val="en-US"/>
        </w:rPr>
        <w:t xml:space="preserve"> and y</w:t>
      </w:r>
      <w:r>
        <w:rPr>
          <w:rFonts w:cs="Times New Roman" w:ascii="Liberation Serif" w:hAnsi="Liberation Serif"/>
          <w:vertAlign w:val="subscript"/>
          <w:lang w:val="en-US"/>
        </w:rPr>
        <w:t xml:space="preserve">t </w:t>
      </w:r>
      <w:r>
        <w:rPr>
          <w:rFonts w:cs="Times New Roman" w:ascii="Liberation Serif" w:hAnsi="Liberation Serif"/>
          <w:lang w:val="en-US"/>
        </w:rPr>
        <w:t>are the target positions.</w:t>
      </w:r>
    </w:p>
    <w:p>
      <w:pPr>
        <w:pStyle w:val="Normal"/>
        <w:spacing w:lineRule="auto" w:line="360" w:before="240" w:after="240"/>
        <w:ind w:hanging="0"/>
        <w:jc w:val="both"/>
        <w:rPr/>
      </w:pPr>
      <w:r>
        <w:rPr>
          <w:rFonts w:cs="Times New Roman" w:ascii="Liberation Serif" w:hAnsi="Liberation Serif"/>
          <w:lang w:val="en-US"/>
        </w:rPr>
        <w:tab/>
        <w:t>To address the question concerning the pre-programming and feedback phases of movement control, each movement was partitioned into primary and secondary submovements by identifying the first negative-to-positive zero crossing in the acceleration profile following the absolute peak velocity. The primary submovement corresponds to the initial portion of the movement and is considered to represent the pre-programmed phase. Conversely, the secondary submovement reflects the feedback phase (Elliott et al., 2010). Relative time to peak velocity (RTPV) quantifies the proportion of movement time preceding peak velocity and is therefore associated with the duration of the primary submovement, or pre-programmed phase. Higher RTPV values indicate a longer primary submovement (Lage et al., 2013). During the secondary submovement, the number of discontinuities (ND) is determined by counting the zero crossings in the acceleration profile. This measure reflects online corrections of the movement trajectory based on sensory feedback about movement errors. Peak velocity (PV) represents the highest velocity achieved during the movement toward the target and provides information about differences in force modulation generated by the limb during the initial impulse phase (Lage et al., 2014).</w:t>
      </w:r>
    </w:p>
    <w:p>
      <w:pPr>
        <w:pStyle w:val="Normal"/>
        <w:spacing w:lineRule="auto" w:line="360" w:before="240" w:after="240"/>
        <w:ind w:hanging="0"/>
        <w:jc w:val="both"/>
        <w:rPr>
          <w:rFonts w:ascii="Liberation Serif" w:hAnsi="Liberation Serif" w:cs="Times New Roman"/>
          <w:lang w:val="en-US"/>
        </w:rPr>
      </w:pPr>
      <w:r>
        <w:rPr>
          <w:rFonts w:cs="Times New Roman" w:ascii="Liberation Serif" w:hAnsi="Liberation Serif"/>
          <w:lang w:val="en-US"/>
        </w:rPr>
        <w:tab/>
        <w:t>Studies employing aiming tasks have traditionally relied on peak velocity (PV), relative time to peak velocity (RTPV), and the number of discontinuities (ND) to infer the relative contribution of pre-programming and feedback control mechanisms (see Elliott et al., 2010). As described in the Introduction, Fernandes et al. (2024) proposed a set of complementary kinematic measures that provide additional information on the relative contributions of pre-programming and feedback mechanisms, as well as the efficiency of online movement corrections during execution. These measures include radial error at peak velocity (RE1SUB), the number of discontinuities normalized by the error during the second submovement (ND/E2Sub), time spent in the second submovement normalized by the number of discontinuities (Time2Sub/ND), and the integral of the absolute acceleration during the second submovement (Int2Sub). RE1SUB was computed using the same equation as radial error (RE), except that the coordinates corresponded to the position of the pen at the time of relative time to peak velocity (RTPV). The ND/E2Sub) was obtained through the following equation:</w:t>
      </w:r>
    </w:p>
    <w:p>
      <w:pPr>
        <w:pStyle w:val="Normal"/>
        <w:spacing w:lineRule="auto" w:line="360" w:before="240" w:after="240"/>
        <w:ind w:hanging="0"/>
        <w:jc w:val="center"/>
        <w:rPr>
          <w:rFonts w:ascii="Liberation Serif" w:hAnsi="Liberation Serif" w:cs="Times New Roman"/>
          <w:lang w:val="en-US"/>
        </w:rPr>
      </w:pPr>
      <w:r>
        <w:rPr>
          <w:rFonts w:cs="Times New Roman" w:ascii="Liberation Serif" w:hAnsi="Liberation Serif"/>
          <w:lang w:val="en-US"/>
        </w:rPr>
      </w:r>
      <m:oMathPara xmlns:m="http://schemas.openxmlformats.org/officeDocument/2006/math">
        <m:oMathParaPr>
          <m:jc m:val="center"/>
        </m:oMathParaPr>
        <m:oMath>
          <m:f>
            <m:num>
              <m:r>
                <m:t xml:space="preserve">ND</m:t>
              </m:r>
            </m:num>
            <m:den>
              <m:d>
                <m:dPr>
                  <m:begChr m:val="|"/>
                  <m:endChr m:val="|"/>
                </m:dPr>
                <m:e>
                  <m:r>
                    <m:rPr>
                      <m:lit/>
                      <m:nor/>
                    </m:rPr>
                    <m:t xml:space="preserve">RE1SUB</m:t>
                  </m:r>
                  <m:r>
                    <m:t xml:space="preserve">−</m:t>
                  </m:r>
                  <m:r>
                    <m:rPr>
                      <m:lit/>
                      <m:nor/>
                    </m:rPr>
                    <m:t xml:space="preserve">RE</m:t>
                  </m:r>
                </m:e>
              </m:d>
            </m:den>
          </m:f>
        </m:oMath>
      </m:oMathPara>
    </w:p>
    <w:p>
      <w:pPr>
        <w:pStyle w:val="Normal"/>
        <w:spacing w:lineRule="auto" w:line="360" w:before="240" w:after="240"/>
        <w:ind w:hanging="0"/>
        <w:jc w:val="both"/>
        <w:rPr>
          <w:rFonts w:ascii="Liberation Serif" w:hAnsi="Liberation Serif" w:cs="Times New Roman"/>
          <w:lang w:val="en-US"/>
        </w:rPr>
      </w:pPr>
      <w:r>
        <w:rPr>
          <w:rFonts w:cs="Times New Roman" w:ascii="Liberation Serif" w:hAnsi="Liberation Serif"/>
          <w:lang w:val="en-US"/>
        </w:rPr>
        <w:t>where ND, RE, and RE1SUB are respectively number of discontinuities, radial error, and radial error at peak velocity. The division of time spent in the second submovement by ND (time2Sub/ND) was obtained through the following equation:</w:t>
      </w:r>
    </w:p>
    <w:p>
      <w:pPr>
        <w:pStyle w:val="Normal"/>
        <w:spacing w:lineRule="auto" w:line="360" w:before="240" w:after="240"/>
        <w:ind w:hanging="0"/>
        <w:jc w:val="center"/>
        <w:rPr>
          <w:rFonts w:ascii="Liberation Serif" w:hAnsi="Liberation Serif" w:cs="Times New Roman"/>
          <w:lang w:val="en-US"/>
        </w:rPr>
      </w:pPr>
      <w:r>
        <w:rPr>
          <w:rFonts w:cs="Times New Roman" w:ascii="Liberation Serif" w:hAnsi="Liberation Serif"/>
          <w:lang w:val="en-US"/>
        </w:rPr>
      </w:r>
      <m:oMathPara xmlns:m="http://schemas.openxmlformats.org/officeDocument/2006/math">
        <m:oMathParaPr>
          <m:jc m:val="center"/>
        </m:oMathParaPr>
        <m:oMath>
          <m:f>
            <m:num>
              <m:r>
                <m:t xml:space="preserve">t</m:t>
              </m:r>
              <m:r>
                <m:t xml:space="preserve">2</m:t>
              </m:r>
            </m:num>
            <m:den>
              <m:r>
                <m:t xml:space="preserve">ND</m:t>
              </m:r>
            </m:den>
          </m:f>
        </m:oMath>
      </m:oMathPara>
    </w:p>
    <w:p>
      <w:pPr>
        <w:pStyle w:val="BodyText"/>
        <w:spacing w:lineRule="auto" w:line="360" w:before="240" w:after="240"/>
        <w:ind w:hanging="0"/>
        <w:jc w:val="both"/>
        <w:rPr/>
      </w:pPr>
      <w:r>
        <w:rPr/>
        <w:t xml:space="preserve">where ND and t2 are respectively number of discontinuities and duration of second submovement </w:t>
      </w:r>
      <w:r>
        <w:rPr/>
        <w:t>(ms)</w:t>
      </w:r>
      <w:r>
        <w:rPr/>
        <w:t>.</w:t>
      </w:r>
    </w:p>
    <w:p>
      <w:pPr>
        <w:pStyle w:val="BodyText"/>
        <w:spacing w:lineRule="auto" w:line="360" w:before="240" w:after="240"/>
        <w:ind w:hanging="0"/>
        <w:jc w:val="both"/>
        <w:rPr/>
      </w:pPr>
      <w:r>
        <w:rPr/>
        <w:tab/>
        <w:t xml:space="preserve">The ND/E2Sub is one measure that normalizes the quantity ND by errors in the second submovement. Likewise, time2Sub/ND is one measure that normalizes the the absolute time of the second submovement by the quantity ND. In both cases, the smaller the measure, the greater the efficiency in correcting the movement in response to errors. </w:t>
      </w:r>
    </w:p>
    <w:p>
      <w:pPr>
        <w:pStyle w:val="BodyText"/>
        <w:spacing w:lineRule="auto" w:line="360" w:before="240" w:after="240"/>
        <w:ind w:hanging="0"/>
        <w:jc w:val="both"/>
        <w:rPr/>
      </w:pPr>
      <w:r>
        <w:rPr/>
        <w:tab/>
        <w:t xml:space="preserve">The Int2sub were obtained through the integral of absolute acceleration along the time using the composite trapezoidal rule. The increase of the region under the absolute acceleration curve relates to the increase of velocity alteration over time. </w:t>
      </w:r>
      <w:r>
        <w:rPr/>
        <w:t xml:space="preserve">The </w:t>
      </w:r>
      <w:r>
        <w:rPr/>
        <w:t>Int2sub relates to the size (amplitude and time) of corrections over time.</w:t>
      </w:r>
    </w:p>
    <w:p>
      <w:pPr>
        <w:pStyle w:val="Normal1"/>
        <w:spacing w:lineRule="auto" w:line="360" w:before="240" w:after="240"/>
        <w:jc w:val="both"/>
        <w:rPr>
          <w:rFonts w:ascii="Liberation Serif" w:hAnsi="Liberation Serif" w:cs="Times New Roman"/>
          <w:lang w:val="en-US"/>
        </w:rPr>
      </w:pPr>
      <w:r>
        <w:rPr>
          <w:rFonts w:eastAsia="Times New Roman" w:cs="Times New Roman" w:ascii="Liberation Serif" w:hAnsi="Liberation Serif"/>
          <w:b/>
          <w:bCs/>
          <w:lang w:val="en-US"/>
        </w:rPr>
        <w:t xml:space="preserve">2.5 </w:t>
      </w:r>
      <w:r>
        <w:rPr>
          <w:rFonts w:eastAsia="Times New Roman" w:cs="Times New Roman" w:ascii="Liberation Serif" w:hAnsi="Liberation Serif"/>
          <w:b/>
          <w:bCs/>
          <w:lang w:val="en-US"/>
        </w:rPr>
        <w:t>Statistical analysis</w:t>
      </w:r>
    </w:p>
    <w:p>
      <w:pPr>
        <w:pStyle w:val="Normal1"/>
        <w:spacing w:lineRule="auto" w:line="360" w:before="240" w:after="240"/>
        <w:jc w:val="both"/>
        <w:rPr/>
      </w:pPr>
      <w:r>
        <w:rPr>
          <w:rFonts w:eastAsia="Times New Roman" w:cs="Times New Roman" w:ascii="Liberation Serif" w:hAnsi="Liberation Serif"/>
          <w:b w:val="false"/>
          <w:bCs w:val="false"/>
          <w:lang w:val="en-US"/>
        </w:rPr>
        <w:tab/>
      </w:r>
      <w:r>
        <w:rPr>
          <w:rFonts w:cs="Times New Roman" w:ascii="Liberation Serif" w:hAnsi="Liberation Serif"/>
          <w:lang w:val="en-US"/>
        </w:rPr>
        <w:t xml:space="preserve">For each dependent variable, we calculated a manual asymmetry index (AI) using the mean values obtained for each hand across the 40 trials performed on the second day </w:t>
      </w:r>
      <w:r>
        <w:rPr>
          <w:rFonts w:cs="Times New Roman" w:ascii="Liberation Serif" w:hAnsi="Liberation Serif"/>
          <w:lang w:val="en-US"/>
        </w:rPr>
        <w:t>(</w:t>
      </w:r>
      <w:r>
        <w:rPr>
          <w:rStyle w:val="DefaultParagraphFont"/>
          <w:rFonts w:eastAsia="Times New Roman" w:cs="Times New Roman" w:ascii="Liberation Serif" w:hAnsi="Liberation Serif"/>
          <w:lang w:val="en-US"/>
        </w:rPr>
        <w:t>testing phase)</w:t>
      </w:r>
      <w:r>
        <w:rPr>
          <w:rFonts w:cs="Times New Roman" w:ascii="Liberation Serif" w:hAnsi="Liberation Serif"/>
          <w:lang w:val="en-US"/>
        </w:rPr>
        <w:t xml:space="preserve">. </w:t>
      </w:r>
      <w:r>
        <w:rPr/>
        <w:t xml:space="preserve">We excluded participants who did not provide valid data for both hands for a given variable from the corresponding analysis. </w:t>
      </w:r>
      <w:r>
        <w:rPr>
          <w:rFonts w:cs="Times New Roman" w:ascii="Liberation Serif" w:hAnsi="Liberation Serif"/>
          <w:lang w:val="en-US"/>
        </w:rPr>
        <w:t>We expressed the index as a percentage using the following equation:</w:t>
      </w:r>
    </w:p>
    <w:p>
      <w:pPr>
        <w:pStyle w:val="Normal1"/>
        <w:spacing w:lineRule="auto" w:line="360" w:before="240" w:after="240"/>
        <w:jc w:val="center"/>
        <w:rPr>
          <w:rFonts w:ascii="Liberation Serif" w:hAnsi="Liberation Serif" w:cs="Times New Roman"/>
          <w:lang w:val="en-US"/>
        </w:rPr>
      </w:pPr>
      <w:r>
        <w:rPr>
          <w:rFonts w:cs="Times New Roman" w:ascii="Liberation Serif" w:hAnsi="Liberation Serif"/>
          <w:lang w:val="en-US"/>
        </w:rPr>
      </w:r>
      <m:oMathPara xmlns:m="http://schemas.openxmlformats.org/officeDocument/2006/math">
        <m:oMathParaPr>
          <m:jc m:val="center"/>
        </m:oMathParaPr>
        <m:oMath>
          <m:f>
            <m:num>
              <m:r>
                <m:t xml:space="preserve">Reference</m:t>
              </m:r>
              <m:r>
                <m:t xml:space="preserve"> </m:t>
              </m:r>
              <m:r>
                <m:t xml:space="preserve">Hand</m:t>
              </m:r>
              <m:r>
                <m:t xml:space="preserve">−</m:t>
              </m:r>
              <m:r>
                <m:t xml:space="preserve">Contralateral</m:t>
              </m:r>
              <m:r>
                <m:t xml:space="preserve"> </m:t>
              </m:r>
              <m:r>
                <m:t xml:space="preserve">Hand</m:t>
              </m:r>
            </m:num>
            <m:den>
              <m:r>
                <m:t xml:space="preserve">Reference</m:t>
              </m:r>
              <m:r>
                <m:t xml:space="preserve"> </m:t>
              </m:r>
              <m:r>
                <m:t xml:space="preserve">Hand</m:t>
              </m:r>
              <m:r>
                <m:t xml:space="preserve">+</m:t>
              </m:r>
              <m:r>
                <m:t xml:space="preserve">Contralateral</m:t>
              </m:r>
              <m:r>
                <m:t xml:space="preserve"> </m:t>
              </m:r>
              <m:r>
                <m:t xml:space="preserve">Hand</m:t>
              </m:r>
            </m:den>
          </m:f>
          <m:r>
            <m:t xml:space="preserve">×</m:t>
          </m:r>
          <m:r>
            <m:t xml:space="preserve">100</m:t>
          </m:r>
        </m:oMath>
      </m:oMathPara>
    </w:p>
    <w:p>
      <w:pPr>
        <w:pStyle w:val="Normal"/>
        <w:spacing w:lineRule="auto" w:line="360"/>
        <w:ind w:firstLine="708"/>
        <w:jc w:val="both"/>
        <w:rPr>
          <w:rFonts w:ascii="Liberation Serif" w:hAnsi="Liberation Serif" w:eastAsia="Times New Roman" w:cs="Times New Roman"/>
          <w:lang w:val="en-US"/>
        </w:rPr>
      </w:pPr>
      <w:r>
        <w:drawing>
          <wp:anchor behindDoc="0" distT="0" distB="0" distL="0" distR="0" simplePos="0" locked="0" layoutInCell="0" allowOverlap="1" relativeHeight="8">
            <wp:simplePos x="0" y="0"/>
            <wp:positionH relativeFrom="page">
              <wp:posOffset>1175385</wp:posOffset>
            </wp:positionH>
            <wp:positionV relativeFrom="page">
              <wp:posOffset>3306445</wp:posOffset>
            </wp:positionV>
            <wp:extent cx="5731510" cy="3466465"/>
            <wp:effectExtent l="0" t="0" r="0" b="0"/>
            <wp:wrapSquare wrapText="bothSides"/>
            <wp:docPr id="3" name="Figura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 title=""/>
                    <pic:cNvPicPr>
                      <a:picLocks noChangeAspect="1" noChangeArrowheads="1"/>
                    </pic:cNvPicPr>
                  </pic:nvPicPr>
                  <pic:blipFill>
                    <a:blip r:embed="rId4"/>
                    <a:stretch>
                      <a:fillRect/>
                    </a:stretch>
                  </pic:blipFill>
                  <pic:spPr bwMode="auto">
                    <a:xfrm>
                      <a:off x="0" y="0"/>
                      <a:ext cx="5731510" cy="3466465"/>
                    </a:xfrm>
                    <a:prstGeom prst="rect">
                      <a:avLst/>
                    </a:prstGeom>
                    <a:noFill/>
                  </pic:spPr>
                </pic:pic>
              </a:graphicData>
            </a:graphic>
          </wp:anchor>
        </w:drawing>
      </w:r>
      <w:r>
        <w:rPr>
          <w:rFonts w:eastAsia="Times New Roman" w:cs="Times New Roman" w:ascii="Liberation Serif" w:hAnsi="Liberation Serif"/>
          <w:lang w:val="en-US"/>
        </w:rPr>
        <w:t xml:space="preserve">For participants without stroke (NS) and those with right hemisphere stroke (RS), the right hand served as the reference hand. For participants with left hemisphere stroke (LS), the left hand served as the reference hand. For the performance variables reaction time (RT), movement time (MT), and radial error (RE), positive AI values indicate that the affected hand performed, on average, worse than the unaffected hand, whereas negative AI values indicate the opposite. For peak velocity (PV), positive AI values indicate that the unaffected hand achieved a higher peak velocity than the affected hand, whereas negative values indicate a higher peak velocity for the affected hand. For relative time to peak velocity (RTPV), positive AI values indicate greater reliance on pre-programmed control by the unaffected hand than by the affected hand, whereas negative values indicate the opposite. For radial error at the end of the primary submovement (RE1Sub), positive AI values indicate greater reliance on online feedback control by the unaffected hand than by the affected hand, whereas negative values indicate the opposite. Finally, for the variables number of discontinuities (ND), ND normalized by the radial error in the second submovement (ND/E2Sub), and time spent in the second submovement normalized by ND (Time2Sub/ND), positive AI values indicate that the unaffected hand exhibited, on average, a greater number of discontinuities, a higher ND-to-E2Sub ratio, and more time spent per discontinuity during the second submovement than the affected hand. Negative AI values indicate the opposite </w:t>
      </w:r>
      <w:r>
        <w:rPr>
          <w:rFonts w:eastAsia="Times New Roman" w:cs="Times New Roman" w:ascii="Liberation Serif" w:hAnsi="Liberation Serif"/>
          <w:lang w:val="en-US"/>
        </w:rPr>
        <w:t xml:space="preserve">(Figure </w:t>
      </w:r>
      <w:r>
        <w:rPr>
          <w:rFonts w:eastAsia="Times New Roman" w:cs="Times New Roman" w:ascii="Liberation Serif" w:hAnsi="Liberation Serif"/>
          <w:shd w:fill="FFFF00" w:val="clear"/>
          <w:lang w:val="en-US"/>
        </w:rPr>
        <w:t>X</w:t>
      </w:r>
      <w:r>
        <w:rPr>
          <w:rFonts w:eastAsia="Times New Roman" w:cs="Times New Roman" w:ascii="Liberation Serif" w:hAnsi="Liberation Serif"/>
          <w:lang w:val="en-US"/>
        </w:rPr>
        <w:t>)</w:t>
      </w:r>
      <w:r>
        <w:rPr>
          <w:rFonts w:eastAsia="Times New Roman" w:cs="Times New Roman" w:ascii="Liberation Serif" w:hAnsi="Liberation Serif"/>
          <w:lang w:val="en-US"/>
        </w:rPr>
        <w:t>.</w:t>
      </w:r>
    </w:p>
    <w:p>
      <w:pPr>
        <w:pStyle w:val="Normal"/>
        <w:spacing w:lineRule="auto" w:line="360"/>
        <w:ind w:firstLine="708"/>
        <w:jc w:val="center"/>
        <w:rPr>
          <w:rFonts w:ascii="Liberation Serif" w:hAnsi="Liberation Serif" w:eastAsia="Times New Roman" w:cs="Times New Roman"/>
          <w:lang w:val="en-US"/>
        </w:rPr>
      </w:pPr>
      <w:r>
        <w:rPr>
          <w:rFonts w:eastAsia="Times New Roman" w:cs="Times New Roman" w:ascii="Liberation Serif" w:hAnsi="Liberation Serif"/>
          <w:shd w:fill="FFFF00" w:val="clear"/>
          <w:lang w:val="en-US"/>
        </w:rPr>
        <w:t xml:space="preserve">Figure </w:t>
      </w:r>
      <w:r>
        <w:rPr>
          <w:rFonts w:eastAsia="Times New Roman" w:cs="Times New Roman" w:ascii="Liberation Serif" w:hAnsi="Liberation Serif"/>
          <w:shd w:fill="FFFF00" w:val="clear"/>
          <w:lang w:val="en-US"/>
        </w:rPr>
        <w:t>X</w:t>
      </w:r>
      <w:r>
        <w:rPr>
          <w:rFonts w:eastAsia="Times New Roman" w:cs="Times New Roman" w:ascii="Liberation Serif" w:hAnsi="Liberation Serif"/>
          <w:lang w:val="en-US"/>
        </w:rPr>
        <w:t>. Interpretation of positive and negative values of the manual asymmetry index (AI).</w:t>
      </w:r>
    </w:p>
    <w:p>
      <w:pPr>
        <w:pStyle w:val="Normal"/>
        <w:spacing w:lineRule="auto" w:line="360"/>
        <w:ind w:firstLine="708"/>
        <w:jc w:val="center"/>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Normal"/>
        <w:spacing w:lineRule="auto" w:line="360"/>
        <w:ind w:hanging="0"/>
        <w:jc w:val="both"/>
        <w:rPr/>
      </w:pPr>
      <w:r>
        <w:rPr>
          <w:rStyle w:val="Strong"/>
          <w:rFonts w:eastAsia="Times New Roman" w:cs="Times New Roman" w:ascii="Liberation Serif" w:hAnsi="Liberation Serif"/>
          <w:sz w:val="20"/>
          <w:szCs w:val="20"/>
          <w:lang w:val="en-US"/>
        </w:rPr>
        <w:t>Legend.</w:t>
      </w:r>
      <w:r>
        <w:rPr>
          <w:rFonts w:eastAsia="Times New Roman" w:cs="Times New Roman" w:ascii="Liberation Serif" w:hAnsi="Liberation Serif"/>
          <w:sz w:val="20"/>
          <w:szCs w:val="20"/>
          <w:lang w:val="en-US"/>
        </w:rPr>
        <w:t xml:space="preserve"> Schematic representation of the interpretation of positive (AI &gt; 0) and negative (AI &lt; 0) manual asymmetry index (AI) values for the outcome measures. The balance illustrates the relative magnitude of the values obtained for the affected and unaffected hands. The lower side of the balance represents the hand with the higher value for the corresponding variable, whereas the upper side represents the hand with the lower value. The direction of the balance therefore indicates the interpretation of positive (AI &gt; 0) and negative (AI &lt; 0) AI values for each group of variables.</w:t>
      </w:r>
    </w:p>
    <w:p>
      <w:pPr>
        <w:pStyle w:val="Normal"/>
        <w:spacing w:lineRule="auto" w:line="360"/>
        <w:ind w:firstLine="708"/>
        <w:jc w:val="both"/>
        <w:rPr/>
      </w:pPr>
      <w:r>
        <w:rPr>
          <w:rFonts w:eastAsia="Times New Roman" w:cs="Times New Roman" w:ascii="Liberation Serif" w:hAnsi="Liberation Serif"/>
          <w:lang w:val="en-US"/>
        </w:rPr>
        <w:t xml:space="preserve">Differences among the groups (NS, LS, and RS) were assessed using Welch's analysis of variance (ANOVA), owing to its robustness to heterogeneity of variances and unequal sample sizes. When appropriate, post hoc pairwise comparisons were performed using the Games–Howell procedure. Effect size was estimated using eta squared (η²). </w:t>
      </w:r>
      <w:r>
        <w:rPr/>
        <w:t xml:space="preserve">Given the reduced sample size due to missing data, we also conducted Bayesian analyses to complement Welch's ANOVA. For each dependent variable, we conducted a Bayesian ANOVA using the Bayes factor (BF₁₀) to quantify the relative evidence supporting the alternative hypothesis (group differences) over the null hypothesis (no group differences). We also performed Bayesian independent-samples </w:t>
      </w:r>
      <w:r>
        <w:rPr>
          <w:i/>
        </w:rPr>
        <w:t>t</w:t>
      </w:r>
      <w:r>
        <w:rPr/>
        <w:t xml:space="preserve"> tests for pairwise comparisons between groups. We interpreted BF₁₀ values according to </w:t>
      </w:r>
      <w:commentRangeStart w:id="4"/>
      <w:r>
        <w:rPr/>
        <w:t>Jeffreys (1961):</w:t>
      </w:r>
      <w:r>
        <w:rPr/>
      </w:r>
      <w:commentRangeEnd w:id="4"/>
      <w:r>
        <w:commentReference w:id="4"/>
      </w:r>
      <w:r>
        <w:rPr/>
        <w:t xml:space="preserve"> anecdotal evidence (BF₁₀ = 1–3), moderate evidence (BF₁₀ = 3–10), strong evidence (BF₁₀ = 10–30), and very strong evidence (BF₁₀ &gt; 30) in favor of the alternative hypothesis.</w:t>
      </w:r>
    </w:p>
    <w:p>
      <w:pPr>
        <w:pStyle w:val="BodyText"/>
        <w:spacing w:lineRule="auto" w:line="360"/>
        <w:ind w:firstLine="708"/>
        <w:jc w:val="both"/>
        <w:rPr>
          <w:rFonts w:ascii="Liberation Serif" w:hAnsi="Liberation Serif" w:eastAsia="Times New Roman" w:cs="Times New Roman"/>
          <w:lang w:val="en-US"/>
        </w:rPr>
      </w:pPr>
      <w:r>
        <w:rPr>
          <w:rFonts w:eastAsia="Times New Roman" w:cs="Times New Roman" w:ascii="Liberation Serif" w:hAnsi="Liberation Serif"/>
          <w:lang w:val="en-US"/>
        </w:rPr>
        <w:t xml:space="preserve">All statistical analyses were performed in R (R Core Team, Vienna, Austria). For the frequentist analyses, statistical significance was set at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&lt; 0.05.</w:t>
      </w:r>
    </w:p>
    <w:p>
      <w:pPr>
        <w:pStyle w:val="Normal1"/>
        <w:spacing w:lineRule="auto" w:line="360" w:before="240" w:after="240"/>
        <w:jc w:val="both"/>
        <w:rPr>
          <w:rFonts w:ascii="Liberation Serif" w:hAnsi="Liberation Serif" w:eastAsia="Times New Roman" w:cs="Times New Roman"/>
          <w:b/>
          <w:bCs/>
          <w:lang w:val="en-US"/>
        </w:rPr>
      </w:pPr>
      <w:r>
        <w:rPr>
          <w:rFonts w:eastAsia="Times New Roman" w:cs="Times New Roman" w:ascii="Liberation Serif" w:hAnsi="Liberation Serif"/>
          <w:b/>
          <w:bCs/>
          <w:lang w:val="en-US"/>
        </w:rPr>
        <w:t>3. Results</w:t>
      </w:r>
    </w:p>
    <w:p>
      <w:pPr>
        <w:pStyle w:val="Normal1"/>
        <w:spacing w:lineRule="auto" w:line="360" w:before="240" w:after="240"/>
        <w:jc w:val="both"/>
        <w:rPr/>
      </w:pPr>
      <w:r>
        <w:rPr>
          <w:rStyle w:val="DefaultParagraphFont"/>
          <w:rFonts w:eastAsia="Times New Roman" w:cs="Times New Roman" w:ascii="Liberation Serif" w:hAnsi="Liberation Serif"/>
          <w:b/>
          <w:bCs/>
          <w:lang w:val="en-US"/>
        </w:rPr>
        <w:t xml:space="preserve">3.1 </w:t>
      </w:r>
      <w:r>
        <w:rPr>
          <w:rFonts w:eastAsia="Times New Roman" w:cs="Times New Roman" w:ascii="Liberation Serif" w:hAnsi="Liberation Serif"/>
          <w:b/>
          <w:bCs/>
          <w:lang w:val="en-US"/>
        </w:rPr>
        <w:t>Performance variables</w:t>
      </w:r>
    </w:p>
    <w:p>
      <w:pPr>
        <w:pStyle w:val="Normal1"/>
        <w:spacing w:lineRule="auto" w:line="360"/>
        <w:ind w:firstLine="708"/>
        <w:jc w:val="both"/>
        <w:rPr/>
      </w:pPr>
      <w:r>
        <w:rPr>
          <w:rFonts w:eastAsia="Times New Roman" w:cs="Times New Roman" w:ascii="Liberation Serif" w:hAnsi="Liberation Serif"/>
          <w:lang w:val="en-US"/>
        </w:rPr>
        <w:t xml:space="preserve">Inferential analyses did not detect </w:t>
      </w:r>
      <w:r>
        <w:rPr>
          <w:rFonts w:eastAsia="Times New Roman" w:cs="Times New Roman" w:ascii="Liberation Serif" w:hAnsi="Liberation Serif"/>
          <w:lang w:val="en-US"/>
        </w:rPr>
        <w:t>group</w:t>
      </w:r>
      <w:r>
        <w:rPr>
          <w:rFonts w:eastAsia="Times New Roman" w:cs="Times New Roman" w:ascii="Liberation Serif" w:hAnsi="Liberation Serif"/>
          <w:lang w:val="en-US"/>
        </w:rPr>
        <w:t xml:space="preserve"> differences in RT </w:t>
      </w:r>
      <w:r>
        <w:rPr>
          <w:rFonts w:eastAsia="Times New Roman" w:cs="Times New Roman" w:ascii="Liberation Serif" w:hAnsi="Liberation Serif"/>
          <w:lang w:val="en-US"/>
        </w:rPr>
        <w:t>[</w:t>
      </w:r>
      <w:r>
        <w:rPr>
          <w:rFonts w:eastAsia="Times New Roman" w:cs="Times New Roman" w:ascii="Liberation Serif" w:hAnsi="Liberation Serif"/>
          <w:lang w:val="en-US"/>
        </w:rPr>
        <w:t>F(2, 18,16) = 1,617, p = 0,226, η² = 0,127</w:t>
      </w:r>
      <w:r>
        <w:rPr>
          <w:rFonts w:eastAsia="Times New Roman" w:cs="Times New Roman" w:ascii="Liberation Serif" w:hAnsi="Liberation Serif"/>
          <w:lang w:val="en-US"/>
        </w:rPr>
        <w:t>] and MT [F(2, 17,23) = 0,043, p = 0,958, η² = 0,002]</w:t>
      </w:r>
      <w:r>
        <w:rPr>
          <w:rFonts w:eastAsia="Times New Roman" w:cs="Times New Roman" w:ascii="Liberation Serif" w:hAnsi="Liberation Serif"/>
          <w:lang w:val="en-US"/>
        </w:rPr>
        <w:t xml:space="preserve">. </w:t>
      </w:r>
      <w:r>
        <w:rPr/>
        <w:t xml:space="preserve">The Bayesian analysis provided anecdotal evidence regarding group differences </w:t>
      </w:r>
      <w:r>
        <w:rPr/>
        <w:t xml:space="preserve">in RT </w:t>
      </w:r>
      <w:r>
        <w:rPr/>
        <w:t xml:space="preserve">(BF₁₀ = 0.986) </w:t>
      </w:r>
      <w:r>
        <w:rPr/>
        <w:t>and MT</w:t>
      </w:r>
      <w:r>
        <w:rPr>
          <w:rFonts w:eastAsia="Times New Roman" w:cs="Times New Roman" w:ascii="Liberation Serif" w:hAnsi="Liberation Serif"/>
          <w:lang w:val="en-US"/>
        </w:rPr>
        <w:t xml:space="preserve"> (BF</w:t>
      </w:r>
      <w:r>
        <w:rPr>
          <w:rFonts w:eastAsia="Times New Roman" w:cs="Times New Roman" w:ascii="Liberation Serif" w:hAnsi="Liberation Serif"/>
          <w:vertAlign w:val="subscript"/>
          <w:lang w:val="en-US"/>
        </w:rPr>
        <w:t xml:space="preserve">10 </w:t>
      </w:r>
      <w:r>
        <w:rPr>
          <w:rFonts w:eastAsia="Times New Roman" w:cs="Times New Roman" w:ascii="Liberation Serif" w:hAnsi="Liberation Serif"/>
          <w:lang w:val="en-US"/>
        </w:rPr>
        <w:t>= 0,181) (</w:t>
      </w:r>
      <w:r>
        <w:rPr/>
        <w:t xml:space="preserve">Figures </w:t>
      </w:r>
      <w:r>
        <w:rPr>
          <w:shd w:fill="FFFF00" w:val="clear"/>
        </w:rPr>
        <w:t>S1 and S2</w:t>
      </w:r>
      <w:r>
        <w:rPr/>
        <w:t xml:space="preserve"> are provided in the Supplementary Material</w:t>
      </w:r>
      <w:r>
        <w:rPr>
          <w:rFonts w:eastAsia="Times New Roman" w:cs="Times New Roman" w:ascii="Liberation Serif" w:hAnsi="Liberation Serif"/>
          <w:lang w:val="en-US"/>
        </w:rPr>
        <w:t>)</w:t>
      </w:r>
    </w:p>
    <w:p>
      <w:pPr>
        <w:pStyle w:val="Normal1"/>
        <w:spacing w:lineRule="auto" w:line="360"/>
        <w:ind w:firstLine="708"/>
        <w:jc w:val="both"/>
        <w:rPr/>
      </w:pPr>
      <w:r>
        <w:rPr>
          <w:rFonts w:eastAsia="Times New Roman" w:cs="Times New Roman" w:ascii="Liberation Serif" w:hAnsi="Liberation Serif"/>
          <w:lang w:val="en-US"/>
        </w:rPr>
        <w:t xml:space="preserve">Differences between groups were detected for RE </w:t>
      </w:r>
      <w:r>
        <w:rPr>
          <w:rFonts w:eastAsia="Times New Roman" w:cs="Times New Roman" w:ascii="Liberation Serif" w:hAnsi="Liberation Serif"/>
          <w:lang w:val="en-US"/>
        </w:rPr>
        <w:t>[</w:t>
      </w:r>
      <w:r>
        <w:rPr>
          <w:rFonts w:eastAsia="Times New Roman" w:cs="Times New Roman" w:ascii="Liberation Serif" w:hAnsi="Liberation Serif"/>
          <w:lang w:val="en-US"/>
        </w:rPr>
        <w:t>F(2, 24,99) = 3,179, p = 0,059, η² = 0,163</w:t>
      </w:r>
      <w:r>
        <w:rPr>
          <w:rFonts w:eastAsia="Times New Roman" w:cs="Times New Roman" w:ascii="Liberation Serif" w:hAnsi="Liberation Serif"/>
          <w:lang w:val="en-US"/>
        </w:rPr>
        <w:t>]</w:t>
      </w:r>
      <w:r>
        <w:rPr>
          <w:rFonts w:eastAsia="Times New Roman" w:cs="Times New Roman" w:ascii="Liberation Serif" w:hAnsi="Liberation Serif"/>
          <w:lang w:val="en-US"/>
        </w:rPr>
        <w:t xml:space="preserve">. </w:t>
      </w:r>
      <w:r>
        <w:rPr/>
        <w:t>Post hoc comparisons revealed a significant difference between the NS and RS groups (</w:t>
      </w:r>
      <w:r>
        <w:rPr>
          <w:i/>
        </w:rPr>
        <w:t>p</w:t>
      </w:r>
      <w:r>
        <w:rPr/>
        <w:t xml:space="preserve"> = 0.044), whereas the remaining pairwise comparisons were not statistically significant. The Bayesian ANOVA provided anecdotal evidence supporting group differences (BF₁₀ = 2.147). Pairwise Bayesian </w:t>
      </w:r>
      <w:r>
        <w:rPr>
          <w:i/>
        </w:rPr>
        <w:t>t</w:t>
      </w:r>
      <w:r>
        <w:rPr/>
        <w:t xml:space="preserve"> tests yielded moderate evidence supporting a difference between the NS and RS groups (BF₁₀ = 3.407), whereas the remaining comparisons provided only anecdotal evidence or evidence favoring the null hypothesis.</w:t>
      </w:r>
    </w:p>
    <w:p>
      <w:pPr>
        <w:pStyle w:val="Header"/>
        <w:jc w:val="center"/>
        <w:rPr>
          <w:rStyle w:val="Strong"/>
        </w:rPr>
      </w:pPr>
      <w:r>
        <w:rPr/>
      </w:r>
    </w:p>
    <w:p>
      <w:pPr>
        <w:pStyle w:val="Header"/>
        <w:jc w:val="center"/>
        <w:rPr>
          <w:rStyle w:val="Strong"/>
        </w:rPr>
      </w:pPr>
      <w:r>
        <w:rPr/>
      </w:r>
    </w:p>
    <w:p>
      <w:pPr>
        <w:pStyle w:val="Header"/>
        <w:jc w:val="center"/>
        <w:rPr>
          <w:rStyle w:val="Strong"/>
        </w:rPr>
      </w:pPr>
      <w:r>
        <w:rPr/>
      </w:r>
    </w:p>
    <w:p>
      <w:pPr>
        <w:pStyle w:val="Header"/>
        <w:jc w:val="center"/>
        <w:rPr>
          <w:rStyle w:val="Strong"/>
        </w:rPr>
      </w:pPr>
      <w:r>
        <w:rPr/>
      </w:r>
    </w:p>
    <w:p>
      <w:pPr>
        <w:pStyle w:val="Header"/>
        <w:jc w:val="center"/>
        <w:rPr>
          <w:rStyle w:val="Strong"/>
        </w:rPr>
      </w:pPr>
      <w:r>
        <w:rPr/>
      </w:r>
    </w:p>
    <w:p>
      <w:pPr>
        <w:pStyle w:val="Header"/>
        <w:jc w:val="center"/>
        <w:rPr/>
      </w:pPr>
      <w:r>
        <w:drawing>
          <wp:anchor behindDoc="0" distT="0" distB="0" distL="0" distR="0" simplePos="0" locked="0" layoutInCell="0" allowOverlap="1" relativeHeight="9">
            <wp:simplePos x="0" y="0"/>
            <wp:positionH relativeFrom="page">
              <wp:posOffset>1159510</wp:posOffset>
            </wp:positionH>
            <wp:positionV relativeFrom="page">
              <wp:posOffset>1690370</wp:posOffset>
            </wp:positionV>
            <wp:extent cx="5487035" cy="4686935"/>
            <wp:effectExtent l="0" t="0" r="0" b="0"/>
            <wp:wrapSquare wrapText="bothSides"/>
            <wp:docPr id="4" name="Figura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descr="" title=""/>
                    <pic:cNvPicPr>
                      <a:picLocks noChangeAspect="1" noChangeArrowheads="1"/>
                    </pic:cNvPicPr>
                  </pic:nvPicPr>
                  <pic:blipFill>
                    <a:blip r:embed="rId5"/>
                    <a:stretch>
                      <a:fillRect/>
                    </a:stretch>
                  </pic:blipFill>
                  <pic:spPr bwMode="auto">
                    <a:xfrm>
                      <a:off x="0" y="0"/>
                      <a:ext cx="5487035" cy="4686935"/>
                    </a:xfrm>
                    <a:prstGeom prst="rect">
                      <a:avLst/>
                    </a:prstGeom>
                    <a:noFill/>
                  </pic:spPr>
                </pic:pic>
              </a:graphicData>
            </a:graphic>
          </wp:anchor>
        </w:drawing>
      </w:r>
      <w:r>
        <w:rPr>
          <w:rStyle w:val="Strong"/>
        </w:rPr>
        <w:t>F</w:t>
      </w:r>
      <w:r>
        <w:rPr>
          <w:rStyle w:val="Strong"/>
        </w:rPr>
        <w:t xml:space="preserve">igure </w:t>
      </w:r>
      <w:r>
        <w:rPr>
          <w:rStyle w:val="Strong"/>
          <w:shd w:fill="FFFF00" w:val="clear"/>
        </w:rPr>
        <w:t>X</w:t>
      </w:r>
      <w:r>
        <w:rPr>
          <w:rStyle w:val="Strong"/>
        </w:rPr>
        <w:t>.</w:t>
      </w:r>
      <w:r>
        <w:rPr/>
        <w:t xml:space="preserve"> Manual asymmetry index (AI) for </w:t>
      </w:r>
      <w:r>
        <w:rPr/>
        <w:t>RT</w:t>
      </w:r>
      <w:r>
        <w:rPr/>
        <w:t xml:space="preserve"> across the NS, LS, and RS groups</w:t>
      </w:r>
    </w:p>
    <w:p>
      <w:pPr>
        <w:pStyle w:val="Header"/>
        <w:jc w:val="both"/>
        <w:rPr/>
      </w:pPr>
      <w:r>
        <w:rPr>
          <w:rStyle w:val="Strong"/>
          <w:rFonts w:eastAsia="Times New Roman" w:cs="Times New Roman" w:ascii="Liberation Serif" w:hAnsi="Liberation Serif"/>
          <w:sz w:val="20"/>
          <w:szCs w:val="20"/>
          <w:lang w:val="en-US"/>
        </w:rPr>
        <w:t>Legend.</w:t>
      </w:r>
      <w:r>
        <w:rPr>
          <w:rFonts w:eastAsia="Times New Roman" w:cs="Times New Roman" w:ascii="Liberation Serif" w:hAnsi="Liberation Serif"/>
          <w:sz w:val="20"/>
          <w:szCs w:val="20"/>
          <w:lang w:val="en-US"/>
        </w:rPr>
        <w:t xml:space="preserve"> </w:t>
      </w:r>
      <w:r>
        <w:rPr>
          <w:rFonts w:ascii="Liberation Serif" w:hAnsi="Liberation Serif"/>
          <w:sz w:val="20"/>
          <w:szCs w:val="20"/>
        </w:rPr>
        <w:t>Boxes represent the interquartile range (IQR), the horizontal line within each box indicates the median, whiskers extend to 1.5 × IQR, and dots represent individual participants. The dashed horizontal line (AI = 0) indicates the absence of manual asymmetry. Significant pairwise differences identified by the Games–Howell post hoc test are indicated by brackets (</w:t>
      </w:r>
      <w:r>
        <w:rPr>
          <w:rStyle w:val="Emphasis"/>
          <w:rFonts w:ascii="Liberation Serif" w:hAnsi="Liberation Serif"/>
          <w:sz w:val="20"/>
          <w:szCs w:val="20"/>
        </w:rPr>
        <w:t>p</w:t>
      </w:r>
      <w:r>
        <w:rPr>
          <w:rFonts w:ascii="Liberation Serif" w:hAnsi="Liberation Serif"/>
          <w:sz w:val="20"/>
          <w:szCs w:val="20"/>
        </w:rPr>
        <w:t xml:space="preserve"> &lt; 0.05).</w:t>
      </w:r>
    </w:p>
    <w:p>
      <w:pPr>
        <w:pStyle w:val="Normal1"/>
        <w:spacing w:lineRule="auto" w:line="360" w:before="240" w:after="240"/>
        <w:jc w:val="both"/>
        <w:rPr>
          <w:rFonts w:ascii="Liberation Serif" w:hAnsi="Liberation Serif" w:eastAsia="Times New Roman" w:cs="Times New Roman"/>
          <w:lang w:val="en-US"/>
        </w:rPr>
      </w:pPr>
      <w:r>
        <w:rPr>
          <w:rStyle w:val="DefaultParagraphFont"/>
          <w:rFonts w:eastAsia="Times New Roman" w:cs="Times New Roman" w:ascii="Liberation Serif" w:hAnsi="Liberation Serif"/>
          <w:b/>
          <w:bCs/>
          <w:lang w:val="en-US"/>
        </w:rPr>
        <w:t>3.</w:t>
      </w:r>
      <w:r>
        <w:rPr>
          <w:rStyle w:val="DefaultParagraphFont"/>
          <w:rFonts w:eastAsia="Times New Roman" w:cs="Times New Roman" w:ascii="Liberation Serif" w:hAnsi="Liberation Serif"/>
          <w:b/>
          <w:bCs/>
          <w:lang w:val="en-US"/>
        </w:rPr>
        <w:t>2</w:t>
      </w:r>
      <w:r>
        <w:rPr>
          <w:rStyle w:val="DefaultParagraphFont"/>
          <w:rFonts w:eastAsia="Times New Roman" w:cs="Times New Roman" w:ascii="Liberation Serif" w:hAnsi="Liberation Serif"/>
          <w:b/>
          <w:bCs/>
          <w:lang w:val="en-US"/>
        </w:rPr>
        <w:t xml:space="preserve"> </w:t>
      </w:r>
      <w:r>
        <w:rPr>
          <w:rFonts w:eastAsia="Times New Roman" w:cs="Times New Roman" w:ascii="Liberation Serif" w:hAnsi="Liberation Serif"/>
          <w:b/>
          <w:bCs/>
          <w:lang w:val="en-US"/>
        </w:rPr>
        <w:t>Control Variables</w:t>
      </w:r>
    </w:p>
    <w:p>
      <w:pPr>
        <w:pStyle w:val="Normal1"/>
        <w:spacing w:lineRule="auto" w:line="360"/>
        <w:ind w:firstLine="708"/>
        <w:jc w:val="both"/>
        <w:rPr>
          <w:rFonts w:ascii="Liberation Serif" w:hAnsi="Liberation Serif" w:eastAsia="Times New Roman" w:cs="Times New Roman"/>
          <w:lang w:val="en-US"/>
        </w:rPr>
      </w:pPr>
      <w:r>
        <w:rPr>
          <w:rFonts w:eastAsia="Times New Roman" w:cs="Times New Roman" w:ascii="Liberation Serif" w:hAnsi="Liberation Serif"/>
          <w:lang w:val="en-US"/>
        </w:rPr>
        <w:t xml:space="preserve">Inferential analyses did not detect </w:t>
      </w:r>
      <w:r>
        <w:rPr>
          <w:rFonts w:eastAsia="Times New Roman" w:cs="Times New Roman" w:ascii="Liberation Serif" w:hAnsi="Liberation Serif"/>
          <w:lang w:val="en-US"/>
        </w:rPr>
        <w:t>group</w:t>
      </w:r>
      <w:r>
        <w:rPr>
          <w:rFonts w:eastAsia="Times New Roman" w:cs="Times New Roman" w:ascii="Liberation Serif" w:hAnsi="Liberation Serif"/>
          <w:lang w:val="en-US"/>
        </w:rPr>
        <w:t xml:space="preserve"> differences in PV </w:t>
      </w:r>
      <w:r>
        <w:rPr>
          <w:rFonts w:eastAsia="Times New Roman" w:cs="Times New Roman" w:ascii="Liberation Serif" w:hAnsi="Liberation Serif"/>
          <w:lang w:val="en-US"/>
        </w:rPr>
        <w:t>[</w:t>
      </w:r>
      <w:r>
        <w:rPr>
          <w:rFonts w:eastAsia="Times New Roman" w:cs="Times New Roman" w:ascii="Liberation Serif" w:hAnsi="Liberation Serif"/>
          <w:lang w:val="en-US"/>
        </w:rPr>
        <w:t>F(2, 20,22) = 1,170, p = 0,331, η² = 0,057</w:t>
      </w:r>
      <w:r>
        <w:rPr>
          <w:rFonts w:eastAsia="Times New Roman" w:cs="Times New Roman" w:ascii="Liberation Serif" w:hAnsi="Liberation Serif"/>
          <w:lang w:val="en-US"/>
        </w:rPr>
        <w:t>], RTPV [</w:t>
      </w:r>
      <w:r>
        <w:rPr>
          <w:rFonts w:eastAsia="Times New Roman" w:cs="Times New Roman" w:ascii="Liberation Serif" w:hAnsi="Liberation Serif"/>
          <w:lang w:val="en-US"/>
        </w:rPr>
        <w:t>F(2, 17,45) = 0,294, p = 0,749, η² = 0,025</w:t>
      </w:r>
      <w:r>
        <w:rPr>
          <w:rFonts w:eastAsia="Times New Roman" w:cs="Times New Roman" w:ascii="Liberation Serif" w:hAnsi="Liberation Serif"/>
          <w:lang w:val="en-US"/>
        </w:rPr>
        <w:t>], ND [</w:t>
      </w:r>
      <w:r>
        <w:rPr>
          <w:rFonts w:eastAsia="Times New Roman" w:cs="Times New Roman" w:ascii="Liberation Serif" w:hAnsi="Liberation Serif"/>
          <w:lang w:val="en-US"/>
        </w:rPr>
        <w:t>F(2, 18,39) = 0,246, p = 0,784, η² = 0,012</w:t>
      </w:r>
      <w:r>
        <w:rPr>
          <w:rFonts w:eastAsia="Times New Roman" w:cs="Times New Roman" w:ascii="Liberation Serif" w:hAnsi="Liberation Serif"/>
          <w:lang w:val="en-US"/>
        </w:rPr>
        <w:t xml:space="preserve">], time2Sub/ND [F(2, 20,74) = 0,382, p = 0,687, η² = 0,025], and </w:t>
      </w:r>
      <w:r>
        <w:rPr>
          <w:rFonts w:eastAsia="Times New Roman" w:cs="Times New Roman" w:ascii="Liberation Serif" w:hAnsi="Liberation Serif"/>
          <w:lang w:val="en-US"/>
        </w:rPr>
        <w:t xml:space="preserve">Int2sub) </w:t>
      </w:r>
      <w:r>
        <w:rPr>
          <w:rFonts w:eastAsia="Times New Roman" w:cs="Times New Roman" w:ascii="Liberation Serif" w:hAnsi="Liberation Serif"/>
          <w:lang w:val="en-US"/>
        </w:rPr>
        <w:t>[</w:t>
      </w:r>
      <w:r>
        <w:rPr>
          <w:rFonts w:eastAsia="Times New Roman" w:cs="Times New Roman" w:ascii="Liberation Serif" w:hAnsi="Liberation Serif"/>
          <w:lang w:val="en-US"/>
        </w:rPr>
        <w:t>F(2, 22,11) = 1,217, p = 0,315, η² = 0,055</w:t>
      </w:r>
      <w:r>
        <w:rPr>
          <w:rFonts w:eastAsia="Times New Roman" w:cs="Times New Roman" w:ascii="Liberation Serif" w:hAnsi="Liberation Serif"/>
          <w:lang w:val="en-US"/>
        </w:rPr>
        <w:t xml:space="preserve">]. The Bayesian analysis provided anecdotal evidence regarding group differences </w:t>
      </w:r>
      <w:r>
        <w:rPr>
          <w:rFonts w:eastAsia="Times New Roman" w:cs="Times New Roman" w:ascii="Liberation Serif" w:hAnsi="Liberation Serif"/>
          <w:lang w:val="en-US"/>
        </w:rPr>
        <w:t xml:space="preserve">in </w:t>
      </w:r>
      <w:r>
        <w:rPr>
          <w:rFonts w:eastAsia="Times New Roman" w:cs="Times New Roman" w:ascii="Liberation Serif" w:hAnsi="Liberation Serif"/>
          <w:lang w:val="en-US"/>
        </w:rPr>
        <w:t xml:space="preserve">all control variables </w:t>
      </w:r>
      <w:r>
        <w:rPr>
          <w:rFonts w:eastAsia="Times New Roman" w:cs="Times New Roman" w:ascii="Liberation Serif" w:hAnsi="Liberation Serif"/>
          <w:lang w:val="en-US"/>
        </w:rPr>
        <w:t>(BF</w:t>
      </w:r>
      <w:r>
        <w:rPr>
          <w:rFonts w:eastAsia="Times New Roman" w:cs="Times New Roman" w:ascii="Liberation Serif" w:hAnsi="Liberation Serif"/>
          <w:vertAlign w:val="subscript"/>
          <w:lang w:val="en-US"/>
        </w:rPr>
        <w:t>10</w:t>
      </w:r>
      <w:r>
        <w:rPr>
          <w:rFonts w:eastAsia="Times New Roman" w:cs="Times New Roman" w:ascii="Liberation Serif" w:hAnsi="Liberation Serif"/>
          <w:lang w:val="en-US"/>
        </w:rPr>
        <w:t xml:space="preserve"> &gt; </w:t>
      </w:r>
      <w:r>
        <w:rPr>
          <w:rFonts w:eastAsia="Times New Roman" w:cs="Times New Roman" w:ascii="Liberation Serif" w:hAnsi="Liberation Serif"/>
          <w:lang w:val="en-US"/>
        </w:rPr>
        <w:t xml:space="preserve">0,3) (Figures </w:t>
      </w:r>
      <w:r>
        <w:rPr>
          <w:rFonts w:eastAsia="Times New Roman" w:cs="Times New Roman" w:ascii="Liberation Serif" w:hAnsi="Liberation Serif"/>
          <w:shd w:fill="FFFF00" w:val="clear"/>
          <w:lang w:val="en-US"/>
        </w:rPr>
        <w:t>S1 and S2</w:t>
      </w:r>
      <w:r>
        <w:rPr>
          <w:rFonts w:eastAsia="Times New Roman" w:cs="Times New Roman" w:ascii="Liberation Serif" w:hAnsi="Liberation Serif"/>
          <w:lang w:val="en-US"/>
        </w:rPr>
        <w:t xml:space="preserve"> are provided in the Supplementary Material</w:t>
      </w:r>
      <w:r>
        <w:rPr>
          <w:rFonts w:eastAsia="Times New Roman" w:cs="Times New Roman" w:ascii="Liberation Serif" w:hAnsi="Liberation Serif"/>
          <w:lang w:val="en-US"/>
        </w:rPr>
        <w:t>).</w:t>
      </w:r>
    </w:p>
    <w:p>
      <w:pPr>
        <w:pStyle w:val="BodyText"/>
        <w:spacing w:lineRule="auto" w:line="360"/>
        <w:ind w:firstLine="708"/>
        <w:jc w:val="both"/>
        <w:rPr>
          <w:rFonts w:ascii="Liberation Serif" w:hAnsi="Liberation Serif" w:eastAsia="Times New Roman" w:cs="Times New Roman"/>
          <w:lang w:val="en-US"/>
        </w:rPr>
      </w:pPr>
      <w:r>
        <w:drawing>
          <wp:anchor behindDoc="0" distT="0" distB="0" distL="0" distR="0" simplePos="0" locked="0" layoutInCell="0" allowOverlap="1" relativeHeight="10">
            <wp:simplePos x="0" y="0"/>
            <wp:positionH relativeFrom="page">
              <wp:posOffset>984885</wp:posOffset>
            </wp:positionH>
            <wp:positionV relativeFrom="page">
              <wp:posOffset>4055745</wp:posOffset>
            </wp:positionV>
            <wp:extent cx="5487035" cy="4572635"/>
            <wp:effectExtent l="0" t="0" r="0" b="0"/>
            <wp:wrapSquare wrapText="bothSides"/>
            <wp:docPr id="5" name="Figur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4" descr="" title=""/>
                    <pic:cNvPicPr>
                      <a:picLocks noChangeAspect="1" noChangeArrowheads="1"/>
                    </pic:cNvPicPr>
                  </pic:nvPicPr>
                  <pic:blipFill>
                    <a:blip r:embed="rId6"/>
                    <a:stretch>
                      <a:fillRect/>
                    </a:stretch>
                  </pic:blipFill>
                  <pic:spPr bwMode="auto">
                    <a:xfrm>
                      <a:off x="0" y="0"/>
                      <a:ext cx="5487035" cy="4572635"/>
                    </a:xfrm>
                    <a:prstGeom prst="rect">
                      <a:avLst/>
                    </a:prstGeom>
                    <a:noFill/>
                  </pic:spPr>
                </pic:pic>
              </a:graphicData>
            </a:graphic>
          </wp:anchor>
        </w:drawing>
      </w:r>
      <w:r>
        <w:rPr>
          <w:rFonts w:eastAsia="Times New Roman" w:cs="Times New Roman" w:ascii="Liberation Serif" w:hAnsi="Liberation Serif"/>
          <w:lang w:val="en-US"/>
        </w:rPr>
        <w:t>Differences among the groups were observed for RE1S</w:t>
      </w:r>
      <w:r>
        <w:rPr>
          <w:rFonts w:eastAsia="Times New Roman" w:cs="Times New Roman" w:ascii="Liberation Serif" w:hAnsi="Liberation Serif"/>
          <w:lang w:val="en-US"/>
        </w:rPr>
        <w:t>UB</w:t>
      </w:r>
      <w:r>
        <w:rPr>
          <w:rFonts w:eastAsia="Times New Roman" w:cs="Times New Roman" w:ascii="Liberation Serif" w:hAnsi="Liberation Serif"/>
          <w:lang w:val="en-US"/>
        </w:rPr>
        <w:t xml:space="preserve"> [</w:t>
      </w:r>
      <w:r>
        <w:rPr>
          <w:rStyle w:val="Emphasis"/>
          <w:rFonts w:eastAsia="Times New Roman" w:cs="Times New Roman" w:ascii="Liberation Serif" w:hAnsi="Liberation Serif"/>
          <w:lang w:val="en-US"/>
        </w:rPr>
        <w:t>F</w:t>
      </w:r>
      <w:r>
        <w:rPr>
          <w:rFonts w:eastAsia="Times New Roman" w:cs="Times New Roman" w:ascii="Liberation Serif" w:hAnsi="Liberation Serif"/>
          <w:lang w:val="en-US"/>
        </w:rPr>
        <w:t xml:space="preserve">(2, 19.53) = 305.631,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&lt; 0.001, η² = 0.896]. Post hoc comparisons revealed significant differences between the NS and LS groups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&lt; 0.001) and between the LS and RS groups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&lt; 0.001), whereas the comparison between the NS and RS groups was not statistically significant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 0.059). The Bayesian ANOVA corroborated these findings by providing very strong evidence for group differences (BF₁₀ = 1.51 × 10¹³). Pairwise Bayesian </w:t>
      </w:r>
      <w:r>
        <w:rPr>
          <w:rStyle w:val="Emphasis"/>
          <w:rFonts w:eastAsia="Times New Roman" w:cs="Times New Roman" w:ascii="Liberation Serif" w:hAnsi="Liberation Serif"/>
          <w:lang w:val="en-US"/>
        </w:rPr>
        <w:t>t</w:t>
      </w:r>
      <w:r>
        <w:rPr>
          <w:rFonts w:eastAsia="Times New Roman" w:cs="Times New Roman" w:ascii="Liberation Serif" w:hAnsi="Liberation Serif"/>
          <w:lang w:val="en-US"/>
        </w:rPr>
        <w:t xml:space="preserve"> tests yielded very strong evidence supporting differences between the NS and LS groups (BF₁₀ = 3.34 × 10⁹) and between the LS and RS groups (BF₁₀ = 1.15 × 10¹⁰), whereas the comparison between the NS and RS groups provided  anecdotal evidence for a difference (BF₁₀ = 2.81) </w:t>
      </w:r>
      <w:r>
        <w:rPr>
          <w:rFonts w:eastAsia="Times New Roman" w:cs="Times New Roman" w:ascii="Liberation Serif" w:hAnsi="Liberation Serif"/>
          <w:lang w:val="en-US"/>
        </w:rPr>
        <w:t>(</w:t>
      </w:r>
      <w:r>
        <w:rPr>
          <w:rFonts w:eastAsia="Times New Roman" w:cs="Times New Roman" w:ascii="Liberation Serif" w:hAnsi="Liberation Serif"/>
          <w:shd w:fill="FFFF00" w:val="clear"/>
          <w:lang w:val="en-US"/>
        </w:rPr>
        <w:t>Figure X</w:t>
      </w:r>
      <w:r>
        <w:rPr>
          <w:rFonts w:eastAsia="Times New Roman" w:cs="Times New Roman" w:ascii="Liberation Serif" w:hAnsi="Liberation Serif"/>
          <w:lang w:val="en-US"/>
        </w:rPr>
        <w:t>)</w:t>
      </w:r>
      <w:r>
        <w:rPr>
          <w:rFonts w:eastAsia="Times New Roman" w:cs="Times New Roman" w:ascii="Liberation Serif" w:hAnsi="Liberation Serif"/>
          <w:lang w:val="en-US"/>
        </w:rPr>
        <w:t>.</w:t>
      </w:r>
    </w:p>
    <w:p>
      <w:pPr>
        <w:pStyle w:val="Header"/>
        <w:jc w:val="center"/>
        <w:rPr/>
      </w:pPr>
      <w:r>
        <w:rPr>
          <w:rStyle w:val="Strong"/>
        </w:rPr>
        <w:t>F</w:t>
      </w:r>
      <w:r>
        <w:rPr>
          <w:rStyle w:val="Strong"/>
        </w:rPr>
        <w:t xml:space="preserve">igure </w:t>
      </w:r>
      <w:r>
        <w:rPr>
          <w:rStyle w:val="Strong"/>
          <w:shd w:fill="FFFF00" w:val="clear"/>
        </w:rPr>
        <w:t>X</w:t>
      </w:r>
      <w:r>
        <w:rPr>
          <w:rStyle w:val="Strong"/>
        </w:rPr>
        <w:t>.</w:t>
      </w:r>
      <w:r>
        <w:rPr/>
        <w:t xml:space="preserve"> Manual asymmetry index (AI) for </w:t>
      </w:r>
      <w:r>
        <w:rPr/>
        <w:t>RE1SUB</w:t>
      </w:r>
      <w:r>
        <w:rPr/>
        <w:t xml:space="preserve"> across the NS, LS, and RS groups</w:t>
      </w:r>
    </w:p>
    <w:p>
      <w:pPr>
        <w:pStyle w:val="Normal1"/>
        <w:ind w:firstLine="708"/>
        <w:jc w:val="center"/>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Header"/>
        <w:jc w:val="both"/>
        <w:rPr/>
      </w:pPr>
      <w:r>
        <w:rPr>
          <w:rStyle w:val="Strong"/>
          <w:rFonts w:ascii="Liberation Serif" w:hAnsi="Liberation Serif"/>
          <w:sz w:val="20"/>
          <w:szCs w:val="20"/>
        </w:rPr>
        <w:t>Legend.</w:t>
      </w:r>
      <w:r>
        <w:rPr>
          <w:rFonts w:ascii="Liberation Serif" w:hAnsi="Liberation Serif"/>
          <w:sz w:val="20"/>
          <w:szCs w:val="20"/>
        </w:rPr>
        <w:t xml:space="preserve"> Boxes represent the interquartile range (IQR), the horizontal line within each box indicates the median, whiskers extend to 1.5 × IQR, and dots represent individual participants. The dashed horizontal line (AI = 0) indicates the absence of manual asymmetry. Significant pairwise differences identified by the Games–Howell post hoc test are indicated by brackets (</w:t>
      </w:r>
      <w:r>
        <w:rPr>
          <w:rStyle w:val="Emphasis"/>
          <w:rFonts w:ascii="Liberation Serif" w:hAnsi="Liberation Serif"/>
          <w:sz w:val="20"/>
          <w:szCs w:val="20"/>
        </w:rPr>
        <w:t>p</w:t>
      </w:r>
      <w:r>
        <w:rPr>
          <w:rFonts w:ascii="Liberation Serif" w:hAnsi="Liberation Serif"/>
          <w:sz w:val="20"/>
          <w:szCs w:val="20"/>
        </w:rPr>
        <w:t xml:space="preserve"> &lt; 0.05).</w:t>
      </w:r>
    </w:p>
    <w:p>
      <w:pPr>
        <w:pStyle w:val="BodyText"/>
        <w:spacing w:lineRule="auto" w:line="360"/>
        <w:ind w:firstLine="708"/>
        <w:jc w:val="both"/>
        <w:rPr>
          <w:rFonts w:ascii="Liberation Serif" w:hAnsi="Liberation Serif" w:eastAsia="Times New Roman" w:cs="Times New Roman"/>
          <w:lang w:val="en-US"/>
        </w:rPr>
      </w:pPr>
      <w:r>
        <w:drawing>
          <wp:anchor behindDoc="0" distT="0" distB="0" distL="0" distR="0" simplePos="0" locked="0" layoutInCell="0" allowOverlap="1" relativeHeight="11">
            <wp:simplePos x="0" y="0"/>
            <wp:positionH relativeFrom="page">
              <wp:posOffset>982980</wp:posOffset>
            </wp:positionH>
            <wp:positionV relativeFrom="page">
              <wp:posOffset>4016375</wp:posOffset>
            </wp:positionV>
            <wp:extent cx="5496560" cy="4572635"/>
            <wp:effectExtent l="0" t="0" r="0" b="0"/>
            <wp:wrapSquare wrapText="bothSides"/>
            <wp:docPr id="6" name="Figura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5" descr="" title=""/>
                    <pic:cNvPicPr>
                      <a:picLocks noChangeAspect="1" noChangeArrowheads="1"/>
                    </pic:cNvPicPr>
                  </pic:nvPicPr>
                  <pic:blipFill>
                    <a:blip r:embed="rId7"/>
                    <a:stretch>
                      <a:fillRect/>
                    </a:stretch>
                  </pic:blipFill>
                  <pic:spPr bwMode="auto">
                    <a:xfrm>
                      <a:off x="0" y="0"/>
                      <a:ext cx="5496560" cy="4572635"/>
                    </a:xfrm>
                    <a:prstGeom prst="rect">
                      <a:avLst/>
                    </a:prstGeom>
                    <a:noFill/>
                  </pic:spPr>
                </pic:pic>
              </a:graphicData>
            </a:graphic>
          </wp:anchor>
        </w:drawing>
      </w:r>
      <w:r>
        <w:rPr>
          <w:rFonts w:eastAsia="Times New Roman" w:cs="Times New Roman" w:ascii="Liberation Serif" w:hAnsi="Liberation Serif"/>
          <w:lang w:val="en-US"/>
        </w:rPr>
        <w:t>Differences among the groups were also observed for ND/</w:t>
      </w:r>
      <w:r>
        <w:rPr>
          <w:rFonts w:eastAsia="Times New Roman" w:cs="Times New Roman" w:ascii="Liberation Serif" w:hAnsi="Liberation Serif"/>
          <w:lang w:val="en-US"/>
        </w:rPr>
        <w:t>R</w:t>
      </w:r>
      <w:r>
        <w:rPr>
          <w:rFonts w:eastAsia="Times New Roman" w:cs="Times New Roman" w:ascii="Liberation Serif" w:hAnsi="Liberation Serif"/>
          <w:lang w:val="en-US"/>
        </w:rPr>
        <w:t>E2Sub [</w:t>
      </w:r>
      <w:r>
        <w:rPr>
          <w:rStyle w:val="Emphasis"/>
          <w:rFonts w:eastAsia="Times New Roman" w:cs="Times New Roman" w:ascii="Liberation Serif" w:hAnsi="Liberation Serif"/>
          <w:lang w:val="en-US"/>
        </w:rPr>
        <w:t>F</w:t>
      </w:r>
      <w:r>
        <w:rPr>
          <w:rFonts w:eastAsia="Times New Roman" w:cs="Times New Roman" w:ascii="Liberation Serif" w:hAnsi="Liberation Serif"/>
          <w:lang w:val="en-US"/>
        </w:rPr>
        <w:t xml:space="preserve">(2, 20.51) = 111.416,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&lt; 0.001, η² = 0.794]. Post hoc comparisons revealed significant differences between the NS and LS groups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&lt; 0.001) and between the LS and RS groups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&lt; 0.001), whereas no significant difference was observed between the NS and RS groups (</w:t>
      </w:r>
      <w:r>
        <w:rPr>
          <w:rStyle w:val="Emphasis"/>
          <w:rFonts w:eastAsia="Times New Roman" w:cs="Times New Roman" w:ascii="Liberation Serif" w:hAnsi="Liberation Serif"/>
          <w:lang w:val="en-US"/>
        </w:rPr>
        <w:t>p</w:t>
      </w:r>
      <w:r>
        <w:rPr>
          <w:rFonts w:eastAsia="Times New Roman" w:cs="Times New Roman" w:ascii="Liberation Serif" w:hAnsi="Liberation Serif"/>
          <w:lang w:val="en-US"/>
        </w:rPr>
        <w:t xml:space="preserve"> = 0.843). The Bayesian ANOVA confirmed these findings by providing very strong evidence for group differences (BF₁₀ = 9.73 × 10⁸). Pairwise Bayesian </w:t>
      </w:r>
      <w:r>
        <w:rPr>
          <w:rStyle w:val="Emphasis"/>
          <w:rFonts w:eastAsia="Times New Roman" w:cs="Times New Roman" w:ascii="Liberation Serif" w:hAnsi="Liberation Serif"/>
          <w:lang w:val="en-US"/>
        </w:rPr>
        <w:t>t</w:t>
      </w:r>
      <w:r>
        <w:rPr>
          <w:rFonts w:eastAsia="Times New Roman" w:cs="Times New Roman" w:ascii="Liberation Serif" w:hAnsi="Liberation Serif"/>
          <w:lang w:val="en-US"/>
        </w:rPr>
        <w:t xml:space="preserve"> tests yielded very strong evidence supporting differences between the NS and LS groups (BF₁₀ = 4.39 × 10⁸) and between the LS and RS groups (BF₁₀ = 3.96 × 10⁵), whereas the comparison between the NS and RS groups favored the null hypothesis (BF₁₀ = 0.409).</w:t>
      </w:r>
    </w:p>
    <w:p>
      <w:pPr>
        <w:pStyle w:val="Header"/>
        <w:jc w:val="center"/>
        <w:rPr/>
      </w:pPr>
      <w:r>
        <w:rPr>
          <w:rStyle w:val="Strong"/>
        </w:rPr>
        <w:t>F</w:t>
      </w:r>
      <w:r>
        <w:rPr>
          <w:rStyle w:val="Strong"/>
        </w:rPr>
        <w:t xml:space="preserve">igure </w:t>
      </w:r>
      <w:r>
        <w:rPr>
          <w:rStyle w:val="Strong"/>
          <w:shd w:fill="FFFF00" w:val="clear"/>
        </w:rPr>
        <w:t>X</w:t>
      </w:r>
      <w:r>
        <w:rPr>
          <w:rStyle w:val="Strong"/>
        </w:rPr>
        <w:t>.</w:t>
      </w:r>
      <w:r>
        <w:rPr/>
        <w:t xml:space="preserve"> Manual asymmetry index (AI) for </w:t>
      </w:r>
      <w:r>
        <w:rPr>
          <w:rFonts w:eastAsia="Times New Roman" w:cs="Times New Roman" w:ascii="Liberation Serif" w:hAnsi="Liberation Serif"/>
          <w:lang w:val="en-US"/>
        </w:rPr>
        <w:t>ND/</w:t>
      </w:r>
      <w:r>
        <w:rPr>
          <w:rFonts w:eastAsia="Times New Roman" w:cs="Times New Roman" w:ascii="Liberation Serif" w:hAnsi="Liberation Serif"/>
          <w:lang w:val="en-US"/>
        </w:rPr>
        <w:t>R</w:t>
      </w:r>
      <w:r>
        <w:rPr>
          <w:rFonts w:eastAsia="Times New Roman" w:cs="Times New Roman" w:ascii="Liberation Serif" w:hAnsi="Liberation Serif"/>
          <w:lang w:val="en-US"/>
        </w:rPr>
        <w:t>E2Sub</w:t>
      </w:r>
      <w:r>
        <w:rPr/>
        <w:t xml:space="preserve"> across the NS, LS, and RS groups</w:t>
      </w:r>
    </w:p>
    <w:p>
      <w:pPr>
        <w:pStyle w:val="Header"/>
        <w:jc w:val="center"/>
        <w:rPr/>
      </w:pPr>
      <w:r>
        <w:rPr/>
      </w:r>
    </w:p>
    <w:p>
      <w:pPr>
        <w:pStyle w:val="Normal1"/>
        <w:ind w:firstLine="708"/>
        <w:jc w:val="both"/>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Normal1"/>
        <w:ind w:firstLine="708"/>
        <w:jc w:val="center"/>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Normal1"/>
        <w:spacing w:lineRule="auto" w:line="360" w:before="240" w:after="240"/>
        <w:jc w:val="both"/>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Normal1"/>
        <w:spacing w:lineRule="auto" w:line="360" w:before="240" w:after="240"/>
        <w:jc w:val="both"/>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Normal1"/>
        <w:spacing w:lineRule="auto" w:line="360" w:before="240" w:after="240"/>
        <w:jc w:val="both"/>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Normal1"/>
        <w:spacing w:lineRule="auto" w:line="360" w:before="240" w:after="240"/>
        <w:jc w:val="both"/>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Header"/>
        <w:jc w:val="both"/>
        <w:rPr/>
      </w:pPr>
      <w:r>
        <w:rPr>
          <w:rStyle w:val="Strong"/>
          <w:rFonts w:ascii="Liberation Serif" w:hAnsi="Liberation Serif"/>
          <w:sz w:val="20"/>
          <w:szCs w:val="20"/>
        </w:rPr>
        <w:t>Legend.</w:t>
      </w:r>
      <w:r>
        <w:rPr>
          <w:rFonts w:ascii="Liberation Serif" w:hAnsi="Liberation Serif"/>
          <w:sz w:val="20"/>
          <w:szCs w:val="20"/>
        </w:rPr>
        <w:t xml:space="preserve"> Boxes represent the interquartile range (IQR), the horizontal line within each box indicates the median, whiskers extend to 1.5 × IQR, and dots represent individual participants. The dashed horizontal line (AI = 0) indicates the absence of manual asymmetry. Significant pairwise differences identified by the Games–Howell post hoc test are indicated by brackets (</w:t>
      </w:r>
      <w:r>
        <w:rPr>
          <w:rStyle w:val="Emphasis"/>
          <w:rFonts w:ascii="Liberation Serif" w:hAnsi="Liberation Serif"/>
          <w:sz w:val="20"/>
          <w:szCs w:val="20"/>
        </w:rPr>
        <w:t>p</w:t>
      </w:r>
      <w:r>
        <w:rPr>
          <w:rFonts w:ascii="Liberation Serif" w:hAnsi="Liberation Serif"/>
          <w:sz w:val="20"/>
          <w:szCs w:val="20"/>
        </w:rPr>
        <w:t xml:space="preserve"> &lt; 0.05).</w:t>
      </w:r>
    </w:p>
    <w:p>
      <w:pPr>
        <w:pStyle w:val="Header"/>
        <w:jc w:val="both"/>
        <w:rPr>
          <w:rFonts w:ascii="Liberation Serif" w:hAnsi="Liberation Serif"/>
          <w:sz w:val="20"/>
          <w:szCs w:val="20"/>
        </w:rPr>
      </w:pPr>
      <w:r>
        <w:rPr>
          <w:rFonts w:ascii="Liberation Serif" w:hAnsi="Liberation Serif"/>
          <w:sz w:val="20"/>
          <w:szCs w:val="20"/>
        </w:rPr>
      </w:r>
    </w:p>
    <w:p>
      <w:pPr>
        <w:pStyle w:val="BodyText"/>
        <w:spacing w:lineRule="auto" w:line="360"/>
        <w:ind w:firstLine="708"/>
        <w:jc w:val="both"/>
        <w:rPr>
          <w:rFonts w:ascii="Liberation Serif" w:hAnsi="Liberation Serif" w:eastAsia="Times New Roman" w:cs="Times New Roman"/>
          <w:lang w:val="en-US"/>
        </w:rPr>
      </w:pPr>
      <w:r>
        <w:drawing>
          <wp:anchor behindDoc="0" distT="0" distB="0" distL="0" distR="0" simplePos="0" locked="0" layoutInCell="0" allowOverlap="1" relativeHeight="12">
            <wp:simplePos x="0" y="0"/>
            <wp:positionH relativeFrom="page">
              <wp:posOffset>850265</wp:posOffset>
            </wp:positionH>
            <wp:positionV relativeFrom="page">
              <wp:posOffset>3159760</wp:posOffset>
            </wp:positionV>
            <wp:extent cx="6358255" cy="2217420"/>
            <wp:effectExtent l="0" t="0" r="0" b="0"/>
            <wp:wrapSquare wrapText="bothSides"/>
            <wp:docPr id="7" name="Figura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6" descr="" title=""/>
                    <pic:cNvPicPr>
                      <a:picLocks noChangeAspect="1" noChangeArrowheads="1"/>
                    </pic:cNvPicPr>
                  </pic:nvPicPr>
                  <pic:blipFill>
                    <a:blip r:embed="rId8"/>
                    <a:stretch>
                      <a:fillRect/>
                    </a:stretch>
                  </pic:blipFill>
                  <pic:spPr bwMode="auto">
                    <a:xfrm>
                      <a:off x="0" y="0"/>
                      <a:ext cx="6358255" cy="2217420"/>
                    </a:xfrm>
                    <a:prstGeom prst="rect">
                      <a:avLst/>
                    </a:prstGeom>
                    <a:noFill/>
                  </pic:spPr>
                </pic:pic>
              </a:graphicData>
            </a:graphic>
          </wp:anchor>
        </w:drawing>
      </w:r>
      <w:r>
        <w:rPr>
          <w:rFonts w:eastAsia="Times New Roman" w:cs="Times New Roman" w:ascii="Liberation Serif" w:hAnsi="Liberation Serif"/>
          <w:lang w:val="en-US"/>
        </w:rPr>
        <w:t xml:space="preserve">Figure </w:t>
      </w:r>
      <w:r>
        <w:rPr>
          <w:rFonts w:eastAsia="Times New Roman" w:cs="Times New Roman" w:ascii="Liberation Serif" w:hAnsi="Liberation Serif"/>
          <w:shd w:fill="FFFF00" w:val="clear"/>
          <w:lang w:val="en-US"/>
        </w:rPr>
        <w:t xml:space="preserve">X </w:t>
      </w:r>
      <w:r>
        <w:rPr>
          <w:rFonts w:eastAsia="Times New Roman" w:cs="Times New Roman" w:ascii="Liberation Serif" w:hAnsi="Liberation Serif"/>
          <w:lang w:val="en-US"/>
        </w:rPr>
        <w:t>provides a descriptive illustration of the spatial distribution of movement trajectories for the left (LH) and right (RH) hands in the NS, LS, and RS groups. Endpoint positions (circles) and positions at the end of the primary submovement (crosses) are shown relative to the home position and target.</w:t>
      </w:r>
    </w:p>
    <w:p>
      <w:pPr>
        <w:pStyle w:val="BodyText"/>
        <w:spacing w:lineRule="auto" w:line="360"/>
        <w:ind w:firstLine="708"/>
        <w:jc w:val="center"/>
        <w:rPr>
          <w:rFonts w:ascii="Liberation Serif" w:hAnsi="Liberation Serif" w:eastAsia="Times New Roman" w:cs="Times New Roman"/>
          <w:lang w:val="en-US"/>
        </w:rPr>
      </w:pPr>
      <w:r>
        <w:rPr>
          <w:rStyle w:val="Strong"/>
          <w:rFonts w:eastAsia="Times New Roman" w:cs="Times New Roman" w:ascii="Liberation Serif" w:hAnsi="Liberation Serif"/>
          <w:lang w:val="en-US"/>
        </w:rPr>
        <w:t xml:space="preserve">Figure </w:t>
      </w:r>
      <w:r>
        <w:rPr>
          <w:rStyle w:val="Strong"/>
          <w:rFonts w:eastAsia="Times New Roman" w:cs="Times New Roman" w:ascii="Liberation Serif" w:hAnsi="Liberation Serif"/>
          <w:shd w:fill="FFFF00" w:val="clear"/>
          <w:lang w:val="en-US"/>
        </w:rPr>
        <w:t>X</w:t>
      </w:r>
      <w:r>
        <w:rPr>
          <w:rStyle w:val="Strong"/>
          <w:rFonts w:eastAsia="Times New Roman" w:cs="Times New Roman" w:ascii="Liberation Serif" w:hAnsi="Liberation Serif"/>
          <w:lang w:val="en-US"/>
        </w:rPr>
        <w:t xml:space="preserve">. </w:t>
      </w:r>
      <w:r>
        <w:rPr>
          <w:rStyle w:val="Strong"/>
          <w:rFonts w:eastAsia="Times New Roman" w:cs="Times New Roman" w:ascii="Liberation Serif" w:hAnsi="Liberation Serif"/>
          <w:b w:val="false"/>
          <w:bCs w:val="false"/>
          <w:lang w:val="en-US"/>
        </w:rPr>
        <w:t>Descriptive representation of the spatial distribution of movement trajectories across groups</w:t>
      </w:r>
    </w:p>
    <w:p>
      <w:pPr>
        <w:pStyle w:val="BodyText"/>
        <w:spacing w:lineRule="auto" w:line="360"/>
        <w:ind w:firstLine="708"/>
        <w:jc w:val="center"/>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BodyText"/>
        <w:spacing w:lineRule="auto" w:line="360"/>
        <w:ind w:hanging="0"/>
        <w:jc w:val="both"/>
        <w:rPr>
          <w:rFonts w:ascii="Liberation Serif" w:hAnsi="Liberation Serif" w:eastAsia="Times New Roman" w:cs="Times New Roman"/>
          <w:lang w:val="en-US"/>
        </w:rPr>
      </w:pPr>
      <w:r>
        <w:rPr>
          <w:rStyle w:val="Strong"/>
          <w:rFonts w:eastAsia="Times New Roman" w:cs="Times New Roman" w:ascii="Liberation Serif" w:hAnsi="Liberation Serif"/>
          <w:sz w:val="20"/>
          <w:szCs w:val="20"/>
          <w:lang w:val="en-US"/>
        </w:rPr>
        <w:t>Legend.</w:t>
      </w:r>
      <w:r>
        <w:rPr>
          <w:rFonts w:eastAsia="Times New Roman" w:cs="Times New Roman" w:ascii="Liberation Serif" w:hAnsi="Liberation Serif"/>
          <w:sz w:val="20"/>
          <w:szCs w:val="20"/>
          <w:lang w:val="en-US"/>
        </w:rPr>
        <w:t xml:space="preserve"> </w:t>
      </w:r>
      <w:r>
        <w:rPr>
          <w:rFonts w:eastAsia="Times New Roman" w:cs="Times New Roman" w:ascii="Liberation Serif" w:hAnsi="Liberation Serif"/>
          <w:sz w:val="20"/>
          <w:szCs w:val="20"/>
          <w:lang w:val="en-US"/>
        </w:rPr>
        <w:t>Each symbol represents the mean position of an individual participant for the left (LH) and right (RH) hands. Crosses indicate the position at the end of the primary submovement, whereas circles indicate the movement endpoint. The home position (0, 0) and target location (13.4, 13.4 cm) are shown for reference. This figure is presented for descriptive purposes only and complements the quantitative analyses reported in the text.</w:t>
      </w:r>
    </w:p>
    <w:p>
      <w:pPr>
        <w:pStyle w:val="BodyText"/>
        <w:spacing w:lineRule="auto" w:line="360"/>
        <w:ind w:firstLine="708"/>
        <w:jc w:val="both"/>
        <w:rPr>
          <w:rFonts w:ascii="Liberation Serif" w:hAnsi="Liberation Serif" w:eastAsia="Times New Roman" w:cs="Times New Roman"/>
          <w:lang w:val="en-US"/>
        </w:rPr>
      </w:pPr>
      <w:r>
        <w:rPr>
          <w:rFonts w:eastAsia="Times New Roman" w:cs="Times New Roman" w:ascii="Liberation Serif" w:hAnsi="Liberation Serif"/>
          <w:lang w:val="en-US"/>
        </w:rPr>
      </w:r>
    </w:p>
    <w:p>
      <w:pPr>
        <w:pStyle w:val="Normal1"/>
        <w:spacing w:lineRule="auto" w:line="360" w:before="240" w:after="240"/>
        <w:jc w:val="both"/>
        <w:rPr>
          <w:rFonts w:ascii="Liberation Serif" w:hAnsi="Liberation Serif" w:eastAsia="Times New Roman" w:cs="Times New Roman"/>
          <w:b/>
          <w:bCs/>
          <w:lang w:val="en-US"/>
        </w:rPr>
      </w:pPr>
      <w:r>
        <w:rPr>
          <w:rFonts w:eastAsia="Times New Roman" w:cs="Times New Roman" w:ascii="Liberation Serif" w:hAnsi="Liberation Serif"/>
          <w:b/>
          <w:bCs/>
          <w:lang w:val="en-US"/>
        </w:rPr>
        <w:t>Discussão</w:t>
      </w:r>
    </w:p>
    <w:p>
      <w:pPr>
        <w:pStyle w:val="Normal1"/>
        <w:spacing w:lineRule="auto" w:line="360" w:before="240" w:after="240"/>
        <w:jc w:val="both"/>
        <w:rPr/>
      </w:pPr>
      <w:r>
        <w:rPr>
          <w:rStyle w:val="DefaultParagraphFont"/>
          <w:rFonts w:eastAsia="Calibri" w:cs="Calibri" w:ascii="Liberation Serif" w:hAnsi="Liberation Serif"/>
          <w:lang w:val="en-US"/>
        </w:rPr>
        <w:t>- Efeito desempenho ER RS, aumenta a assimetria no sentido da mão menos afetada apresentar melhor desempenho</w:t>
      </w:r>
    </w:p>
    <w:p>
      <w:pPr>
        <w:pStyle w:val="Normal1"/>
        <w:spacing w:lineRule="auto" w:line="276"/>
        <w:jc w:val="both"/>
        <w:rPr/>
      </w:pPr>
      <w:r>
        <w:rPr>
          <w:rStyle w:val="DefaultParagraphFont"/>
          <w:rFonts w:eastAsia="Calibri" w:cs="Calibri" w:ascii="Liberation Serif" w:hAnsi="Liberation Serif"/>
          <w:lang w:val="en-US"/>
        </w:rPr>
        <w:t>- No LS a mão afetada tem maior FB que a mão não afeta.</w:t>
      </w:r>
    </w:p>
    <w:p>
      <w:pPr>
        <w:pStyle w:val="Normal1"/>
        <w:spacing w:lineRule="auto" w:line="276"/>
        <w:jc w:val="both"/>
        <w:rPr/>
      </w:pPr>
      <w:r>
        <w:rPr>
          <w:rStyle w:val="DefaultParagraphFont"/>
          <w:rFonts w:eastAsia="Calibri" w:cs="Calibri" w:ascii="Liberation Serif" w:hAnsi="Liberation Serif"/>
          <w:lang w:val="en-US"/>
        </w:rPr>
        <w:t xml:space="preserve"> </w:t>
      </w:r>
    </w:p>
    <w:p>
      <w:pPr>
        <w:pStyle w:val="Normal1"/>
        <w:spacing w:lineRule="auto" w:line="276"/>
        <w:jc w:val="both"/>
        <w:rPr/>
      </w:pPr>
      <w:r>
        <w:rPr>
          <w:rStyle w:val="DefaultParagraphFont"/>
          <w:rFonts w:eastAsia="Calibri" w:cs="Calibri" w:ascii="Liberation Serif" w:hAnsi="Liberation Serif"/>
          <w:lang w:val="en-US"/>
        </w:rPr>
        <w:t xml:space="preserve">- O AVC impacta, em termos de desempenho, mais questões espaciais do que temporais. Os resultados mostraram apenas diferenças no ER. Discutir a questão da distância da tarefa ser muito fácil  a ideia desfavorecer os aspectos temporais. </w:t>
      </w:r>
    </w:p>
    <w:p>
      <w:pPr>
        <w:pStyle w:val="Normal1"/>
        <w:spacing w:lineRule="auto" w:line="276"/>
        <w:jc w:val="both"/>
        <w:rPr/>
      </w:pPr>
      <w:r>
        <w:rPr>
          <w:rStyle w:val="DefaultParagraphFont"/>
          <w:rFonts w:eastAsia="Calibri" w:cs="Calibri" w:ascii="Liberation Serif" w:hAnsi="Liberation Serif"/>
          <w:lang w:val="en-US"/>
        </w:rPr>
        <w:t xml:space="preserve">- O AVC  em termos de desempenho impacta mais RS. Questão da lateralidade </w:t>
      </w:r>
    </w:p>
    <w:p>
      <w:pPr>
        <w:pStyle w:val="Normal1"/>
        <w:spacing w:lineRule="auto" w:line="276"/>
        <w:jc w:val="both"/>
        <w:rPr/>
      </w:pPr>
      <w:r>
        <w:rPr>
          <w:rStyle w:val="DefaultParagraphFont"/>
          <w:rFonts w:eastAsia="Calibri" w:cs="Calibri" w:ascii="Liberation Serif" w:hAnsi="Liberation Serif"/>
          <w:lang w:val="en-US"/>
        </w:rPr>
        <w:t>- Em termos de controle, o AVC impacta mais o LS, a mão afetada (direita) fica mais dependente do FB. Discutir a especialização hemisférica.</w:t>
      </w:r>
    </w:p>
    <w:p>
      <w:pPr>
        <w:pStyle w:val="Normal1"/>
        <w:spacing w:lineRule="auto" w:line="360" w:before="240" w:after="240"/>
        <w:jc w:val="both"/>
        <w:rPr>
          <w:rFonts w:ascii="Liberation Serif" w:hAnsi="Liberation Serif" w:eastAsia="Times New Roman" w:cs="Times New Roman"/>
          <w:color w:val="8DD873"/>
          <w:lang w:val="en-US"/>
        </w:rPr>
      </w:pPr>
      <w:r>
        <w:rPr>
          <w:rFonts w:eastAsia="Times New Roman" w:cs="Times New Roman" w:ascii="Liberation Serif" w:hAnsi="Liberation Serif"/>
          <w:color w:val="8DD873"/>
          <w:lang w:val="en-US"/>
        </w:rPr>
        <w:t xml:space="preserve">O presente estudo teve como objetivo investigar as assimetrias manuais de desempenho e de controle motor em indivíduos com AVC unilateral crônico. </w:t>
      </w:r>
    </w:p>
    <w:p>
      <w:pPr>
        <w:pStyle w:val="Normal1"/>
        <w:spacing w:lineRule="auto" w:line="360" w:before="240" w:after="240"/>
        <w:jc w:val="both"/>
        <w:rPr>
          <w:rFonts w:ascii="Liberation Serif" w:hAnsi="Liberation Serif" w:eastAsia="Times New Roman" w:cs="Times New Roman"/>
          <w:color w:val="D86DCB"/>
          <w:lang w:val="en-US"/>
        </w:rPr>
      </w:pPr>
      <w:r>
        <w:rPr>
          <w:rFonts w:eastAsia="Times New Roman" w:cs="Times New Roman" w:ascii="Liberation Serif" w:hAnsi="Liberation Serif"/>
          <w:color w:val="D86DCB"/>
          <w:lang w:val="en-US"/>
        </w:rPr>
        <w:t>Principal  achado do estudo</w:t>
      </w:r>
    </w:p>
    <w:p>
      <w:pPr>
        <w:pStyle w:val="Normal1"/>
        <w:spacing w:lineRule="auto" w:line="360" w:before="240" w:after="240"/>
        <w:jc w:val="both"/>
        <w:rPr>
          <w:rFonts w:ascii="Liberation Serif" w:hAnsi="Liberation Serif" w:eastAsia="Times New Roman" w:cs="Times New Roman"/>
          <w:color w:val="8DD873"/>
          <w:lang w:val="en-US"/>
        </w:rPr>
      </w:pPr>
      <w:r>
        <w:rPr>
          <w:rFonts w:eastAsia="Times New Roman" w:cs="Times New Roman" w:ascii="Liberation Serif" w:hAnsi="Liberation Serif"/>
          <w:color w:val="8DD873"/>
          <w:lang w:val="en-US"/>
        </w:rPr>
        <w:t>De maneira geral, os resultados demonstraram que o AVC impactou de maneira distinta os aspectos espaciais e temporais do movimento. Em termo de desempenho, diferenças entre os grupos foram observadas apenas para o erro radial (ER), sugerindo maior comprometimento dos aspectos espaciais do movimento no grupo com lesão no hemisfério direito. Em contrate, as variáveis temporais (TR e TM) não diferiram entre os grupos.  Em relação aos mecanismos de controle, os resultados indicaram maior dependência do feedback online no grupo com lesão no hemisfério esquerdo, enquanto o grupo com lesão no hemisfério direito apresentou maior assimetria no controle espacial do movimento.</w:t>
      </w:r>
    </w:p>
    <w:p>
      <w:pPr>
        <w:pStyle w:val="Normal1"/>
        <w:spacing w:lineRule="auto" w:line="360" w:before="240" w:after="240"/>
        <w:jc w:val="both"/>
        <w:rPr>
          <w:rFonts w:ascii="Liberation Serif" w:hAnsi="Liberation Serif" w:eastAsia="Times New Roman" w:cs="Times New Roman"/>
          <w:color w:val="D86DCB"/>
          <w:lang w:val="en-US"/>
        </w:rPr>
      </w:pPr>
      <w:r>
        <w:rPr>
          <w:rFonts w:eastAsia="Times New Roman" w:cs="Times New Roman" w:ascii="Liberation Serif" w:hAnsi="Liberation Serif"/>
          <w:color w:val="D86DCB"/>
          <w:lang w:val="en-US"/>
        </w:rPr>
        <w:t xml:space="preserve">Interpretação do resultado de acordo com a teoria </w:t>
      </w:r>
    </w:p>
    <w:p>
      <w:pPr>
        <w:pStyle w:val="Normal1"/>
        <w:spacing w:lineRule="auto" w:line="360" w:before="240" w:after="240"/>
        <w:jc w:val="both"/>
        <w:rPr>
          <w:rFonts w:ascii="Liberation Serif" w:hAnsi="Liberation Serif" w:eastAsia="Times New Roman" w:cs="Times New Roman"/>
          <w:color w:val="D86DCB"/>
          <w:lang w:val="en-US"/>
        </w:rPr>
      </w:pPr>
      <w:r>
        <w:rPr>
          <w:rFonts w:eastAsia="Times New Roman" w:cs="Times New Roman" w:ascii="Liberation Serif" w:hAnsi="Liberation Serif"/>
          <w:color w:val="D86DCB"/>
          <w:lang w:val="en-US"/>
        </w:rPr>
        <w:t xml:space="preserve">Discussão do mecanismo </w:t>
      </w:r>
    </w:p>
    <w:p>
      <w:pPr>
        <w:pStyle w:val="Normal1"/>
        <w:spacing w:lineRule="auto" w:line="360" w:before="240" w:after="240"/>
        <w:jc w:val="both"/>
        <w:rPr>
          <w:rFonts w:ascii="Liberation Serif" w:hAnsi="Liberation Serif" w:eastAsia="Times New Roman" w:cs="Times New Roman"/>
          <w:color w:val="D86DCB"/>
          <w:lang w:val="en-US"/>
        </w:rPr>
      </w:pPr>
      <w:r>
        <w:rPr>
          <w:rFonts w:eastAsia="Times New Roman" w:cs="Times New Roman" w:ascii="Liberation Serif" w:hAnsi="Liberation Serif"/>
          <w:color w:val="D86DCB"/>
          <w:lang w:val="en-US"/>
        </w:rPr>
        <w:t xml:space="preserve">Achados de estudos prévios </w:t>
      </w:r>
    </w:p>
    <w:p>
      <w:pPr>
        <w:pStyle w:val="Normal1"/>
        <w:spacing w:lineRule="auto" w:line="360" w:before="240" w:after="240"/>
        <w:jc w:val="both"/>
        <w:rPr>
          <w:rFonts w:ascii="Liberation Serif" w:hAnsi="Liberation Serif" w:eastAsia="Times New Roman" w:cs="Times New Roman"/>
          <w:color w:val="D86DCB"/>
          <w:lang w:val="en-US"/>
        </w:rPr>
      </w:pPr>
      <w:r>
        <w:rPr>
          <w:rFonts w:eastAsia="Times New Roman" w:cs="Times New Roman" w:ascii="Liberation Serif" w:hAnsi="Liberation Serif"/>
          <w:color w:val="D86DCB"/>
          <w:lang w:val="en-US"/>
        </w:rPr>
        <w:t xml:space="preserve">Resultados inesperados ou nulos </w:t>
      </w:r>
    </w:p>
    <w:p>
      <w:pPr>
        <w:pStyle w:val="Normal1"/>
        <w:spacing w:lineRule="auto" w:line="360" w:before="240" w:after="240"/>
        <w:jc w:val="both"/>
        <w:rPr>
          <w:rFonts w:ascii="Liberation Serif" w:hAnsi="Liberation Serif" w:eastAsia="Times New Roman" w:cs="Times New Roman"/>
          <w:color w:val="D86DCB"/>
          <w:lang w:val="en-US"/>
        </w:rPr>
      </w:pPr>
      <w:r>
        <w:rPr>
          <w:rFonts w:eastAsia="Times New Roman" w:cs="Times New Roman" w:ascii="Liberation Serif" w:hAnsi="Liberation Serif"/>
          <w:color w:val="D86DCB"/>
          <w:lang w:val="en-US"/>
        </w:rPr>
        <w:t xml:space="preserve">Implicações teóricas e estudos futuros </w:t>
      </w:r>
    </w:p>
    <w:p>
      <w:pPr>
        <w:pStyle w:val="Normal1"/>
        <w:spacing w:lineRule="auto" w:line="360" w:before="240" w:after="240"/>
        <w:jc w:val="both"/>
        <w:rPr>
          <w:rFonts w:ascii="Liberation Serif" w:hAnsi="Liberation Serif" w:eastAsia="Times New Roman" w:cs="Times New Roman"/>
          <w:color w:val="D86DCB"/>
          <w:lang w:val="en-US"/>
        </w:rPr>
      </w:pPr>
      <w:r>
        <w:rPr>
          <w:rFonts w:eastAsia="Times New Roman" w:cs="Times New Roman" w:ascii="Liberation Serif" w:hAnsi="Liberation Serif"/>
          <w:color w:val="D86DCB"/>
          <w:lang w:val="en-US"/>
        </w:rPr>
      </w:r>
    </w:p>
    <w:p>
      <w:pPr>
        <w:pStyle w:val="Normal1"/>
        <w:spacing w:lineRule="auto" w:line="360" w:before="240" w:after="240"/>
        <w:ind w:firstLine="708"/>
        <w:jc w:val="both"/>
        <w:rPr>
          <w:rFonts w:ascii="Liberation Serif" w:hAnsi="Liberation Serif" w:eastAsia="Times New Roman" w:cs="Times New Roman"/>
          <w:lang w:val="en-US"/>
        </w:rPr>
      </w:pPr>
      <w:r>
        <w:rPr>
          <w:rFonts w:eastAsia="Times New Roman" w:cs="Times New Roman" w:ascii="Liberation Serif" w:hAnsi="Liberation Serif"/>
          <w:lang w:val="en-US"/>
        </w:rPr>
        <w:t xml:space="preserve">O presente estudo teve como objetivo principal investigar as estratégias de controle motor associadas as assimetrias manuais em pessoas com Acidente Vascular Cerebral crônico. Foram levantadas hipóteses que, em linhas gerais, indicam que o lado da lesão poderia afetar de maneira distinta variáveis de desempenho e controle motor. De maneira geral, os resultados do presente suportam parcialmente as hipóteses levantadas. Os resultados revelaram que,  apenas na medida de erro radial (ER), houve direnças entre os grupos. O presente estudo avança, pois, os estudos sobre lesão unilateral em AVC costumam avaliar apenas a mão ipsilateral à lesão ou comparar grupos de lesão e controles (Haaland et al., 2009; Hermsdörfer et al., 1999; Schaefer; Haaland; Sainburg, 2007; Winstein; Pohl, 1995). Essas abordagens não revelam completamente como a lesão afeta o desempenho motor e os mecanismos de controle entre as mãos. Assumindo que ambas as mãos sofrem alterações após o AVC, a análise intra-sujeito permite identificar o efeito da lesão por meio da comparação entre a mão afetada e a não afetada.   </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No presente estudo, foram levantadas três hipóteses. A primeira hipótese postulava que indivíduos com lesão no hemisfério esquerdo (GLE) apresentariam menor assimetria no tempo de movimento (TM) e no erro radial (ER) em relação indivíduos com lesão no hemisfério direito (GLD) e grupo controle (GC). Essa hipótese foi parcialmente confirmada, pois em termos de TM não foram observadas diferenças significativas, mas no ER foram encontradas diferenças. Em termos de TM, alguns fatores podem explicar esse efeito sobre o TM. Estudos têm indicado que o braço ipsilesional também pode apresentar déficits após o AVC, o que pode reduzir a magnitude das diferenças esperadas (Haaland et al., 2009; Schaefer; Haaland; Sainburg, 2007; Winstein; Pohl, 1995). Por exemplo, o estudo de Schaefer (2009) demonstrou que lesões unilaterais apresentam TM prolongado em relação a controles, independentemente do lado.  Os déficits em ambas as mãos após o AVC  pode ser explicado pela compensação inter-hemisférica. A compensação inter-hemisférica descreve a inibição recíproca entre hemisférios via corpo caloso (Ferbert et al., 1992). Em termos funcionais, isso significa que a atividade de um hemisfério não ocorre de maneira isolada, mas é regulada também pela interação com o hemisfério oposto. Isso quer dizer, quando um hemisfério sofre lesão, pode haver um desequilíbrio inter-hemisférico, caracterizado por hipoatividade no hemisfério lesado e hiperatividade relativa no hemisfério contralesional (Grefkes; Fink, 2011; Stewart; Gordon; Winstein, 2014). Embora a comunicação inter-hemisférica envolva tanto mecanismos excitatórios quanto inibitórios, evidências indicam que, no domínio motor, a inibição recíproca tende a predominar, favorecendo a especialização hemisférica e reduzindo interferência funcional entre os hemisférios (Bloom; Hynd, 2005). No contexto após AVC, contudo, a persistência dessa inibição pode assumir caráter mal-adaptativo, uma vez que a hiperatividade do hemisfério não lesionado intensifica a supressão sobre áreas perilesionais preservadas, contribuindo para a manutenção de déficits motores mesmo na presença de potencial estrutural para recuperação (Grefkes &amp; Fink, 2011; Stewart et al., 2014).</w:t>
      </w:r>
    </w:p>
    <w:p>
      <w:pPr>
        <w:pStyle w:val="Normal1"/>
        <w:spacing w:lineRule="auto" w:line="360" w:before="240" w:after="160"/>
        <w:ind w:firstLine="708"/>
        <w:jc w:val="both"/>
        <w:rPr/>
      </w:pPr>
      <w:r>
        <w:rPr>
          <w:rStyle w:val="DefaultParagraphFont"/>
          <w:rFonts w:eastAsia="Times New Roman" w:cs="Times New Roman" w:ascii="Liberation Serif" w:hAnsi="Liberation Serif"/>
          <w:lang w:val="en-US"/>
        </w:rPr>
        <w:t xml:space="preserve">Já os resultados de ER são alinhados com as predições do presente estudo, pois o GLE apresentou uma menor assimetria em comparação ao GLD, mas sem diferenças quando comparado ao GC. A menor assimetria em GLE quando comparado ao GLD, pode ser explicada por meio de evidências de que lesões no hemisfério esquerdo comprometem a mão direita (Haaland et al., 2009; Winstein; Pohl, 1995). Isso é, diminui as diferenças no desempenho entre as mãos (assimetria), não por uma melhora da mão esquerda, mas por uma perda da superioridade intrínseca da mão direita em termos de precisão espacial (Haaland et al., 2009). Alguns estudos demonstram prejuízos no apontamento/alcance da mão direita em lesões à esquerda (Haaland et al., 2009; Winstein; Pohl, 1995), ou prejuízo na preensão palmar (Hermsdörfer et al., 1999). Essa interpretação é compatível com evidências de que movimentos realizados com a mão esquerda envolvem maior integração inter-hemisférica, ao passo que a mão direita depende de redes mais lateralizadas e eficientes (Fernandes et al., 2024). No entanto, os resultados das diferenças entre as mãos revelou que </w:t>
      </w:r>
    </w:p>
    <w:p>
      <w:pPr>
        <w:pStyle w:val="Normal1"/>
        <w:spacing w:lineRule="auto" w:line="360" w:before="240" w:after="160"/>
        <w:ind w:firstLine="708"/>
        <w:jc w:val="both"/>
        <w:rPr/>
      </w:pPr>
      <w:r>
        <w:rPr>
          <w:rStyle w:val="DefaultParagraphFont"/>
          <w:rFonts w:eastAsia="Times New Roman" w:cs="Times New Roman" w:ascii="Liberation Serif" w:hAnsi="Liberation Serif"/>
          <w:lang w:val="en-US"/>
        </w:rPr>
        <w:t>A lesão no hemisfério esquerdo compromete os mecanismos de planejamento da trajetória e coordenação multijoint da mão direita (Schaefer et al., 2009).</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 xml:space="preserve">Por outro lado, a maior assimetria observada no GLD sugere que, embora o HE intacto consiga manter o planejamento da trajetória da mão direita, a lesão no HD prejudica severamente a capacidade da mão esquerda de atingir alvos de forma estável, exacerbando a diferença entre os membros (Schaefer et al., 2009). Esse resultado é consistente com a hipótese de que o hemisfério direito exerce papel relevante na estabilização motora e no controle da precisão espacial, sobretudo na fase final da ação (Gazzaniga, 2000; Sperry, 1961). Assim, a lesão nesse hemisfério pode comprometer mais fortemente o desempenho da mão contralateral, ampliando a diferença entre as mãos. A interação observada entre mão e grupo reforça essa interpretação, pois mostrou que o prejuízo não foi difuso, mas se manifestou de forma mais evidente na mão esquerda do GLD em relação ao GC (Haaland et al., 2009; Schaefer et al., 2009). Em termos funcionais, isso sugere que o dano hemisférico direito afeta a precisão espacial de maneira mais pronunciada do que o dano hemisférico esquerdo. </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 xml:space="preserve">Por fim, a maior magnitude de erro radial observada nos grupos com AVC em comparação ao grupo controle indica que a lesão cerebral unilateral, por si só, já foi suficiente para comprometer a precisão espacial do movimento. Em outras palavras, o grupo controle apresentou um desempenho mais preciso, enquanto os grupos com lesão demonstraram maior dispersão em torno do alvo, o que indica comprometimento da calibração espacial da resposta motora. A ausência de diferença entre os grupos com lesão sugere que, o ER captou principalmente o efeito global da injúria cerebral, mas não foi sensível a origem hemisférica do déficit. Isso pode ocorrer porque o ER depende de múltiplos processos simultâneos, incluindo planejamento inicial, ajuste online, integração sensorial e estabilização terminal do membro, de modo que alterações em qualquer uma dessas etapas podem aumentar o erro (Winstein; Pohl, 1995; Hermsdorfer et al., 1999; Schaefer et al., 2009). </w:t>
      </w:r>
    </w:p>
    <w:p>
      <w:pPr>
        <w:pStyle w:val="Normal1"/>
        <w:spacing w:lineRule="auto" w:line="360" w:before="240" w:after="160"/>
        <w:ind w:firstLine="720"/>
        <w:jc w:val="both"/>
        <w:rPr>
          <w:rFonts w:ascii="Liberation Serif" w:hAnsi="Liberation Serif"/>
          <w:lang w:val="en-US"/>
        </w:rPr>
      </w:pPr>
      <w:r>
        <w:rPr>
          <w:rFonts w:ascii="Liberation Serif" w:hAnsi="Liberation Serif"/>
          <w:lang w:val="en-US"/>
        </w:rPr>
        <w:t>A hipótese de que o grupo com lesão no hemisfério direito (GLD) apresentaria menor assimetria no Tempo de Reação (TR) não foi confirmada. O presente estudo partia da premissa de que o dano à direita comprometeria a vantagem natural da mão esquerda (Carson et al., 1993; Fernandes et al., 2022). No entanto, no estudo de Fernandes (2024), demonstrou-se que a superioridade da mão esquerda (hemisfério direito) no TR se manifesta predominantemente em condições de elevada incerteza quanto à localização do alvo. Em contextos de alta previsibilidade como o caso do protocolo experimental deste estudo, a demanda por processamento visuoespacial imediato pelo hemisfério direito é mitigada. Desta forma, também não se observa diferença significativa em relação ao GLE indicando que houve preservação da eficiência das redes neurais lateralizadas do hemisfério esquerdo no planejamento e disparo (triggering) de sequências motoras (Winstein e Pohl., 1995).</w:t>
      </w:r>
    </w:p>
    <w:p>
      <w:pPr>
        <w:pStyle w:val="Normal1"/>
        <w:spacing w:lineRule="auto" w:line="360" w:before="240" w:after="160"/>
        <w:ind w:firstLine="720"/>
        <w:jc w:val="both"/>
        <w:rPr/>
      </w:pPr>
      <w:r>
        <w:rPr>
          <w:rFonts w:ascii="Liberation Serif" w:hAnsi="Liberation Serif"/>
          <w:lang w:val="en-US"/>
        </w:rPr>
        <w:t>De acordo com a especialização hemisférica, hemisfério direito é especializado no mapeamento espacial e na determinação da posição do efetor em relação ao alvo antes do início do movimento. Embora as projeções corticoespinhais para a musculatura distal dos membros sejam predominantemente contralaterais, estudos de neuroimagem funcional e eletrofisiologia confirmam que o planejamento e a execução de movimentos unimanuais recrutam redes em ambos os hemisférios cerebrais (Haaland et al., 2009). Essa ativação bilateral sugere que o cérebro opera de forma integrada, onde o hemisfério ipsilateral ao membro em movimento desempenha um papel contributivo (</w:t>
      </w:r>
      <w:r>
        <w:rPr>
          <w:rStyle w:val="DefaultParagraphFont"/>
          <w:rFonts w:eastAsia="Times New Roman" w:cs="Times New Roman" w:ascii="Liberation Serif" w:hAnsi="Liberation Serif"/>
          <w:lang w:val="en-US"/>
        </w:rPr>
        <w:t>Schaefer et al., 2009)</w:t>
      </w:r>
      <w:r>
        <w:rPr>
          <w:rStyle w:val="DefaultParagraphFont"/>
          <w:rFonts w:eastAsia="Times New Roman" w:cs="Times New Roman" w:ascii="Liberation Serif" w:hAnsi="Liberation Serif"/>
          <w:sz w:val="21"/>
          <w:szCs w:val="21"/>
          <w:lang w:val="en-US"/>
        </w:rPr>
        <w:t xml:space="preserve">.  </w:t>
      </w:r>
      <w:r>
        <w:rPr>
          <w:rStyle w:val="DefaultParagraphFont"/>
          <w:rFonts w:eastAsia="Times New Roman" w:cs="Times New Roman" w:ascii="Liberation Serif" w:hAnsi="Liberation Serif"/>
          <w:lang w:val="en-US"/>
        </w:rPr>
        <w:t xml:space="preserve">Em indivíduos saudáveis e destros, o movimento de uma das mãos faz com que o hemisfério contralateral exerça um efeito inibitório sobre o ipsilateral para evitar redundâncias e garantir a precisão da resposta motora. No entanto, essa inibição é assimétrica. De forma que, o movimento da mão direita (liderado pelo hemisfério esquerdo) gera uma inibição significativamente maior sobre o hemisfério direito do que o contrário (Fernandes et al., 2024). Essa dominância inibitória do hemisfério esquerdo reflete sua especialização consolidada em destros para o sequenciamento motor e controle temporal (Fernandes et al., 2024; Stewart et al., 2014). </w:t>
      </w:r>
    </w:p>
    <w:p>
      <w:pPr>
        <w:pStyle w:val="Normal1"/>
        <w:spacing w:lineRule="auto" w:line="360" w:before="240" w:after="160"/>
        <w:ind w:firstLine="720"/>
        <w:jc w:val="both"/>
        <w:rPr/>
      </w:pPr>
      <w:r>
        <w:rPr>
          <w:rStyle w:val="DefaultParagraphFont"/>
          <w:rFonts w:eastAsia="Times New Roman" w:cs="Times New Roman" w:ascii="Liberation Serif" w:hAnsi="Liberation Serif"/>
          <w:lang w:val="en-US"/>
        </w:rPr>
        <w:t xml:space="preserve">Quando ocorre um AVC, o dano não fica restrito à região afetada; ele desestabiliza a eficiência de toda a rede de comunicação inter-hemisférica (Stewart et al., 2014). A lesão em um hemisfério pode interromper as projeções calosais e as conexões cortico-corticais, forçando o sistema a depender excessivamente do hemisfério intacto </w:t>
      </w:r>
      <w:r>
        <w:rPr>
          <w:rFonts w:ascii="Liberation Serif" w:hAnsi="Liberation Serif"/>
          <w:lang w:val="en-US"/>
        </w:rPr>
        <w:t>(</w:t>
      </w:r>
      <w:r>
        <w:rPr>
          <w:rStyle w:val="DefaultParagraphFont"/>
          <w:rFonts w:eastAsia="Times New Roman" w:cs="Times New Roman" w:ascii="Liberation Serif" w:hAnsi="Liberation Serif"/>
          <w:lang w:val="en-US"/>
        </w:rPr>
        <w:t xml:space="preserve">Schaefer et al., 2009). Dessa forma, o comprometimento motor é considerado sistêmico por dois motivos principais. Primeiramente é esperado que ambas as mãos sofram alterações após uma lesão unilateral, pois a rede de planejamento que atende a ambos os membros foi degradada (Schaffer e Sainburg., 2017). Adicionalmente, pessoas com lesão no hemisfério direito, por exemplo, podem manter a eficiência do movimento utilizando o hemisfério esquerdo intacto, mas isso ocorre ao custo de uma preparação temporal mais lenta </w:t>
      </w:r>
      <w:r>
        <w:rPr>
          <w:rFonts w:ascii="Liberation Serif" w:hAnsi="Liberation Serif"/>
          <w:lang w:val="en-US"/>
        </w:rPr>
        <w:t>(</w:t>
      </w:r>
      <w:r>
        <w:rPr>
          <w:rStyle w:val="DefaultParagraphFont"/>
          <w:rFonts w:eastAsia="Times New Roman" w:cs="Times New Roman" w:ascii="Liberation Serif" w:hAnsi="Liberation Serif"/>
          <w:lang w:val="en-US"/>
        </w:rPr>
        <w:t xml:space="preserve">Schaefer et al., 2009). Dessa forma, TR pode funcionar como um marcador da perda de eficiência na comunicação inter-hemisférica.  </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Por fim, a terceira hipótese levantada foi que o GLE apresentaria menor assimetria no mecanismo de pré-programação em relação ao GC, em razão da diminuição da participação desse mecanismo na mão direita. Enquanto o GLD apresentaria padrão análogo devido à redução do envolvimento da mão esquerda em ajustes mediados por feedback online e, consequentemente, maior utilização do mecanismo de pré-programação.</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 xml:space="preserve">No entanto, essa hipótese não foi confirmada, uma vez que não foram observadas diferenças entre os grupos nas variáveis PV, TRPV, NC e ER1Sub, indicando que a magnitude da assimetria manual foi semelhante entre indivíduos após AVC e participantes neurologicamente saudáveis. </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Uma possível explicação para esses resultados está relacionada às características da tarefa empregada. Os modelos de especialização hemisférica e dominância dinâmica propõem que diferenças entre os membros tendem a emergir em tarefas que impõem elevadas demandas de planejamento motor, adaptação dinâmica ou correções rápidas frente a perturbações ambientais (Carson et al., 1993; Elliott et al., 1999; Elliott et al., 2001; Elliott et al., 2010; Sainburg, 2002). No presente estudo, entretanto, os participantes realizaram movimentos de apontamento em um contexto relativamente previsível, com alvo conhecido previamente, exigências espaciais constantes e disponibilidade contínua de informação visual. Essas características podem ter reduzido a necessidade de recrutamento diferencial dos mecanismos normalmente associados às especializações funcionais de cada hemisfério (Sainburg, 2002; Lavrysen et al., 2012; Fernandes et al., 2024).</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Além disso, a tarefa utilizada permitia que os participantes utilizassem simultaneamente processos de planejamento e mecanismos de correção mediados por feedback visual. De acordo com o modelo clássico proposto por Woodworth (1899), movimentos direcionados ao alvo resultam da interação entre uma fase inicial predominantemente associada à pré-programação e uma fase posterior caracterizada pela utilização de informações sensoriais para correção de erros. Dessa forma, quando a informação visual permanece disponível durante toda a execução do movimento, o sistema nervoso pode monitorar continuamente a trajetória realizada e ajustar o comportamento em função dos erros detectados (Woodworth, 1899; Elliott et al., 2001; Elliott et al., 2010). Assim, diferenças iniciais decorrentes de mecanismos especializados de planejamento podem ser compensadas ao longo da execução do movimento, contribuindo para a redução das assimetrias observadas ao final da tarefa.</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Essa interpretação é particularmente relevante porque as variáveis analisadas refletem o produto final do desempenho motor e não necessariamente os processos neurais específicos responsáveis por sua geração (Elliott et al., 2001). Dessa forma, desempenhos comportamentais semelhantes podem ser alcançados por meio de estratégias neurais distintas. Em outras palavras, a ausência de diferenças significativas entre os grupos não implica necessariamente ausência de especialização hemisférica, mas pode indicar que as exigências impostas pela tarefa não foram suficientes para revelar essas diferenças funcionais.</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Além das características da tarefa, os resultados também podem ser interpretados à luz dos processos de reorganização neural após AVC. Embora as evidências clássicas sobre especialização hemisférica tenham demonstrado contribuições diferenciadas dos hemisférios cerebrais para diversos processos cognitivos e motores (Sperry, 1961; Gazzaniga, 2000; Gazzaniga, 2005), estudos mais recentes indicam que essas relações tornam-se mais complexas após uma lesão cerebral adquirida, em função dos processos de reorganização neural desencadeados pelo AVC (Hutsler e Galuske, 2003; Stewart, Gordon e Winstein, 2014). A recuperação funcional não depende exclusivamente da integridade das regiões lesionadas, mas também da capacidade do sistema nervoso de reorganizar padrões de conectividade e recrutar circuitos alternativos para sustentar o desempenho motor (Teasell et al., 2009; Pollock et al., 2014; Stewart, Gordon e Winstein, 2014).</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Estudos de neuroimagem e neurofisiologia têm demonstrado que indivíduos após AVC frequentemente apresentam aumento da participação de regiões corticais preservadas, alterações na comunicação inter-hemisférica e recrutamento de áreas adicionais durante a execução de tarefas motoras (Gazzaniga, 2000; Gazzaniga, 2005; Stewart, Gordon e Winstein, 2014). Essas modificações sugerem que a recuperação motora envolve a formação de redes funcionais mais distribuídas, reduzindo a dependência exclusiva dos sistemas originalmente responsáveis pelo controle do movimento (Hutsler e Galuske, 2003; Stewart, Gordon e Winstein, 2014). Considerando que os participantes avaliados encontravam-se em fase crônica após AVC, os efeitos observados no comportamento motor refletem não apenas as consequências diretas da lesão, mas também anos de adaptação neural, prática motora e exposição às atividades da vida diária (Teasell et al., 2009; Pollock et al., 2014). Consequentemente, o desempenho observado pode representar o resultado de processos compensatórios desenvolvidos ao longo do tempo, capazes de minimizar diferenças entre os membros e reduzir a magnitude das assimetrias motoras (Taub et al., 1993; Wolf et al., 2006; Pollock et al., 2014).</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Adicionalmente, déficits relacionados ao planejamento motor, à coordenação temporal e à organização espacial do movimento também têm sido descritos no membro ipsilesional após lesões unilaterais (Winstein e Pohl, 1995; Hermsdörfer et al., 1999; Swinnen et al., 2002; Haaland et al., 2009). Esses achados reforçam a ideia de que ambos os hemisférios contribuem para o controle dos dois membros superiores e sugerem que a redução das assimetrias observadas pode refletir adaptações bilaterais do sistema motor, e não exclusivamente a recuperação do membro mais comprometido.</w:t>
      </w:r>
    </w:p>
    <w:p>
      <w:pPr>
        <w:pStyle w:val="Normal1"/>
        <w:spacing w:lineRule="auto" w:line="360" w:before="240" w:after="160"/>
        <w:ind w:firstLine="720"/>
        <w:jc w:val="both"/>
        <w:rPr>
          <w:rFonts w:ascii="Liberation Serif" w:hAnsi="Liberation Serif" w:eastAsia="Times New Roman" w:cs="Times New Roman"/>
          <w:lang w:val="en-US"/>
        </w:rPr>
      </w:pPr>
      <w:r>
        <w:rPr>
          <w:rFonts w:eastAsia="Times New Roman" w:cs="Times New Roman" w:ascii="Liberation Serif" w:hAnsi="Liberation Serif"/>
          <w:lang w:val="en-US"/>
        </w:rPr>
        <w:t>Embora tenha sido observada diferença entre os grupos para a assimetria da Áreaacel2sub, esse resultado deve ser interpretado com cautela. Primeiramente, a direção da assimetria não foi investigada, impossibilitando determinar qual membro contribuiu para o efeito observado. Além disso, as demais variáveis de assimetria associadas aos mecanismos de pré-programação e controle online não apresentaram diferenças entre os grupos. Dessa forma, o achado pode refletir uma alteração específica relacionada à dinâmica do segundo submovimento, sem evidências de uma modificação generalizada dos mecanismos de lateralização motora. A interpretação desse resultado torna-se ainda mais limitada considerando que a Áreaacel2sub representa uma medida indireta dos processos de ajuste do movimento e que não foram observadas diferenças concomitantes em outras variáveis tradicionalmente associadas ao controle da trajetória e às correções online.</w:t>
      </w:r>
    </w:p>
    <w:p>
      <w:pPr>
        <w:pStyle w:val="Normal1"/>
        <w:spacing w:lineRule="auto" w:line="360" w:before="240" w:after="160"/>
        <w:ind w:firstLine="720"/>
        <w:jc w:val="both"/>
        <w:rPr/>
      </w:pPr>
      <w:r>
        <w:rPr>
          <w:rStyle w:val="DefaultParagraphFont"/>
          <w:rFonts w:eastAsia="Times New Roman" w:cs="Times New Roman" w:ascii="Liberation Serif" w:hAnsi="Liberation Serif"/>
          <w:lang w:val="en-US"/>
        </w:rPr>
        <w:t xml:space="preserve">Para o presente estudo, devemos considerar também a heterogeneidade no nível de comprometimento motor, visto que isso pode modular o grau de assimetria, já que indivíduos com diferentes severidades de lesão tendem a adotar estratégias distintas para controlar o movimento (Pollock et al., 2014). A amostra foi composta por pessoas com diferentes níveis de severidade do comprometimento motor sendo 12,5% classificados como grave, 37,5% moderado e 50% leve. Por tanto, essa heterogeneidade pode ter mascarado qualquer tipo de efeito do lado de lesão na assimetria (Haaland et al., 2009; Schaefer; Haaland; Sainburg, 2007). Se por um lado a heterogeneidade pode ser compreendida como uma limitação para encontrar efeito estatístico, por outro lado, pode ser visto como avanço em termos de estudos com pessoas com AVC (Winstein; Varghese, 2018). Diversos estudos não tem incluído pessoas classificadas como grave (Stewart; Gordon; Winstein, 2014; Varghese et al., 2020) ou moderada (Hasanbarani et al., 2021). O presente estudo avança em investigar diferentes níveis de severidade. Isto pois, pessoas com níveis graves representam em torno de 30% dos casos de AVC (Khan et al., 2022); desta forma, compreender os mecanismos relacionados à essa parcela da população com AVC torna-se importante. </w:t>
      </w:r>
    </w:p>
    <w:p>
      <w:pPr>
        <w:pStyle w:val="LO-normal"/>
        <w:spacing w:lineRule="auto" w:line="360" w:before="240" w:after="160"/>
        <w:ind w:firstLine="720"/>
        <w:jc w:val="both"/>
        <w:rPr/>
      </w:pPr>
      <w:r>
        <w:rPr>
          <w:rStyle w:val="DefaultParagraphFont"/>
          <w:rFonts w:eastAsia="Times New Roman" w:cs="Times New Roman" w:ascii="Liberation Serif" w:hAnsi="Liberation Serif"/>
          <w:sz w:val="24"/>
          <w:szCs w:val="24"/>
          <w:lang w:val="en-US"/>
        </w:rPr>
        <w:t xml:space="preserve">Adicionalmente, o presente estudou tentou controlar o nível de severidade por meio do pareamento dos diferentes níveis entre os grupos. Para classificação dos diferentes níveis de severidade foi utilizado o teste Fugl-Meyer, como indicado anteriormente. Contudo, o teste Fugl-Meyer parece não ser sensível para discriminar a performance na tarefa motora específica (apontamento) do presente estudo. Desta forma, alguns participantes classificados, em termos de severidade, como moderado (37,5%) ou até mesmo como leve (50%) foram excluídos da amostra final pois não conseguiram realizar a tarefa de apontamento. </w:t>
      </w:r>
    </w:p>
    <w:p>
      <w:pPr>
        <w:pStyle w:val="LO-normal"/>
        <w:spacing w:lineRule="auto" w:line="360" w:before="240" w:after="160"/>
        <w:ind w:firstLine="720"/>
        <w:jc w:val="both"/>
        <w:rPr/>
      </w:pPr>
      <w:r>
        <w:rPr>
          <w:rStyle w:val="DefaultParagraphFont"/>
          <w:rFonts w:eastAsia="Times New Roman" w:cs="Times New Roman" w:ascii="Liberation Serif" w:hAnsi="Liberation Serif"/>
          <w:sz w:val="24"/>
          <w:szCs w:val="24"/>
          <w:lang w:val="en-US"/>
        </w:rPr>
        <w:t>Sugere-se que estudos futuros investiguem a relação entre testes funcionais clínicos e o desempenho em tarefas motoras específicas, particularmente aquelas que exigem controle visuomotor, como as tarefas de apontamento. Escalas amplamente utilizadas na prática clínica, como o Fugl-Meyer para membro superior, são eficazes para quantificar o grau global de comprometimento motor após o AVC, porém podem apresentar sensibilidade limitada para detectar déficits sutis de controle temporal e espacial envolvidos em tarefas direcionadas ao alvo. Indivíduos com pontuações elevadas em escalas funcionais podem ainda apresentar alterações no desempenho em tarefas específicas de alcance e apontamento, sugerindo uma transferência parcial entre o desempenho clínico avaliado por escalas e a execução de ações motoras orientadas à meta (Winstein &amp; Pohl, 1995; Stewart, Gordon &amp; Winstein, 2014). Nesse sentido, investigações futuras devem examinar em que medida os escores de testes funcionais representam efetivamente o desempenho em tarefas motoras específicas, bem como sua capacidade de captar mudanças funcionais relevantes ao longo do processo de recuperação.</w:t>
      </w:r>
    </w:p>
    <w:sectPr>
      <w:headerReference w:type="even" r:id="rId9"/>
      <w:headerReference w:type="default" r:id="rId10"/>
      <w:type w:val="nextPage"/>
      <w:pgSz w:w="11906" w:h="16838"/>
      <w:pgMar w:left="1440" w:right="1440" w:gutter="0" w:header="1440" w:top="1999" w:footer="0" w:bottom="1440"/>
      <w:lnNumType w:countBy="1" w:restart="continuous" w:distance="283"/>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Guest User" w:date="2026-06-06T11:03:00Z" w:initials="">
    <w:p>
      <w:pPr>
        <w:overflowPunct w:val="false"/>
        <w:spacing w:before="0" w:after="0" w:lineRule="auto" w:line="240"/>
        <w:rPr/>
      </w:pPr>
      <w:r>
        <w:rPr>
          <w:rFonts w:cs="DejaVu Sans" w:ascii="Liberation Serif" w:hAnsi="Liberation Serif" w:eastAsia="DejaVu Sans"/>
          <w:lang w:bidi="en-US" w:eastAsia="en-US" w:val="en-US"/>
        </w:rPr>
        <w:t>Descrever aqui dois estudos do Saiburg</w:t>
      </w:r>
    </w:p>
  </w:comment>
  <w:comment w:id="1" w:author="Guest User" w:date="2026-06-08T18:25:00Z" w:initials="">
    <w:p>
      <w:pPr>
        <w:overflowPunct w:val="false"/>
        <w:spacing w:before="0" w:after="0" w:lineRule="auto" w:line="240"/>
        <w:rPr/>
      </w:pPr>
      <w:r>
        <w:rPr>
          <w:rFonts w:cs="DejaVu Sans" w:ascii="Liberation Serif" w:hAnsi="Liberation Serif" w:eastAsia="DejaVu Sans"/>
          <w:lang w:bidi="en-US" w:eastAsia="en-US" w:val="en-US"/>
        </w:rPr>
        <w:t>Confirma isso, fazendo favor, na sua dissrtação está</w:t>
      </w:r>
    </w:p>
    <w:p>
      <w:pPr>
        <w:overflowPunct w:val="false"/>
        <w:spacing w:before="0" w:after="0" w:lineRule="auto" w:line="240"/>
        <w:rPr/>
      </w:pPr>
      <w:r>
        <w:rPr>
          <w:rFonts w:cs="DejaVu Sans" w:ascii="Liberation Serif" w:hAnsi="Liberation Serif" w:eastAsia="DejaVu Sans"/>
          <w:lang w:bidi="en-US" w:val="en-US" w:eastAsia="en-US"/>
        </w:rPr>
        <w:t>"Além disso, 35 indivíduos não puderam ser incluídos por falta de interesse, dificuldades de deslocamento ou ausência de contato, resultando em *41 participantes* convidados para participar do estudo. Nessa etapa, *8* não compareceram à avaliação, *4* foram excluídos por não conseguiram realizar ou completar a tarefa e *7* foram excluídos por falhas técnicas no salvamento dos dados (FIGURA 2). "</w:t>
      </w:r>
    </w:p>
    <w:p>
      <w:pPr>
        <w:overflowPunct w:val="false"/>
        <w:spacing w:before="0" w:after="0" w:lineRule="auto" w:line="240"/>
        <w:rPr/>
      </w:pPr>
      <w:r>
        <w:rPr>
          <w:rFonts w:cs="DejaVu Sans" w:ascii="Liberation Serif" w:hAnsi="Liberation Serif" w:eastAsia="DejaVu Sans"/>
          <w:lang w:bidi="en-US" w:val="en-US" w:eastAsia="en-US"/>
        </w:rPr>
      </w:r>
    </w:p>
    <w:p>
      <w:pPr>
        <w:overflowPunct w:val="false"/>
        <w:spacing w:before="0" w:after="0" w:lineRule="auto" w:line="240"/>
        <w:rPr/>
      </w:pPr>
      <w:r>
        <w:rPr>
          <w:rFonts w:cs="DejaVu Sans" w:ascii="Liberation Serif" w:hAnsi="Liberation Serif" w:eastAsia="DejaVu Sans"/>
          <w:lang w:bidi="en-US" w:val="en-US" w:eastAsia="en-US"/>
        </w:rPr>
        <w:t>41 - (8+7+4) é igual a 22. Sua amostra com stroke é 25 (12+13)</w:t>
      </w:r>
    </w:p>
    <w:p>
      <w:pPr>
        <w:overflowPunct w:val="false"/>
        <w:spacing w:before="0" w:after="0" w:lineRule="auto" w:line="240"/>
        <w:rPr/>
      </w:pPr>
      <w:r>
        <w:rPr>
          <w:rFonts w:cs="DejaVu Sans" w:ascii="Liberation Serif" w:hAnsi="Liberation Serif" w:eastAsia="DejaVu Sans"/>
          <w:lang w:bidi="en-US" w:val="en-US" w:eastAsia="en-US"/>
        </w:rPr>
      </w:r>
    </w:p>
    <w:p>
      <w:pPr>
        <w:overflowPunct w:val="false"/>
        <w:spacing w:before="0" w:after="0" w:lineRule="auto" w:line="240"/>
        <w:rPr/>
      </w:pPr>
      <w:r>
        <w:rPr>
          <w:rFonts w:cs="DejaVu Sans" w:ascii="Liberation Serif" w:hAnsi="Liberation Serif" w:eastAsia="DejaVu Sans"/>
          <w:lang w:bidi="en-US" w:val="en-US" w:eastAsia="en-US"/>
        </w:rPr>
        <w:t xml:space="preserve">Além disso, coloque, fazendo favor quais destes 41 eram lesão esquerda e direita. </w:t>
      </w:r>
    </w:p>
    <w:p>
      <w:pPr>
        <w:overflowPunct w:val="false"/>
        <w:spacing w:before="0" w:after="0" w:lineRule="auto" w:line="240"/>
        <w:rPr/>
      </w:pPr>
      <w:r>
        <w:rPr>
          <w:rFonts w:cs="DejaVu Sans" w:ascii="Liberation Serif" w:hAnsi="Liberation Serif" w:eastAsia="DejaVu Sans"/>
          <w:lang w:bidi="en-US" w:val="en-US" w:eastAsia="en-US"/>
        </w:rPr>
      </w:r>
    </w:p>
    <w:p>
      <w:pPr>
        <w:overflowPunct w:val="false"/>
        <w:spacing w:before="0" w:after="0" w:lineRule="auto" w:line="240"/>
        <w:rPr/>
      </w:pPr>
      <w:r>
        <w:rPr>
          <w:rFonts w:cs="DejaVu Sans" w:ascii="Liberation Serif" w:hAnsi="Liberation Serif" w:eastAsia="DejaVu Sans"/>
          <w:lang w:bidi="en-US" w:val="en-US" w:eastAsia="en-US"/>
        </w:rPr>
        <w:t>Alterei para 40 para ficar redondinho</w:t>
      </w:r>
    </w:p>
  </w:comment>
  <w:comment w:id="2" w:author="Guest User" w:date="2026-06-11T15:35:00Z" w:initials="">
    <w:p>
      <w:pPr>
        <w:overflowPunct w:val="false"/>
        <w:spacing w:before="0" w:after="0" w:lineRule="auto" w:line="240"/>
        <w:rPr/>
      </w:pPr>
      <w:r>
        <w:rPr>
          <w:rFonts w:cs="DejaVu Sans" w:ascii="Liberation Serif" w:hAnsi="Liberation Serif" w:eastAsia="DejaVu Sans"/>
          <w:lang w:bidi="en-US" w:eastAsia="en-US" w:val="en-US"/>
        </w:rPr>
        <w:t>Ver Fernandes 2024</w:t>
      </w:r>
    </w:p>
  </w:comment>
  <w:comment w:id="3" w:author="Autor desconhecido" w:date="2026-06-15T10:25:43Z" w:initials="">
    <w:p>
      <w:pPr>
        <w:overflowPunct w:val="false"/>
        <w:spacing w:before="0" w:after="0" w:lineRule="auto" w:line="240"/>
        <w:rPr/>
      </w:pPr>
      <w:r>
        <w:rPr>
          <w:rFonts w:cs="DejaVu Sans" w:ascii="Liberation Serif" w:hAnsi="Liberation Serif" w:eastAsia="DejaVu Sans"/>
          <w:lang w:bidi="en-US" w:eastAsia="en-US" w:val="en-US"/>
        </w:rPr>
        <w:t>Precisamos ver se essa imagem tem direitos autorais</w:t>
      </w:r>
    </w:p>
  </w:comment>
  <w:comment w:id="4" w:author="Autor desconhecido" w:date="2026-06-15T14:56:03Z" w:initials="">
    <w:p>
      <w:pPr>
        <w:overflowPunct w:val="false"/>
        <w:spacing w:lineRule="auto" w:line="240" w:before="238" w:after="198"/>
        <w:rPr/>
      </w:pPr>
      <w:r>
        <w:rPr>
          <w:rFonts w:cs="DejaVu Sans" w:ascii="Liberation Serif" w:hAnsi="Liberation Serif" w:eastAsia="DejaVu Sans"/>
          <w:sz w:val="20"/>
          <w:szCs w:val="20"/>
          <w:lang w:bidi="en-US" w:eastAsia="en-US" w:val="en-US"/>
        </w:rPr>
        <w:t>Jeffreys, H. (1961). Theory of Probability (3rd ed.). Oxford University Press.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esquerda"/>
      <w:jc w:val="end"/>
      <w:rPr/>
    </w:pPr>
    <w:bookmarkStart w:id="0" w:name="PageNumWizard_HEADER_MP01"/>
    <w:r>
      <w:rPr/>
      <w:fldChar w:fldCharType="begin"/>
    </w:r>
    <w:r>
      <w:rPr/>
      <w:instrText xml:space="preserve"> PAGE </w:instrText>
    </w:r>
    <w:r>
      <w:rPr/>
      <w:fldChar w:fldCharType="separate"/>
    </w:r>
    <w:r>
      <w:rPr/>
      <w:t>28</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Arial"/>
        <w:sz w:val="24"/>
        <w:szCs w:val="24"/>
        <w:lang w:val="pt-BR" w:eastAsia="en-US" w:bidi="ar-SA"/>
      </w:rPr>
    </w:rPrDefault>
    <w:pPrDefault>
      <w:pPr>
        <w:widowControl/>
        <w:suppressAutoHyphens w:val="false"/>
        <w:spacing w:lineRule="auto" w:line="278"/>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8" w:before="0" w:after="160"/>
      <w:jc w:val="start"/>
    </w:pPr>
    <w:rPr>
      <w:rFonts w:ascii="Times New Roman" w:hAnsi="Times New Roman" w:eastAsia="Times New Roman"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pt-BR" w:eastAsia="en-US" w:bidi="ar-SA"/>
    </w:rPr>
  </w:style>
  <w:style w:type="paragraph" w:styleId="Heading3">
    <w:name w:val="heading 3"/>
    <w:basedOn w:val="Normal1"/>
    <w:next w:val="Normal1"/>
    <w:qFormat/>
    <w:pPr>
      <w:keepNext w:val="true"/>
      <w:keepLines/>
      <w:numPr>
        <w:ilvl w:val="2"/>
        <w:numId w:val="1"/>
      </w:numPr>
      <w:suppressAutoHyphens w:val="true"/>
      <w:spacing w:before="160" w:after="80"/>
      <w:outlineLvl w:val="2"/>
    </w:pPr>
    <w:rPr>
      <w:rFonts w:eastAsia="MS Gothic" w:cs="Times New Roman"/>
      <w:color w:val="0F4761"/>
      <w:sz w:val="28"/>
      <w:szCs w:val="28"/>
    </w:rPr>
  </w:style>
  <w:style w:type="character" w:styleId="DefaultParagraphFont">
    <w:name w:val="Default Paragraph Font"/>
    <w:qFormat/>
    <w:rPr/>
  </w:style>
  <w:style w:type="character" w:styleId="Hyperlink1">
    <w:name w:val="Hyperlink1"/>
    <w:qFormat/>
    <w:rPr>
      <w:color w:val="467886"/>
      <w:u w:val="single"/>
    </w:rPr>
  </w:style>
  <w:style w:type="character" w:styleId="CommentTextChar">
    <w:name w:val="Comment Text Char"/>
    <w:basedOn w:val="DefaultParagraphFont"/>
    <w:qFormat/>
    <w:rPr>
      <w:sz w:val="20"/>
      <w:szCs w:val="20"/>
    </w:rPr>
  </w:style>
  <w:style w:type="character" w:styleId="CommentReference">
    <w:name w:val="Comment Reference"/>
    <w:basedOn w:val="DefaultParagraphFont"/>
    <w:qFormat/>
    <w:rPr>
      <w:sz w:val="16"/>
      <w:szCs w:val="16"/>
    </w:rPr>
  </w:style>
  <w:style w:type="character" w:styleId="Hyperlink">
    <w:name w:val="Hyperlink"/>
    <w:rPr>
      <w:color w:val="000080"/>
      <w:u w:val="single"/>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8" w:before="0" w:after="160"/>
      <w:jc w:val="start"/>
    </w:pPr>
    <w:rPr>
      <w:rFonts w:ascii="Times New Roman" w:hAnsi="Times New Roman" w:eastAsia="Times New Roman"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pt-BR" w:eastAsia="en-US" w:bidi="ar-SA"/>
    </w:rPr>
  </w:style>
  <w:style w:type="paragraph" w:styleId="LO-normal">
    <w:name w:val="LO-normal"/>
    <w:basedOn w:val="Normal1"/>
    <w:qFormat/>
    <w:pPr>
      <w:suppressAutoHyphens w:val="true"/>
      <w:spacing w:lineRule="auto" w:line="257"/>
    </w:pPr>
    <w:rPr>
      <w:rFonts w:eastAsia="MS Mincho"/>
      <w:sz w:val="22"/>
      <w:szCs w:val="22"/>
    </w:rPr>
  </w:style>
  <w:style w:type="paragraph" w:styleId="CommentText">
    <w:name w:val="Comment Text"/>
    <w:basedOn w:val="Normal1"/>
    <w:qFormat/>
    <w:pPr>
      <w:suppressAutoHyphens w:val="true"/>
      <w:spacing w:lineRule="auto" w:line="240"/>
    </w:pPr>
    <w:rPr>
      <w:sz w:val="20"/>
      <w:szCs w:val="20"/>
    </w:rPr>
  </w:style>
  <w:style w:type="paragraph" w:styleId="Contedodatabela">
    <w:name w:val="Conteúdo da tabela"/>
    <w:basedOn w:val="Normal"/>
    <w:qFormat/>
    <w:pPr>
      <w:widowControl w:val="false"/>
      <w:suppressLineNumbers/>
    </w:pPr>
    <w:rPr/>
  </w:style>
  <w:style w:type="paragraph" w:styleId="Cabealhoerodap">
    <w:name w:val="Cabeçalho e rodapé"/>
    <w:basedOn w:val="Normal"/>
    <w:qFormat/>
    <w:pPr>
      <w:suppressLineNumbers/>
      <w:tabs>
        <w:tab w:val="clear" w:pos="708"/>
        <w:tab w:val="center" w:pos="4819" w:leader="none"/>
        <w:tab w:val="right" w:pos="9638" w:leader="none"/>
      </w:tabs>
    </w:pPr>
    <w:rPr/>
  </w:style>
  <w:style w:type="paragraph" w:styleId="Header">
    <w:name w:val="header"/>
    <w:basedOn w:val="Cabealhoerodap"/>
    <w:pPr>
      <w:suppressLineNumbers/>
    </w:pPr>
    <w:rPr/>
  </w:style>
  <w:style w:type="paragraph" w:styleId="Cabealhoesquerda">
    <w:name w:val="Cabeçalho à esquerda"/>
    <w:basedOn w:val="Header"/>
    <w:qFormat/>
    <w:pPr>
      <w:suppressLineNumbers/>
    </w:pPr>
    <w:rPr/>
  </w:style>
  <w:style w:type="paragraph" w:styleId="Footer">
    <w:name w:val="footer"/>
    <w:basedOn w:val="Cabealhoerodap"/>
    <w:pPr>
      <w:suppressLineNumbers/>
    </w:pPr>
    <w:rPr/>
  </w:style>
  <w:style w:type="paragraph" w:styleId="Anotao">
    <w:name w:val="Anotação"/>
    <w:basedOn w:val="Normal"/>
    <w:qFormat/>
    <w:pPr>
      <w:spacing w:lineRule="auto" w:line="240" w:before="56" w:after="0"/>
      <w:ind w:hanging="0" w:start="57" w:end="57"/>
    </w:pPr>
    <w:rPr>
      <w:color w:val="auto"/>
      <w:sz w:val="20"/>
      <w:szCs w:val="20"/>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LibreOffice/25.2.3.2$Linux_X86_64 LibreOffice_project/520$Build-2</Application>
  <AppVersion>15.0000</AppVersion>
  <Pages>28</Pages>
  <Words>7917</Words>
  <Characters>45303</Characters>
  <CharactersWithSpaces>53065</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2026-06-15T12:39:00Z</dcterms:created>
  <dc:creator>Daiana Amaral Medeiros da Silva</dc:creator>
  <dc:description/>
  <dc:language>pt-BR</dc:language>
  <cp:lastModifiedBy/>
  <dcterms:modified xsi:type="dcterms:W3CDTF">2026-06-15T18:13:14Z</dcterms:modified>
  <cp:revision>48</cp:revision>
  <dc:subject/>
  <dc:title/>
</cp:coreProperties>
</file>