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onsolas" w:hAnsi="Consolas"/>
          <w:b/>
          <w:color w:val="2E863A"/>
          <w:sz w:val="56"/>
        </w:rPr>
        <w:t>SMART TRADING</w:t>
      </w:r>
    </w:p>
    <w:p>
      <w:pPr>
        <w:jc w:val="center"/>
      </w:pPr>
      <w:r>
        <w:rPr>
          <w:rFonts w:ascii="Calibri" w:hAnsi="Calibri"/>
          <w:color w:val="1A1A2E"/>
          <w:sz w:val="32"/>
        </w:rPr>
        <w:t>EURUSD M15 Machine Learning Pipeline</w:t>
      </w:r>
    </w:p>
    <w:p>
      <w:pPr>
        <w:jc w:val="center"/>
      </w:pPr>
      <w:r>
        <w:rPr>
          <w:color w:val="556068"/>
          <w:sz w:val="22"/>
        </w:rPr>
        <w:t>Official Technical Documentation  ·  Version 1.0.0</w:t>
      </w:r>
    </w:p>
    <w:p>
      <w:pPr>
        <w:spacing w:before="600"/>
        <w:jc w:val="center"/>
      </w:pPr>
      <w:r>
        <w:rPr>
          <w:color w:val="556068"/>
          <w:sz w:val="20"/>
        </w:rPr>
        <w:t>Author: Prince Masina   |   July 2026   |   Research Complete</w:t>
      </w:r>
    </w:p>
    <w:p>
      <w:r>
        <w:br w:type="page"/>
      </w:r>
    </w:p>
    <w:p>
      <w:pPr>
        <w:pStyle w:val="Heading1"/>
      </w:pPr>
      <w:r>
        <w:t>Smart Trading — EURUSD ML Pipeline</w:t>
      </w:r>
    </w:p>
    <w:p>
      <w:pPr>
        <w:pStyle w:val="Heading2"/>
      </w:pPr>
      <w:r>
        <w:t>Official Technical Documentation</w:t>
      </w:r>
    </w:p>
    <w:p>
      <w:pPr/>
      <w:r>
        <w:rPr>
          <w:b/>
        </w:rPr>
        <w:t>Version:</w:t>
      </w:r>
      <w:r>
        <w:t xml:space="preserve"> 1.0.0  </w:t>
      </w:r>
    </w:p>
    <w:p>
      <w:pPr/>
      <w:r>
        <w:rPr>
          <w:b/>
        </w:rPr>
        <w:t>Date:</w:t>
      </w:r>
      <w:r>
        <w:t xml:space="preserve"> July 2026  </w:t>
      </w:r>
    </w:p>
    <w:p>
      <w:pPr/>
      <w:r>
        <w:rPr>
          <w:b/>
        </w:rPr>
        <w:t>Author:</w:t>
      </w:r>
      <w:r>
        <w:t xml:space="preserve"> Prince Masina  </w:t>
      </w:r>
    </w:p>
    <w:p>
      <w:pPr/>
      <w:r>
        <w:rPr>
          <w:b/>
        </w:rPr>
        <w:t>Symbol:</w:t>
      </w:r>
      <w:r>
        <w:t xml:space="preserve"> EURUSD · Timeframe: M15  </w:t>
      </w:r>
    </w:p>
    <w:p>
      <w:pPr/>
      <w:r>
        <w:rPr>
          <w:b/>
        </w:rPr>
        <w:t>Status:</w:t>
      </w:r>
      <w:r>
        <w:t xml:space="preserve"> Research Complete — Deployment Ready</w:t>
      </w:r>
    </w:p>
    <w:p>
      <w:pPr>
        <w:pStyle w:val="Heading2"/>
      </w:pPr>
      <w:r>
        <w:t>Table of Contents</w:t>
      </w:r>
    </w:p>
    <w:p>
      <w:pPr>
        <w:ind w:left="360"/>
      </w:pPr>
      <w:r>
        <w:t>[Executive Summary](#1-executive-summary)</w:t>
      </w:r>
    </w:p>
    <w:p>
      <w:pPr>
        <w:ind w:left="360"/>
      </w:pPr>
      <w:r>
        <w:t>[System Overview &amp; Architecture](#2-system-overview--architecture)</w:t>
      </w:r>
    </w:p>
    <w:p>
      <w:pPr>
        <w:ind w:left="360"/>
      </w:pPr>
      <w:r>
        <w:t>[Project Goals &amp; Objectives](#3-project-goals--objectives)</w:t>
      </w:r>
    </w:p>
    <w:p>
      <w:pPr>
        <w:ind w:left="360"/>
      </w:pPr>
      <w:r>
        <w:t>[Technology Stack](#4-technology-stack)</w:t>
      </w:r>
    </w:p>
    <w:p>
      <w:pPr>
        <w:ind w:left="360"/>
      </w:pPr>
      <w:r>
        <w:t>[Data Pipeline — Ingestion](#5-data-pipeline--ingestion)</w:t>
      </w:r>
    </w:p>
    <w:p>
      <w:pPr>
        <w:ind w:left="360"/>
      </w:pPr>
      <w:r>
        <w:t>[Data Validation &amp; Quality Control](#6-data-validation--quality-control)</w:t>
      </w:r>
    </w:p>
    <w:p>
      <w:pPr>
        <w:ind w:left="360"/>
      </w:pPr>
      <w:r>
        <w:t>[Feature Engineering](#7-feature-engineering)</w:t>
      </w:r>
    </w:p>
    <w:p>
      <w:pPr>
        <w:ind w:left="720"/>
      </w:pPr>
      <w:r>
        <w:t xml:space="preserve">  ◦ 7.1 ICT / Smart Money Concepts</w:t>
      </w:r>
    </w:p>
    <w:p>
      <w:pPr>
        <w:ind w:left="720"/>
      </w:pPr>
      <w:r>
        <w:t xml:space="preserve">  ◦ 7.2 Traditional Technical Indicators</w:t>
      </w:r>
    </w:p>
    <w:p>
      <w:pPr>
        <w:ind w:left="720"/>
      </w:pPr>
      <w:r>
        <w:t xml:space="preserve">  ◦ 7.3 Statistical &amp; Market Microstructure Features</w:t>
      </w:r>
    </w:p>
    <w:p>
      <w:pPr>
        <w:ind w:left="720"/>
      </w:pPr>
      <w:r>
        <w:t xml:space="preserve">  ◦ 7.4 Multi-Timeframe Fusion</w:t>
      </w:r>
    </w:p>
    <w:p>
      <w:pPr>
        <w:ind w:left="720"/>
      </w:pPr>
      <w:r>
        <w:t xml:space="preserve">  ◦ 7.5 Feature Store &amp; Caching</w:t>
      </w:r>
    </w:p>
    <w:p>
      <w:pPr>
        <w:ind w:left="720"/>
      </w:pPr>
      <w:r>
        <w:t xml:space="preserve">  ◦ 7.6 Feature Quality Analysis</w:t>
      </w:r>
    </w:p>
    <w:p>
      <w:pPr>
        <w:ind w:left="360"/>
      </w:pPr>
      <w:r>
        <w:t>[Label Generation](#8-label-generation)</w:t>
      </w:r>
    </w:p>
    <w:p>
      <w:pPr>
        <w:ind w:left="360"/>
      </w:pPr>
      <w:r>
        <w:t>[Machine Learning Models](#9-machine-learning-models)</w:t>
      </w:r>
    </w:p>
    <w:p>
      <w:pPr>
        <w:ind w:left="360"/>
      </w:pPr>
      <w:r>
        <w:t>[Hyperparameter Optimization](#10-hyperparameter-optimization)</w:t>
      </w:r>
    </w:p>
    <w:p>
      <w:pPr>
        <w:ind w:left="360"/>
      </w:pPr>
      <w:r>
        <w:t>[Walk-Forward Validation](#11-walk-forward-validation)</w:t>
      </w:r>
    </w:p>
    <w:p>
      <w:pPr>
        <w:ind w:left="360"/>
      </w:pPr>
      <w:r>
        <w:t>[Backtesting Engine](#12-backtesting-engine)</w:t>
      </w:r>
    </w:p>
    <w:p>
      <w:pPr>
        <w:ind w:left="360"/>
      </w:pPr>
      <w:r>
        <w:t>[Model Comparison &amp; Selection](#13-model-comparison--selection)</w:t>
      </w:r>
    </w:p>
    <w:p>
      <w:pPr>
        <w:ind w:left="360"/>
      </w:pPr>
      <w:r>
        <w:t>[Deployment Strategy](#14-deployment-strategy)</w:t>
      </w:r>
    </w:p>
    <w:p>
      <w:pPr>
        <w:ind w:left="360"/>
      </w:pPr>
      <w:r>
        <w:t>[Live Inference Pipeline](#15-live-inference-pipeline)</w:t>
      </w:r>
    </w:p>
    <w:p>
      <w:pPr>
        <w:ind w:left="360"/>
      </w:pPr>
      <w:r>
        <w:t>[Real Trading Workflow](#16-real-trading-workflow)</w:t>
      </w:r>
    </w:p>
    <w:p>
      <w:pPr>
        <w:ind w:left="360"/>
      </w:pPr>
      <w:r>
        <w:t>[System Limitations](#17-system-limitations)</w:t>
      </w:r>
    </w:p>
    <w:p>
      <w:pPr>
        <w:ind w:left="360"/>
      </w:pPr>
      <w:r>
        <w:t>[Future Improvements](#18-future-improvements)</w:t>
      </w:r>
    </w:p>
    <w:p>
      <w:pPr>
        <w:ind w:left="360"/>
      </w:pPr>
      <w:r>
        <w:t>[Conclusion](#19-conclusion)</w:t>
      </w:r>
    </w:p>
    <w:p>
      <w:pPr>
        <w:ind w:left="360"/>
      </w:pPr>
      <w:r>
        <w:t>[Appendix A — Feature Catalogue](#appendix-a--feature-catalogue)</w:t>
      </w:r>
    </w:p>
    <w:p>
      <w:pPr>
        <w:ind w:left="360"/>
      </w:pPr>
      <w:r>
        <w:t>[Appendix B — Label Catalogue](#appendix-b--label-catalogue)</w:t>
      </w:r>
    </w:p>
    <w:p>
      <w:pPr>
        <w:ind w:left="360"/>
      </w:pPr>
      <w:r>
        <w:t>[Appendix C — Configuration Reference](#appendix-c--configuration-reference)</w:t>
      </w:r>
    </w:p>
    <w:p>
      <w:pPr>
        <w:ind w:left="360"/>
      </w:pPr>
      <w:r>
        <w:t>[Appendix D — Bundle File Reference](#appendix-d--bundle-file-reference)</w:t>
      </w:r>
    </w:p>
    <w:p>
      <w:pPr>
        <w:ind w:left="360"/>
      </w:pPr>
      <w:r>
        <w:t>[Appendix E — Glossary](#appendix-e--glossary)</w:t>
      </w:r>
    </w:p>
    <w:p>
      <w:pPr>
        <w:pStyle w:val="Heading2"/>
      </w:pPr>
      <w:r>
        <w:t>1. Executive Summary</w:t>
      </w:r>
    </w:p>
    <w:p>
      <w:pPr/>
      <w:r>
        <w:t xml:space="preserve">This document is the official technical manual for the </w:t>
      </w:r>
      <w:r>
        <w:rPr>
          <w:b/>
        </w:rPr>
        <w:t>Smart Trading EURUSD ML Pipeline</w:t>
      </w:r>
      <w:r>
        <w:t xml:space="preserve"> — a research-grade, end-to-end machine learning system designed to predict short-term directional price movement in the EUR/USD foreign exchange pair on the 15-minute timeframe.</w:t>
      </w:r>
    </w:p>
    <w:p>
      <w:pPr/>
      <w:r>
        <w:t>The system processes raw OHLCV candle data sourced from MetaTrader 5, engineers 247 predictive features spanning institutional trading concepts (ICT/SMC), classical technical indicators, and advanced statistical measures, generates 53 structured prediction labels, and trains four ensemble machine learning models using rigorous walk-forward cross-validation to prevent data leakage and simulate realistic deployment conditions.</w:t>
      </w:r>
    </w:p>
    <w:p>
      <w:pPr>
        <w:pStyle w:val="Heading3"/>
      </w:pPr>
      <w:r>
        <w:t>Key Results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Metric</w:t>
            </w:r>
          </w:p>
        </w:tc>
        <w:tc>
          <w:tcPr>
            <w:tcW w:type="dxa" w:w="4680"/>
            <w:vAlign w:val="top"/>
            <w:shd w:val="clear" w:color="auto" w:fill="1C2128"/>
          </w:tcPr>
          <w:p>
            <w:r>
              <w:rPr>
                <w:b/>
                <w:color w:val="FFFFFF"/>
                <w:sz w:val="18"/>
              </w:rPr>
              <w:t>Value</w:t>
            </w:r>
          </w:p>
        </w:tc>
      </w:tr>
      <w:tr>
        <w:tc>
          <w:tcPr>
            <w:tcW w:type="dxa" w:w="4680"/>
            <w:vAlign w:val="top"/>
          </w:tcPr>
          <w:p>
            <w:r>
              <w:rPr>
                <w:color w:val="1A1A2E"/>
                <w:sz w:val="18"/>
              </w:rPr>
              <w:t>Dataset span</w:t>
            </w:r>
          </w:p>
        </w:tc>
        <w:tc>
          <w:tcPr>
            <w:tcW w:type="dxa" w:w="4680"/>
            <w:vAlign w:val="top"/>
          </w:tcPr>
          <w:p>
            <w:r>
              <w:rPr>
                <w:color w:val="1A1A2E"/>
                <w:sz w:val="18"/>
              </w:rPr>
              <w:t>2022 – 2025, 87,503 M15 bars</w:t>
            </w:r>
          </w:p>
        </w:tc>
      </w:tr>
      <w:tr>
        <w:tc>
          <w:tcPr>
            <w:tcW w:type="dxa" w:w="4680"/>
            <w:vAlign w:val="top"/>
          </w:tcPr>
          <w:p>
            <w:r>
              <w:rPr>
                <w:color w:val="1A1A2E"/>
                <w:sz w:val="18"/>
              </w:rPr>
              <w:t>Total features engineered</w:t>
            </w:r>
          </w:p>
        </w:tc>
        <w:tc>
          <w:tcPr>
            <w:tcW w:type="dxa" w:w="4680"/>
            <w:vAlign w:val="top"/>
          </w:tcPr>
          <w:p>
            <w:r>
              <w:rPr>
                <w:color w:val="1A1A2E"/>
                <w:sz w:val="18"/>
              </w:rPr>
              <w:t>253 (247 used for ML)</w:t>
            </w:r>
          </w:p>
        </w:tc>
      </w:tr>
      <w:tr>
        <w:tc>
          <w:tcPr>
            <w:tcW w:type="dxa" w:w="4680"/>
            <w:vAlign w:val="top"/>
          </w:tcPr>
          <w:p>
            <w:r>
              <w:rPr>
                <w:color w:val="1A1A2E"/>
                <w:sz w:val="18"/>
              </w:rPr>
              <w:t>Prediction labels generated</w:t>
            </w:r>
          </w:p>
        </w:tc>
        <w:tc>
          <w:tcPr>
            <w:tcW w:type="dxa" w:w="4680"/>
            <w:vAlign w:val="top"/>
          </w:tcPr>
          <w:p>
            <w:r>
              <w:rPr>
                <w:color w:val="1A1A2E"/>
                <w:sz w:val="18"/>
              </w:rPr>
              <w:t>53 across 5 label groups</w:t>
            </w:r>
          </w:p>
        </w:tc>
      </w:tr>
      <w:tr>
        <w:tc>
          <w:tcPr>
            <w:tcW w:type="dxa" w:w="4680"/>
            <w:vAlign w:val="top"/>
          </w:tcPr>
          <w:p>
            <w:r>
              <w:rPr>
                <w:color w:val="1A1A2E"/>
                <w:sz w:val="18"/>
              </w:rPr>
              <w:t>Models compared</w:t>
            </w:r>
          </w:p>
        </w:tc>
        <w:tc>
          <w:tcPr>
            <w:tcW w:type="dxa" w:w="4680"/>
            <w:vAlign w:val="top"/>
          </w:tcPr>
          <w:p>
            <w:r>
              <w:rPr>
                <w:color w:val="1A1A2E"/>
                <w:sz w:val="18"/>
              </w:rPr>
              <w:t>XGBoost, LightGBM, Random Forest, Extra Trees</w:t>
            </w:r>
          </w:p>
        </w:tc>
      </w:tr>
      <w:tr>
        <w:tc>
          <w:tcPr>
            <w:tcW w:type="dxa" w:w="4680"/>
            <w:vAlign w:val="top"/>
          </w:tcPr>
          <w:p>
            <w:r>
              <w:rPr>
                <w:color w:val="1A1A2E"/>
                <w:sz w:val="18"/>
              </w:rPr>
              <w:t>Optimization trials</w:t>
            </w:r>
          </w:p>
        </w:tc>
        <w:tc>
          <w:tcPr>
            <w:tcW w:type="dxa" w:w="4680"/>
            <w:vAlign w:val="top"/>
          </w:tcPr>
          <w:p>
            <w:r>
              <w:rPr>
                <w:color w:val="1A1A2E"/>
                <w:sz w:val="18"/>
              </w:rPr>
              <w:t>25 Optuna TPE trials × 4 models × 6 windows = 600 total</w:t>
            </w:r>
          </w:p>
        </w:tc>
      </w:tr>
      <w:tr>
        <w:tc>
          <w:tcPr>
            <w:tcW w:type="dxa" w:w="4680"/>
            <w:vAlign w:val="top"/>
          </w:tcPr>
          <w:p>
            <w:r>
              <w:rPr>
                <w:color w:val="1A1A2E"/>
                <w:sz w:val="18"/>
              </w:rPr>
              <w:t>Best model</w:t>
            </w:r>
          </w:p>
        </w:tc>
        <w:tc>
          <w:tcPr>
            <w:tcW w:type="dxa" w:w="4680"/>
            <w:vAlign w:val="top"/>
          </w:tcPr>
          <w:p>
            <w:r>
              <w:rPr>
                <w:color w:val="1A1A2E"/>
                <w:sz w:val="18"/>
              </w:rPr>
              <w:t>XGBoost (Walk-Forward Ranking Score: 0.7802)</w:t>
            </w:r>
          </w:p>
        </w:tc>
      </w:tr>
      <w:tr>
        <w:tc>
          <w:tcPr>
            <w:tcW w:type="dxa" w:w="4680"/>
            <w:vAlign w:val="top"/>
          </w:tcPr>
          <w:p>
            <w:r>
              <w:rPr>
                <w:color w:val="1A1A2E"/>
                <w:sz w:val="18"/>
              </w:rPr>
              <w:t>Backtest period</w:t>
            </w:r>
          </w:p>
        </w:tc>
        <w:tc>
          <w:tcPr>
            <w:tcW w:type="dxa" w:w="4680"/>
            <w:vAlign w:val="top"/>
          </w:tcPr>
          <w:p>
            <w:r>
              <w:rPr>
                <w:color w:val="1A1A2E"/>
                <w:sz w:val="18"/>
              </w:rPr>
              <w:t>Full dataset, bar-by-bar simulation</w:t>
            </w:r>
          </w:p>
        </w:tc>
      </w:tr>
      <w:tr>
        <w:tc>
          <w:tcPr>
            <w:tcW w:type="dxa" w:w="4680"/>
            <w:vAlign w:val="top"/>
          </w:tcPr>
          <w:p>
            <w:r>
              <w:rPr>
                <w:color w:val="1A1A2E"/>
                <w:sz w:val="18"/>
              </w:rPr>
              <w:t>Total trades executed</w:t>
            </w:r>
          </w:p>
        </w:tc>
        <w:tc>
          <w:tcPr>
            <w:tcW w:type="dxa" w:w="4680"/>
            <w:vAlign w:val="top"/>
          </w:tcPr>
          <w:p>
            <w:r>
              <w:rPr>
                <w:color w:val="1A1A2E"/>
                <w:sz w:val="18"/>
              </w:rPr>
              <w:t>820</w:t>
            </w:r>
          </w:p>
        </w:tc>
      </w:tr>
      <w:tr>
        <w:tc>
          <w:tcPr>
            <w:tcW w:type="dxa" w:w="4680"/>
            <w:vAlign w:val="top"/>
          </w:tcPr>
          <w:p>
            <w:r>
              <w:rPr>
                <w:color w:val="1A1A2E"/>
                <w:sz w:val="18"/>
              </w:rPr>
              <w:t>Win rate</w:t>
            </w:r>
          </w:p>
        </w:tc>
        <w:tc>
          <w:tcPr>
            <w:tcW w:type="dxa" w:w="4680"/>
            <w:vAlign w:val="top"/>
          </w:tcPr>
          <w:p>
            <w:r>
              <w:rPr>
                <w:color w:val="1A1A2E"/>
                <w:sz w:val="18"/>
              </w:rPr>
              <w:t>56.46%</w:t>
            </w:r>
          </w:p>
        </w:tc>
      </w:tr>
      <w:tr>
        <w:tc>
          <w:tcPr>
            <w:tcW w:type="dxa" w:w="4680"/>
            <w:vAlign w:val="top"/>
          </w:tcPr>
          <w:p>
            <w:r>
              <w:rPr>
                <w:color w:val="1A1A2E"/>
                <w:sz w:val="18"/>
              </w:rPr>
              <w:t>Starting capital</w:t>
            </w:r>
          </w:p>
        </w:tc>
        <w:tc>
          <w:tcPr>
            <w:tcW w:type="dxa" w:w="4680"/>
            <w:vAlign w:val="top"/>
          </w:tcPr>
          <w:p>
            <w:r>
              <w:rPr>
                <w:color w:val="1A1A2E"/>
                <w:sz w:val="18"/>
              </w:rPr>
              <w:t>$10,000</w:t>
            </w:r>
          </w:p>
        </w:tc>
      </w:tr>
      <w:tr>
        <w:tc>
          <w:tcPr>
            <w:tcW w:type="dxa" w:w="4680"/>
            <w:vAlign w:val="top"/>
          </w:tcPr>
          <w:p>
            <w:r>
              <w:rPr>
                <w:color w:val="1A1A2E"/>
                <w:sz w:val="18"/>
              </w:rPr>
              <w:t>Final equity</w:t>
            </w:r>
          </w:p>
        </w:tc>
        <w:tc>
          <w:tcPr>
            <w:tcW w:type="dxa" w:w="4680"/>
            <w:vAlign w:val="top"/>
          </w:tcPr>
          <w:p>
            <w:r>
              <w:rPr>
                <w:color w:val="1A1A2E"/>
                <w:sz w:val="18"/>
              </w:rPr>
              <w:t>$331,895.74</w:t>
            </w:r>
          </w:p>
        </w:tc>
      </w:tr>
      <w:tr>
        <w:tc>
          <w:tcPr>
            <w:tcW w:type="dxa" w:w="4680"/>
            <w:vAlign w:val="top"/>
          </w:tcPr>
          <w:p>
            <w:r>
              <w:rPr>
                <w:color w:val="1A1A2E"/>
                <w:sz w:val="18"/>
              </w:rPr>
              <w:t>Net profit</w:t>
            </w:r>
          </w:p>
        </w:tc>
        <w:tc>
          <w:tcPr>
            <w:tcW w:type="dxa" w:w="4680"/>
            <w:vAlign w:val="top"/>
          </w:tcPr>
          <w:p>
            <w:r>
              <w:rPr>
                <w:color w:val="1A1A2E"/>
                <w:sz w:val="18"/>
              </w:rPr>
              <w:t>$321,895.74</w:t>
            </w:r>
          </w:p>
        </w:tc>
      </w:tr>
      <w:tr>
        <w:tc>
          <w:tcPr>
            <w:tcW w:type="dxa" w:w="4680"/>
            <w:vAlign w:val="top"/>
          </w:tcPr>
          <w:p>
            <w:r>
              <w:rPr>
                <w:color w:val="1A1A2E"/>
                <w:sz w:val="18"/>
              </w:rPr>
              <w:t>Profit factor</w:t>
            </w:r>
          </w:p>
        </w:tc>
        <w:tc>
          <w:tcPr>
            <w:tcW w:type="dxa" w:w="4680"/>
            <w:vAlign w:val="top"/>
          </w:tcPr>
          <w:p>
            <w:r>
              <w:rPr>
                <w:color w:val="1A1A2E"/>
                <w:sz w:val="18"/>
              </w:rPr>
              <w:t>2.53</w:t>
            </w:r>
          </w:p>
        </w:tc>
      </w:tr>
      <w:tr>
        <w:tc>
          <w:tcPr>
            <w:tcW w:type="dxa" w:w="4680"/>
            <w:vAlign w:val="top"/>
          </w:tcPr>
          <w:p>
            <w:r>
              <w:rPr>
                <w:color w:val="1A1A2E"/>
                <w:sz w:val="18"/>
              </w:rPr>
              <w:t>Sharpe ratio</w:t>
            </w:r>
          </w:p>
        </w:tc>
        <w:tc>
          <w:tcPr>
            <w:tcW w:type="dxa" w:w="4680"/>
            <w:vAlign w:val="top"/>
          </w:tcPr>
          <w:p>
            <w:r>
              <w:rPr>
                <w:color w:val="1A1A2E"/>
                <w:sz w:val="18"/>
              </w:rPr>
              <w:t>6.48</w:t>
            </w:r>
          </w:p>
        </w:tc>
      </w:tr>
      <w:tr>
        <w:tc>
          <w:tcPr>
            <w:tcW w:type="dxa" w:w="4680"/>
            <w:vAlign w:val="top"/>
          </w:tcPr>
          <w:p>
            <w:r>
              <w:rPr>
                <w:color w:val="1A1A2E"/>
                <w:sz w:val="18"/>
              </w:rPr>
              <w:t>Sortino ratio</w:t>
            </w:r>
          </w:p>
        </w:tc>
        <w:tc>
          <w:tcPr>
            <w:tcW w:type="dxa" w:w="4680"/>
            <w:vAlign w:val="top"/>
          </w:tcPr>
          <w:p>
            <w:r>
              <w:rPr>
                <w:color w:val="1A1A2E"/>
                <w:sz w:val="18"/>
              </w:rPr>
              <w:t>2.72</w:t>
            </w:r>
          </w:p>
        </w:tc>
      </w:tr>
      <w:tr>
        <w:tc>
          <w:tcPr>
            <w:tcW w:type="dxa" w:w="4680"/>
            <w:vAlign w:val="top"/>
          </w:tcPr>
          <w:p>
            <w:r>
              <w:rPr>
                <w:color w:val="1A1A2E"/>
                <w:sz w:val="18"/>
              </w:rPr>
              <w:t>Maximum drawdown</w:t>
            </w:r>
          </w:p>
        </w:tc>
        <w:tc>
          <w:tcPr>
            <w:tcW w:type="dxa" w:w="4680"/>
            <w:vAlign w:val="top"/>
          </w:tcPr>
          <w:p>
            <w:r>
              <w:rPr>
                <w:color w:val="1A1A2E"/>
                <w:sz w:val="18"/>
              </w:rPr>
              <w:t>21.36%</w:t>
            </w:r>
          </w:p>
        </w:tc>
      </w:tr>
      <w:tr>
        <w:tc>
          <w:tcPr>
            <w:tcW w:type="dxa" w:w="4680"/>
            <w:vAlign w:val="top"/>
          </w:tcPr>
          <w:p>
            <w:r>
              <w:rPr>
                <w:color w:val="1A1A2E"/>
                <w:sz w:val="18"/>
              </w:rPr>
              <w:t>Calmar ratio</w:t>
            </w:r>
          </w:p>
        </w:tc>
        <w:tc>
          <w:tcPr>
            <w:tcW w:type="dxa" w:w="4680"/>
            <w:vAlign w:val="top"/>
          </w:tcPr>
          <w:p>
            <w:r>
              <w:rPr>
                <w:color w:val="1A1A2E"/>
                <w:sz w:val="18"/>
              </w:rPr>
              <w:t>133.71</w:t>
            </w:r>
          </w:p>
        </w:tc>
      </w:tr>
    </w:tbl>
    <w:p/>
    <w:p>
      <w:pPr/>
      <w:r>
        <w:t>The XGBoost model was selected as the best performer and exported as a production-ready inference bundle (</w:t>
      </w:r>
      <w:r>
        <w:rPr>
          <w:rFonts w:ascii="Consolas" w:hAnsi="Consolas"/>
          <w:color w:val="2E863A"/>
          <w:sz w:val="19"/>
        </w:rPr>
        <w:t>models/best_model/</w:t>
      </w:r>
      <w:r>
        <w:t>) containing a serialized classifier, preprocessing pipeline, feature schema, and metadata files compatible with the FastAPI inference server.</w:t>
      </w:r>
    </w:p>
    <w:p>
      <w:pPr>
        <w:pStyle w:val="Heading3"/>
      </w:pPr>
      <w:r>
        <w:t>System Architecture at a Glance</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MT5 Terminal → Raw Data → Preprocessing → Feature Engineering → Label Generation</w:t>
        <w:br/>
        <w:t xml:space="preserve">     ↓</w:t>
        <w:br/>
        <w:t>Walk-Forward Windows → Hyperparameter Optimization → Model Training</w:t>
        <w:br/>
        <w:t xml:space="preserve">     ↓</w:t>
        <w:br/>
        <w:t>Walk-Forward Validation → Backtesting → Model Selection</w:t>
        <w:br/>
        <w:t xml:space="preserve">     ↓</w:t>
        <w:br/>
        <w:t>Inference Bundle → FastAPI (Railway) → Next.js Dashboard → Trader</w:t>
      </w:r>
    </w:p>
    <w:p>
      <w:pPr>
        <w:pStyle w:val="Heading2"/>
      </w:pPr>
      <w:r>
        <w:t>2. System Overview &amp; Architecture</w:t>
      </w:r>
    </w:p>
    <w:p>
      <w:pPr>
        <w:pStyle w:val="Heading3"/>
      </w:pPr>
      <w:r>
        <w:t>2.1 High-Level Architecture</w:t>
      </w:r>
    </w:p>
    <w:p>
      <w:pPr/>
      <w:r>
        <w:t>The system is organized as an 8-stage sequential pipeline, each stage consuming the verified outputs of the previous stage. Stages 1–3 are preprocessing and feature engineering. Stages 4–5 produce the ML-ready dataset and trained models. Stages 6–8 validate, evaluate, and package the best model.</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w:t>
        <w:br/>
        <w:t>│                    SMART TRADING ML PIPELINE                         │</w:t>
        <w:br/>
        <w:t>│                                                                      │</w:t>
        <w:br/>
        <w:t>│  Stage 1: Data Ingestion (MT5 → Parquet)                            │</w:t>
        <w:br/>
        <w:t>│       ↓                                                              │</w:t>
        <w:br/>
        <w:t>│  Stage 2: Preprocessing &amp; Multi-TF Merge                            │</w:t>
        <w:br/>
        <w:t>│       ↓                                                              │</w:t>
        <w:br/>
        <w:t>│  Stage 3: Feature Engineering (247 features)                        │</w:t>
        <w:br/>
        <w:t>│       ↓                                                              │</w:t>
        <w:br/>
        <w:t>│  Stage 4: Label Generation (53 labels)                              │</w:t>
        <w:br/>
        <w:t>│       ↓                                                              │</w:t>
        <w:br/>
        <w:t>│  Stage 5: Hyperparameter Optimization (Optuna TPE)                  │</w:t>
        <w:br/>
        <w:t>│       ↓                                                              │</w:t>
        <w:br/>
        <w:t>│  Stage 6: Walk-Forward Validation                                   │</w:t>
        <w:br/>
        <w:t>│       ↓                                                              │</w:t>
        <w:br/>
        <w:t>│  Stage 7: Institutional Backtesting                                 │</w:t>
        <w:br/>
        <w:t>│       ↓                                                              │</w:t>
        <w:br/>
        <w:t>│  Stage 8: Model Comparison + Bundle Export                          │</w:t>
        <w:br/>
        <w:t>│       ↓                                                              │</w:t>
        <w:br/>
        <w:t>│  Deployment: FastAPI → Railway → Next.js → Trader                   │</w:t>
        <w:br/>
        <w:t>└─────────────────────────────────────────────────────────────────────┘</w:t>
      </w:r>
    </w:p>
    <w:p>
      <w:pPr>
        <w:pStyle w:val="Heading3"/>
      </w:pPr>
      <w:r>
        <w:t>2.2 Directory Structure</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Smart Trading/</w:t>
        <w:br/>
        <w:t>├── config/</w:t>
        <w:br/>
        <w:t>│   └── settings.py               # All path constants, thresholds, seeds</w:t>
        <w:br/>
        <w:t>├── data/</w:t>
        <w:br/>
        <w:t>│   ├── raw/                       # MT5 downloads — NEVER modified</w:t>
        <w:br/>
        <w:t>│   │   └── EURUSD/</w:t>
        <w:br/>
        <w:t>│   │       ├── M15/EURUSD_M15.parquet</w:t>
        <w:br/>
        <w:t>│   │       ├── H1/EURUSD_H1.parquet</w:t>
        <w:br/>
        <w:t>│   │       ├── H4/EURUSD_H4.parquet</w:t>
        <w:br/>
        <w:t>│   │       ├── D1/EURUSD_D1.parquet</w:t>
        <w:br/>
        <w:t>│   │       └── W1/EURUSD_W1.parquet</w:t>
        <w:br/>
        <w:t>│   ├── processed/                 # Cleaned &amp; merged</w:t>
        <w:br/>
        <w:t>│   │   └── EURUSD/</w:t>
        <w:br/>
        <w:t>│   │       └── merged/EURUSD_M15_merged.parquet</w:t>
        <w:br/>
        <w:t>│   ├── features/                  # Feature dataset</w:t>
        <w:br/>
        <w:t>│   │   └── EURUSD/feature_dataset.parquet</w:t>
        <w:br/>
        <w:t>│   ├── feature_cache/             # Per-feature cached outputs</w:t>
        <w:br/>
        <w:t>│   └── ml/</w:t>
        <w:br/>
        <w:t>│       ├── dataset.parquet        # Final ML-ready dataset (features + labels)</w:t>
        <w:br/>
        <w:t>│       └── windows/               # Walk-forward window splits</w:t>
        <w:br/>
        <w:t>│           ├── window_000/</w:t>
        <w:br/>
        <w:t>│           │   ├── train.parquet</w:t>
        <w:br/>
        <w:t>│           │   ├── val.parquet</w:t>
        <w:br/>
        <w:t>│           │   └── test.parquet</w:t>
        <w:br/>
        <w:t>│           └── window_00N/ ...</w:t>
        <w:br/>
        <w:t>├── src/</w:t>
        <w:br/>
        <w:t>│   ├── ingestion/                 # MT5 download &amp; validation</w:t>
        <w:br/>
        <w:t>│   ├── preprocessing/             # OHLCV cleaning, resampling, merging</w:t>
        <w:br/>
        <w:t>│   ├── features/                  # Feature engineering framework</w:t>
        <w:br/>
        <w:t>│   │   ├── market_structure/      # ICT: pivots, swings, BOS, CHoCH, OB, FVG, PD</w:t>
        <w:br/>
        <w:t>│   │   ├── liquidity/             # Liquidity pools, sweeps, magnets, EQH/EQL</w:t>
        <w:br/>
        <w:t>│   │   ├── traditional/           # RSI, MACD, ATR, Bollinger, ADX, etc.</w:t>
        <w:br/>
        <w:t>│   │   ├── statistics/            # Z-score, entropy, Hurst, fractal dimension</w:t>
        <w:br/>
        <w:t>│   │   ├── momentum/              # Velocity, acceleration, persistence</w:t>
        <w:br/>
        <w:t>│   │   ├── volatility/            # Realized/historical vol, regime detection</w:t>
        <w:br/>
        <w:t>│   │   └── feature_pipeline.py   # Pipeline orchestrator</w:t>
        <w:br/>
        <w:t>│   ├── labeling/                  # Label generators (53 labels)</w:t>
        <w:br/>
        <w:t>│   ├── datasets/                  # Walk-forward splitter, dataset builder</w:t>
        <w:br/>
        <w:t>│   ├── ml/                        # Optimization, training, artifact management</w:t>
        <w:br/>
        <w:t>│   │   ├── optimization/          # Optuna study manager</w:t>
        <w:br/>
        <w:t>│   │   ├── models/                # XGBoost, LightGBM, RF, ET wrappers</w:t>
        <w:br/>
        <w:t>│   │   └── artifact_manager.py   # Bundle save/load</w:t>
        <w:br/>
        <w:t>│   ├── validation/                # Walk-forward validation pipeline</w:t>
        <w:br/>
        <w:t>│   ├── backtesting/               # Institutional backtester</w:t>
        <w:br/>
        <w:t>│   │   ├── backtester.py</w:t>
        <w:br/>
        <w:t>│   │   ├── execution_engine.py</w:t>
        <w:br/>
        <w:t>│   │   ├── sl_tp_manager.py</w:t>
        <w:br/>
        <w:t>│   │   ├── position_manager.py</w:t>
        <w:br/>
        <w:t>│   │   └── risk_manager.py</w:t>
        <w:br/>
        <w:t>│   ├── inference/                 # Live inference stack</w:t>
        <w:br/>
        <w:t>│   │   ├── predictor.py</w:t>
        <w:br/>
        <w:t>│   │   ├── signal_generator.py</w:t>
        <w:br/>
        <w:t>│   │   ├── feature_builder.py</w:t>
        <w:br/>
        <w:t>│   │   └── risk_manager.py</w:t>
        <w:br/>
        <w:t>│   └── api/                       # FastAPI application</w:t>
        <w:br/>
        <w:t>│       ├── main.py</w:t>
        <w:br/>
        <w:t>│       └── routes/</w:t>
        <w:br/>
        <w:t>├── models/</w:t>
        <w:br/>
        <w:t>│   ├── window_000/ … window_005/  # Per-window model bundles (24 total)</w:t>
        <w:br/>
        <w:t>│   └── best_model/                # Deployable production bundle</w:t>
        <w:br/>
        <w:t>├── reports/                       # Generated markdown reports</w:t>
        <w:br/>
        <w:t>├── backtesting/                   # Backtest outputs (CSV, JSON, MD)</w:t>
        <w:br/>
        <w:t>└── validation_results/            # Walk-forward validation outputs</w:t>
      </w:r>
    </w:p>
    <w:p>
      <w:pPr>
        <w:pStyle w:val="Heading3"/>
      </w:pPr>
      <w:r>
        <w:t>2.3 Data Flow</w:t>
      </w:r>
    </w:p>
    <w:p>
      <w:pPr/>
      <w:r>
        <w:t xml:space="preserve">Raw OHLCV candles downloaded from MetaTrader 5 are saved to </w:t>
      </w:r>
      <w:r>
        <w:rPr>
          <w:rFonts w:ascii="Consolas" w:hAnsi="Consolas"/>
          <w:color w:val="2E863A"/>
          <w:sz w:val="19"/>
        </w:rPr>
        <w:t>data/raw/</w:t>
      </w:r>
      <w:r>
        <w:t xml:space="preserve"> and are never modified thereafter. The preprocessing pipeline reads these files, cleans them, and merges all five timeframes onto the M15 base by forward-filling higher-timeframe bars. The feature engineering pipeline reads the merged file and produces a 253-column feature dataset. The label pipeline appends 53 label columns to produce the final ML-ready dataset at </w:t>
      </w:r>
      <w:r>
        <w:rPr>
          <w:rFonts w:ascii="Consolas" w:hAnsi="Consolas"/>
          <w:color w:val="2E863A"/>
          <w:sz w:val="19"/>
        </w:rPr>
        <w:t>data/ml/dataset.parquet</w:t>
      </w:r>
      <w:r>
        <w:t>. Walk-forward splitter partitions this dataset into 6 non-overlapping rolling windows. For each window and each model, an Optuna study finds the best hyperparameters, trains the model, and saves a self-contained inference bundle. Validation and backtesting then evaluate these bundles under realistic trading conditions.</w:t>
      </w:r>
    </w:p>
    <w:p>
      <w:pPr>
        <w:pStyle w:val="Heading2"/>
      </w:pPr>
      <w:r>
        <w:t>3. Project Goals &amp; Objectives</w:t>
      </w:r>
    </w:p>
    <w:p>
      <w:pPr>
        <w:pStyle w:val="Heading3"/>
      </w:pPr>
      <w:r>
        <w:t>3.1 Research Objectives</w:t>
      </w:r>
    </w:p>
    <w:p>
      <w:pPr>
        <w:ind w:left="360"/>
      </w:pPr>
      <w:r>
        <w:rPr>
          <w:b/>
        </w:rPr>
        <w:t>Quantify the predictive value of ICT/SMC concepts</w:t>
      </w:r>
      <w:r>
        <w:t xml:space="preserve"> — Test whether institutionally derived market structure concepts (Break of Structure, Change of Character, Order Blocks, Fair Value Gaps, Liquidity Sweeps) carry statistically significant predictive signal for EUR/USD 15-minute price direction.</w:t>
      </w:r>
    </w:p>
    <w:p>
      <w:pPr>
        <w:ind w:left="360"/>
      </w:pPr>
      <w:r>
        <w:rPr>
          <w:b/>
        </w:rPr>
        <w:t>Build a leak-free ML pipeline</w:t>
      </w:r>
      <w:r>
        <w:t xml:space="preserve"> — Design a pipeline that completely prevents temporal data leakage: walk-forward cross-validation, forward-fill (never lookahead) for higher-timeframe alignment, and strict label group exclusion from the feature set.</w:t>
      </w:r>
    </w:p>
    <w:p>
      <w:pPr>
        <w:ind w:left="360"/>
      </w:pPr>
      <w:r>
        <w:rPr>
          <w:b/>
        </w:rPr>
        <w:t>Validate generalization across time</w:t>
      </w:r>
      <w:r>
        <w:t xml:space="preserve"> — Use 6 rolling walk-forward windows to assess whether model performance degrades over different market regimes (trending, ranging, high-volatility, low-volatility).</w:t>
      </w:r>
    </w:p>
    <w:p>
      <w:pPr>
        <w:ind w:left="360"/>
      </w:pPr>
      <w:r>
        <w:rPr>
          <w:b/>
        </w:rPr>
        <w:t>Quantify deployment realism</w:t>
      </w:r>
      <w:r>
        <w:t xml:space="preserve"> — Apply a realistic backtester with spread, commission, slippage, execution delay, position sizing, break-even logic, and daily/weekly loss limits to produce equity curves that reflect actual trading conditions.</w:t>
      </w:r>
    </w:p>
    <w:p>
      <w:pPr>
        <w:ind w:left="360"/>
      </w:pPr>
      <w:r>
        <w:rPr>
          <w:b/>
        </w:rPr>
        <w:t>Produce a deployable artifact</w:t>
      </w:r>
      <w:r>
        <w:t xml:space="preserve"> — Export a self-contained model bundle suitable for a cloud-hosted REST API that can generate live trading signals.</w:t>
      </w:r>
    </w:p>
    <w:p>
      <w:pPr>
        <w:pStyle w:val="Heading3"/>
      </w:pPr>
      <w:r>
        <w:t>3.2 Business Objectives</w:t>
      </w:r>
    </w:p>
    <w:p>
      <w:pPr>
        <w:ind w:left="360"/>
      </w:pPr>
      <w:r>
        <w:t>• Demonstrate viability of an AI-augmented forex trading system for retail traders.</w:t>
      </w:r>
    </w:p>
    <w:p>
      <w:pPr>
        <w:ind w:left="360"/>
      </w:pPr>
      <w:r>
        <w:t>• Provide a fully reproducible research artifact suitable for academic submission.</w:t>
      </w:r>
    </w:p>
    <w:p>
      <w:pPr>
        <w:ind w:left="360"/>
      </w:pPr>
      <w:r>
        <w:t>• Create a foundation for future live trading integration via MetaTrader EA or proprietary execution engine.</w:t>
      </w:r>
    </w:p>
    <w:p>
      <w:pPr>
        <w:pStyle w:val="Heading3"/>
      </w:pPr>
      <w:r>
        <w:t>3.3 Success Criteria</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Criterion</w:t>
            </w:r>
          </w:p>
        </w:tc>
        <w:tc>
          <w:tcPr>
            <w:tcW w:type="dxa" w:w="3120"/>
            <w:vAlign w:val="top"/>
            <w:shd w:val="clear" w:color="auto" w:fill="1C2128"/>
          </w:tcPr>
          <w:p>
            <w:r>
              <w:rPr>
                <w:b/>
                <w:color w:val="FFFFFF"/>
                <w:sz w:val="18"/>
              </w:rPr>
              <w:t>Target</w:t>
            </w:r>
          </w:p>
        </w:tc>
        <w:tc>
          <w:tcPr>
            <w:tcW w:type="dxa" w:w="3120"/>
            <w:vAlign w:val="top"/>
            <w:shd w:val="clear" w:color="auto" w:fill="1C2128"/>
          </w:tcPr>
          <w:p>
            <w:r>
              <w:rPr>
                <w:b/>
                <w:color w:val="FFFFFF"/>
                <w:sz w:val="18"/>
              </w:rPr>
              <w:t>Achieved</w:t>
            </w:r>
          </w:p>
        </w:tc>
      </w:tr>
      <w:tr>
        <w:tc>
          <w:tcPr>
            <w:tcW w:type="dxa" w:w="3120"/>
            <w:vAlign w:val="top"/>
          </w:tcPr>
          <w:p>
            <w:r>
              <w:rPr>
                <w:color w:val="1A1A2E"/>
                <w:sz w:val="18"/>
              </w:rPr>
              <w:t>Walk-forward accuracy</w:t>
            </w:r>
          </w:p>
        </w:tc>
        <w:tc>
          <w:tcPr>
            <w:tcW w:type="dxa" w:w="3120"/>
            <w:vAlign w:val="top"/>
          </w:tcPr>
          <w:p>
            <w:r>
              <w:rPr>
                <w:color w:val="1A1A2E"/>
                <w:sz w:val="18"/>
              </w:rPr>
              <w:t>≥ 45%</w:t>
            </w:r>
          </w:p>
        </w:tc>
        <w:tc>
          <w:tcPr>
            <w:tcW w:type="dxa" w:w="3120"/>
            <w:vAlign w:val="top"/>
          </w:tcPr>
          <w:p>
            <w:r>
              <w:rPr>
                <w:color w:val="1A1A2E"/>
                <w:sz w:val="18"/>
              </w:rPr>
              <w:t>Validated per-window</w:t>
            </w:r>
          </w:p>
        </w:tc>
      </w:tr>
      <w:tr>
        <w:tc>
          <w:tcPr>
            <w:tcW w:type="dxa" w:w="3120"/>
            <w:vAlign w:val="top"/>
          </w:tcPr>
          <w:p>
            <w:r>
              <w:rPr>
                <w:color w:val="1A1A2E"/>
                <w:sz w:val="18"/>
              </w:rPr>
              <w:t>Walk-forward F1</w:t>
            </w:r>
          </w:p>
        </w:tc>
        <w:tc>
          <w:tcPr>
            <w:tcW w:type="dxa" w:w="3120"/>
            <w:vAlign w:val="top"/>
          </w:tcPr>
          <w:p>
            <w:r>
              <w:rPr>
                <w:color w:val="1A1A2E"/>
                <w:sz w:val="18"/>
              </w:rPr>
              <w:t>≥ 0.35</w:t>
            </w:r>
          </w:p>
        </w:tc>
        <w:tc>
          <w:tcPr>
            <w:tcW w:type="dxa" w:w="3120"/>
            <w:vAlign w:val="top"/>
          </w:tcPr>
          <w:p>
            <w:r>
              <w:rPr>
                <w:color w:val="1A1A2E"/>
                <w:sz w:val="18"/>
              </w:rPr>
              <w:t>Validated per-window</w:t>
            </w:r>
          </w:p>
        </w:tc>
      </w:tr>
      <w:tr>
        <w:tc>
          <w:tcPr>
            <w:tcW w:type="dxa" w:w="3120"/>
            <w:vAlign w:val="top"/>
          </w:tcPr>
          <w:p>
            <w:r>
              <w:rPr>
                <w:color w:val="1A1A2E"/>
                <w:sz w:val="18"/>
              </w:rPr>
              <w:t>Directional accuracy</w:t>
            </w:r>
          </w:p>
        </w:tc>
        <w:tc>
          <w:tcPr>
            <w:tcW w:type="dxa" w:w="3120"/>
            <w:vAlign w:val="top"/>
          </w:tcPr>
          <w:p>
            <w:r>
              <w:rPr>
                <w:color w:val="1A1A2E"/>
                <w:sz w:val="18"/>
              </w:rPr>
              <w:t>≥ 45%</w:t>
            </w:r>
          </w:p>
        </w:tc>
        <w:tc>
          <w:tcPr>
            <w:tcW w:type="dxa" w:w="3120"/>
            <w:vAlign w:val="top"/>
          </w:tcPr>
          <w:p>
            <w:r>
              <w:rPr>
                <w:color w:val="1A1A2E"/>
                <w:sz w:val="18"/>
              </w:rPr>
              <w:t>Validated per-window</w:t>
            </w:r>
          </w:p>
        </w:tc>
      </w:tr>
      <w:tr>
        <w:tc>
          <w:tcPr>
            <w:tcW w:type="dxa" w:w="3120"/>
            <w:vAlign w:val="top"/>
          </w:tcPr>
          <w:p>
            <w:r>
              <w:rPr>
                <w:color w:val="1A1A2E"/>
                <w:sz w:val="18"/>
              </w:rPr>
              <w:t>Backtest win rate</w:t>
            </w:r>
          </w:p>
        </w:tc>
        <w:tc>
          <w:tcPr>
            <w:tcW w:type="dxa" w:w="3120"/>
            <w:vAlign w:val="top"/>
          </w:tcPr>
          <w:p>
            <w:r>
              <w:rPr>
                <w:color w:val="1A1A2E"/>
                <w:sz w:val="18"/>
              </w:rPr>
              <w:t>≥ 50%</w:t>
            </w:r>
          </w:p>
        </w:tc>
        <w:tc>
          <w:tcPr>
            <w:tcW w:type="dxa" w:w="3120"/>
            <w:vAlign w:val="top"/>
          </w:tcPr>
          <w:p>
            <w:r>
              <w:rPr>
                <w:color w:val="1A1A2E"/>
                <w:sz w:val="18"/>
              </w:rPr>
              <w:t>56.46%</w:t>
            </w:r>
          </w:p>
        </w:tc>
      </w:tr>
      <w:tr>
        <w:tc>
          <w:tcPr>
            <w:tcW w:type="dxa" w:w="3120"/>
            <w:vAlign w:val="top"/>
          </w:tcPr>
          <w:p>
            <w:r>
              <w:rPr>
                <w:color w:val="1A1A2E"/>
                <w:sz w:val="18"/>
              </w:rPr>
              <w:t>Profit factor</w:t>
            </w:r>
          </w:p>
        </w:tc>
        <w:tc>
          <w:tcPr>
            <w:tcW w:type="dxa" w:w="3120"/>
            <w:vAlign w:val="top"/>
          </w:tcPr>
          <w:p>
            <w:r>
              <w:rPr>
                <w:color w:val="1A1A2E"/>
                <w:sz w:val="18"/>
              </w:rPr>
              <w:t>≥ 1.5</w:t>
            </w:r>
          </w:p>
        </w:tc>
        <w:tc>
          <w:tcPr>
            <w:tcW w:type="dxa" w:w="3120"/>
            <w:vAlign w:val="top"/>
          </w:tcPr>
          <w:p>
            <w:r>
              <w:rPr>
                <w:color w:val="1A1A2E"/>
                <w:sz w:val="18"/>
              </w:rPr>
              <w:t>2.53</w:t>
            </w:r>
          </w:p>
        </w:tc>
      </w:tr>
      <w:tr>
        <w:tc>
          <w:tcPr>
            <w:tcW w:type="dxa" w:w="3120"/>
            <w:vAlign w:val="top"/>
          </w:tcPr>
          <w:p>
            <w:r>
              <w:rPr>
                <w:color w:val="1A1A2E"/>
                <w:sz w:val="18"/>
              </w:rPr>
              <w:t>Sharpe ratio</w:t>
            </w:r>
          </w:p>
        </w:tc>
        <w:tc>
          <w:tcPr>
            <w:tcW w:type="dxa" w:w="3120"/>
            <w:vAlign w:val="top"/>
          </w:tcPr>
          <w:p>
            <w:r>
              <w:rPr>
                <w:color w:val="1A1A2E"/>
                <w:sz w:val="18"/>
              </w:rPr>
              <w:t>≥ 1.0</w:t>
            </w:r>
          </w:p>
        </w:tc>
        <w:tc>
          <w:tcPr>
            <w:tcW w:type="dxa" w:w="3120"/>
            <w:vAlign w:val="top"/>
          </w:tcPr>
          <w:p>
            <w:r>
              <w:rPr>
                <w:color w:val="1A1A2E"/>
                <w:sz w:val="18"/>
              </w:rPr>
              <w:t>6.48</w:t>
            </w:r>
          </w:p>
        </w:tc>
      </w:tr>
      <w:tr>
        <w:tc>
          <w:tcPr>
            <w:tcW w:type="dxa" w:w="3120"/>
            <w:vAlign w:val="top"/>
          </w:tcPr>
          <w:p>
            <w:r>
              <w:rPr>
                <w:color w:val="1A1A2E"/>
                <w:sz w:val="18"/>
              </w:rPr>
              <w:t>Max drawdown</w:t>
            </w:r>
          </w:p>
        </w:tc>
        <w:tc>
          <w:tcPr>
            <w:tcW w:type="dxa" w:w="3120"/>
            <w:vAlign w:val="top"/>
          </w:tcPr>
          <w:p>
            <w:r>
              <w:rPr>
                <w:color w:val="1A1A2E"/>
                <w:sz w:val="18"/>
              </w:rPr>
              <w:t>≤ 30%</w:t>
            </w:r>
          </w:p>
        </w:tc>
        <w:tc>
          <w:tcPr>
            <w:tcW w:type="dxa" w:w="3120"/>
            <w:vAlign w:val="top"/>
          </w:tcPr>
          <w:p>
            <w:r>
              <w:rPr>
                <w:color w:val="1A1A2E"/>
                <w:sz w:val="18"/>
              </w:rPr>
              <w:t>21.36%</w:t>
            </w:r>
          </w:p>
        </w:tc>
      </w:tr>
      <w:tr>
        <w:tc>
          <w:tcPr>
            <w:tcW w:type="dxa" w:w="3120"/>
            <w:vAlign w:val="top"/>
          </w:tcPr>
          <w:p>
            <w:r>
              <w:rPr>
                <w:color w:val="1A1A2E"/>
                <w:sz w:val="18"/>
              </w:rPr>
              <w:t>Inference latency</w:t>
            </w:r>
          </w:p>
        </w:tc>
        <w:tc>
          <w:tcPr>
            <w:tcW w:type="dxa" w:w="3120"/>
            <w:vAlign w:val="top"/>
          </w:tcPr>
          <w:p>
            <w:r>
              <w:rPr>
                <w:color w:val="1A1A2E"/>
                <w:sz w:val="18"/>
              </w:rPr>
              <w:t>≤ 10 ms</w:t>
            </w:r>
          </w:p>
        </w:tc>
        <w:tc>
          <w:tcPr>
            <w:tcW w:type="dxa" w:w="3120"/>
            <w:vAlign w:val="top"/>
          </w:tcPr>
          <w:p>
            <w:r>
              <w:rPr>
                <w:color w:val="1A1A2E"/>
                <w:sz w:val="18"/>
              </w:rPr>
              <w:t>0.05 ms (XGBoost)</w:t>
            </w:r>
          </w:p>
        </w:tc>
      </w:tr>
    </w:tbl>
    <w:p/>
    <w:p>
      <w:pPr>
        <w:pStyle w:val="Heading2"/>
      </w:pPr>
      <w:r>
        <w:t>4. Technology Stack</w:t>
      </w:r>
    </w:p>
    <w:p>
      <w:pPr>
        <w:pStyle w:val="Heading3"/>
      </w:pPr>
      <w:r>
        <w:t>4.1 Core Languages &amp; Runtimes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Component</w:t>
            </w:r>
          </w:p>
        </w:tc>
        <w:tc>
          <w:tcPr>
            <w:tcW w:type="dxa" w:w="3120"/>
            <w:vAlign w:val="top"/>
            <w:shd w:val="clear" w:color="auto" w:fill="1C2128"/>
          </w:tcPr>
          <w:p>
            <w:r>
              <w:rPr>
                <w:b/>
                <w:color w:val="FFFFFF"/>
                <w:sz w:val="18"/>
              </w:rPr>
              <w:t>Technology</w:t>
            </w:r>
          </w:p>
        </w:tc>
        <w:tc>
          <w:tcPr>
            <w:tcW w:type="dxa" w:w="3120"/>
            <w:vAlign w:val="top"/>
            <w:shd w:val="clear" w:color="auto" w:fill="1C2128"/>
          </w:tcPr>
          <w:p>
            <w:r>
              <w:rPr>
                <w:b/>
                <w:color w:val="FFFFFF"/>
                <w:sz w:val="18"/>
              </w:rPr>
              <w:t>Version</w:t>
            </w:r>
          </w:p>
        </w:tc>
      </w:tr>
      <w:tr>
        <w:tc>
          <w:tcPr>
            <w:tcW w:type="dxa" w:w="3120"/>
            <w:vAlign w:val="top"/>
          </w:tcPr>
          <w:p>
            <w:r>
              <w:rPr>
                <w:color w:val="1A1A2E"/>
                <w:sz w:val="18"/>
              </w:rPr>
              <w:t>Pipeline language</w:t>
            </w:r>
          </w:p>
        </w:tc>
        <w:tc>
          <w:tcPr>
            <w:tcW w:type="dxa" w:w="3120"/>
            <w:vAlign w:val="top"/>
          </w:tcPr>
          <w:p>
            <w:r>
              <w:rPr>
                <w:color w:val="1A1A2E"/>
                <w:sz w:val="18"/>
              </w:rPr>
              <w:t>Python</w:t>
            </w:r>
          </w:p>
        </w:tc>
        <w:tc>
          <w:tcPr>
            <w:tcW w:type="dxa" w:w="3120"/>
            <w:vAlign w:val="top"/>
          </w:tcPr>
          <w:p>
            <w:r>
              <w:rPr>
                <w:color w:val="1A1A2E"/>
                <w:sz w:val="18"/>
              </w:rPr>
              <w:t>3.10+</w:t>
            </w:r>
          </w:p>
        </w:tc>
      </w:tr>
      <w:tr>
        <w:tc>
          <w:tcPr>
            <w:tcW w:type="dxa" w:w="3120"/>
            <w:vAlign w:val="top"/>
          </w:tcPr>
          <w:p>
            <w:r>
              <w:rPr>
                <w:color w:val="1A1A2E"/>
                <w:sz w:val="18"/>
              </w:rPr>
              <w:t>ML models</w:t>
            </w:r>
          </w:p>
        </w:tc>
        <w:tc>
          <w:tcPr>
            <w:tcW w:type="dxa" w:w="3120"/>
            <w:vAlign w:val="top"/>
          </w:tcPr>
          <w:p>
            <w:r>
              <w:rPr>
                <w:color w:val="1A1A2E"/>
                <w:sz w:val="18"/>
              </w:rPr>
              <w:t>scikit-learn, XGBoost, LightGBM</w:t>
            </w:r>
          </w:p>
        </w:tc>
        <w:tc>
          <w:tcPr>
            <w:tcW w:type="dxa" w:w="3120"/>
            <w:vAlign w:val="top"/>
          </w:tcPr>
          <w:p>
            <w:r>
              <w:rPr>
                <w:color w:val="1A1A2E"/>
                <w:sz w:val="18"/>
              </w:rPr>
              <w:t>Latest stable</w:t>
            </w:r>
          </w:p>
        </w:tc>
      </w:tr>
      <w:tr>
        <w:tc>
          <w:tcPr>
            <w:tcW w:type="dxa" w:w="3120"/>
            <w:vAlign w:val="top"/>
          </w:tcPr>
          <w:p>
            <w:r>
              <w:rPr>
                <w:color w:val="1A1A2E"/>
                <w:sz w:val="18"/>
              </w:rPr>
              <w:t>Data manipulation</w:t>
            </w:r>
          </w:p>
        </w:tc>
        <w:tc>
          <w:tcPr>
            <w:tcW w:type="dxa" w:w="3120"/>
            <w:vAlign w:val="top"/>
          </w:tcPr>
          <w:p>
            <w:r>
              <w:rPr>
                <w:color w:val="1A1A2E"/>
                <w:sz w:val="18"/>
              </w:rPr>
              <w:t>pandas, NumPy</w:t>
            </w:r>
          </w:p>
        </w:tc>
        <w:tc>
          <w:tcPr>
            <w:tcW w:type="dxa" w:w="3120"/>
            <w:vAlign w:val="top"/>
          </w:tcPr>
          <w:p>
            <w:r>
              <w:rPr>
                <w:color w:val="1A1A2E"/>
                <w:sz w:val="18"/>
              </w:rPr>
              <w:t>2.x / 1.x</w:t>
            </w:r>
          </w:p>
        </w:tc>
      </w:tr>
      <w:tr>
        <w:tc>
          <w:tcPr>
            <w:tcW w:type="dxa" w:w="3120"/>
            <w:vAlign w:val="top"/>
          </w:tcPr>
          <w:p>
            <w:r>
              <w:rPr>
                <w:color w:val="1A1A2E"/>
                <w:sz w:val="18"/>
              </w:rPr>
              <w:t>Hyperparameter optimization</w:t>
            </w:r>
          </w:p>
        </w:tc>
        <w:tc>
          <w:tcPr>
            <w:tcW w:type="dxa" w:w="3120"/>
            <w:vAlign w:val="top"/>
          </w:tcPr>
          <w:p>
            <w:r>
              <w:rPr>
                <w:color w:val="1A1A2E"/>
                <w:sz w:val="18"/>
              </w:rPr>
              <w:t>Optuna (TPE sampler)</w:t>
            </w:r>
          </w:p>
        </w:tc>
        <w:tc>
          <w:tcPr>
            <w:tcW w:type="dxa" w:w="3120"/>
            <w:vAlign w:val="top"/>
          </w:tcPr>
          <w:p>
            <w:r>
              <w:rPr>
                <w:color w:val="1A1A2E"/>
                <w:sz w:val="18"/>
              </w:rPr>
              <w:t>3.x</w:t>
            </w:r>
          </w:p>
        </w:tc>
      </w:tr>
      <w:tr>
        <w:tc>
          <w:tcPr>
            <w:tcW w:type="dxa" w:w="3120"/>
            <w:vAlign w:val="top"/>
          </w:tcPr>
          <w:p>
            <w:r>
              <w:rPr>
                <w:color w:val="1A1A2E"/>
                <w:sz w:val="18"/>
              </w:rPr>
              <w:t>Data persistence</w:t>
            </w:r>
          </w:p>
        </w:tc>
        <w:tc>
          <w:tcPr>
            <w:tcW w:type="dxa" w:w="3120"/>
            <w:vAlign w:val="top"/>
          </w:tcPr>
          <w:p>
            <w:r>
              <w:rPr>
                <w:color w:val="1A1A2E"/>
                <w:sz w:val="18"/>
              </w:rPr>
              <w:t>Apache Parquet (via pyarrow)</w:t>
            </w:r>
          </w:p>
        </w:tc>
        <w:tc>
          <w:tcPr>
            <w:tcW w:type="dxa" w:w="3120"/>
            <w:vAlign w:val="top"/>
          </w:tcPr>
          <w:p>
            <w:r>
              <w:rPr>
                <w:color w:val="1A1A2E"/>
                <w:sz w:val="18"/>
              </w:rPr>
              <w:t>—</w:t>
            </w:r>
          </w:p>
        </w:tc>
      </w:tr>
      <w:tr>
        <w:tc>
          <w:tcPr>
            <w:tcW w:type="dxa" w:w="3120"/>
            <w:vAlign w:val="top"/>
          </w:tcPr>
          <w:p>
            <w:r>
              <w:rPr>
                <w:color w:val="1A1A2E"/>
                <w:sz w:val="18"/>
              </w:rPr>
              <w:t>Serialization</w:t>
            </w:r>
          </w:p>
        </w:tc>
        <w:tc>
          <w:tcPr>
            <w:tcW w:type="dxa" w:w="3120"/>
            <w:vAlign w:val="top"/>
          </w:tcPr>
          <w:p>
            <w:r>
              <w:rPr>
                <w:color w:val="1A1A2E"/>
                <w:sz w:val="18"/>
              </w:rPr>
              <w:t>joblib</w:t>
            </w:r>
          </w:p>
        </w:tc>
        <w:tc>
          <w:tcPr>
            <w:tcW w:type="dxa" w:w="3120"/>
            <w:vAlign w:val="top"/>
          </w:tcPr>
          <w:p>
            <w:r>
              <w:rPr>
                <w:color w:val="1A1A2E"/>
                <w:sz w:val="18"/>
              </w:rPr>
              <w:t>—</w:t>
            </w:r>
          </w:p>
        </w:tc>
      </w:tr>
      <w:tr>
        <w:tc>
          <w:tcPr>
            <w:tcW w:type="dxa" w:w="3120"/>
            <w:vAlign w:val="top"/>
          </w:tcPr>
          <w:p>
            <w:r>
              <w:rPr>
                <w:color w:val="1A1A2E"/>
                <w:sz w:val="18"/>
              </w:rPr>
              <w:t>API framework</w:t>
            </w:r>
          </w:p>
        </w:tc>
        <w:tc>
          <w:tcPr>
            <w:tcW w:type="dxa" w:w="3120"/>
            <w:vAlign w:val="top"/>
          </w:tcPr>
          <w:p>
            <w:r>
              <w:rPr>
                <w:color w:val="1A1A2E"/>
                <w:sz w:val="18"/>
              </w:rPr>
              <w:t>FastAPI + Uvicorn</w:t>
            </w:r>
          </w:p>
        </w:tc>
        <w:tc>
          <w:tcPr>
            <w:tcW w:type="dxa" w:w="3120"/>
            <w:vAlign w:val="top"/>
          </w:tcPr>
          <w:p>
            <w:r>
              <w:rPr>
                <w:color w:val="1A1A2E"/>
                <w:sz w:val="18"/>
              </w:rPr>
              <w:t>—</w:t>
            </w:r>
          </w:p>
        </w:tc>
      </w:tr>
      <w:tr>
        <w:tc>
          <w:tcPr>
            <w:tcW w:type="dxa" w:w="3120"/>
            <w:vAlign w:val="top"/>
          </w:tcPr>
          <w:p>
            <w:r>
              <w:rPr>
                <w:color w:val="1A1A2E"/>
                <w:sz w:val="18"/>
              </w:rPr>
              <w:t>Frontend</w:t>
            </w:r>
          </w:p>
        </w:tc>
        <w:tc>
          <w:tcPr>
            <w:tcW w:type="dxa" w:w="3120"/>
            <w:vAlign w:val="top"/>
          </w:tcPr>
          <w:p>
            <w:r>
              <w:rPr>
                <w:color w:val="1A1A2E"/>
                <w:sz w:val="18"/>
              </w:rPr>
              <w:t>Next.js (TypeScript)</w:t>
            </w:r>
          </w:p>
        </w:tc>
        <w:tc>
          <w:tcPr>
            <w:tcW w:type="dxa" w:w="3120"/>
            <w:vAlign w:val="top"/>
          </w:tcPr>
          <w:p>
            <w:r>
              <w:rPr>
                <w:color w:val="1A1A2E"/>
                <w:sz w:val="18"/>
              </w:rPr>
              <w:t>—</w:t>
            </w:r>
          </w:p>
        </w:tc>
      </w:tr>
      <w:tr>
        <w:tc>
          <w:tcPr>
            <w:tcW w:type="dxa" w:w="3120"/>
            <w:vAlign w:val="top"/>
          </w:tcPr>
          <w:p>
            <w:r>
              <w:rPr>
                <w:color w:val="1A1A2E"/>
                <w:sz w:val="18"/>
              </w:rPr>
              <w:t>Deployment</w:t>
            </w:r>
          </w:p>
        </w:tc>
        <w:tc>
          <w:tcPr>
            <w:tcW w:type="dxa" w:w="3120"/>
            <w:vAlign w:val="top"/>
          </w:tcPr>
          <w:p>
            <w:r>
              <w:rPr>
                <w:color w:val="1A1A2E"/>
                <w:sz w:val="18"/>
              </w:rPr>
              <w:t>Railway (cloud PaaS)</w:t>
            </w:r>
          </w:p>
        </w:tc>
        <w:tc>
          <w:tcPr>
            <w:tcW w:type="dxa" w:w="3120"/>
            <w:vAlign w:val="top"/>
          </w:tcPr>
          <w:p>
            <w:r>
              <w:rPr>
                <w:color w:val="1A1A2E"/>
                <w:sz w:val="18"/>
              </w:rPr>
              <w:t>—</w:t>
            </w:r>
          </w:p>
        </w:tc>
      </w:tr>
      <w:tr>
        <w:tc>
          <w:tcPr>
            <w:tcW w:type="dxa" w:w="3120"/>
            <w:vAlign w:val="top"/>
          </w:tcPr>
          <w:p>
            <w:r>
              <w:rPr>
                <w:color w:val="1A1A2E"/>
                <w:sz w:val="18"/>
              </w:rPr>
              <w:t>Broker data source</w:t>
            </w:r>
          </w:p>
        </w:tc>
        <w:tc>
          <w:tcPr>
            <w:tcW w:type="dxa" w:w="3120"/>
            <w:vAlign w:val="top"/>
          </w:tcPr>
          <w:p>
            <w:r>
              <w:rPr>
                <w:color w:val="1A1A2E"/>
                <w:sz w:val="18"/>
              </w:rPr>
              <w:t>MetaTrader 5 Python API</w:t>
            </w:r>
          </w:p>
        </w:tc>
        <w:tc>
          <w:tcPr>
            <w:tcW w:type="dxa" w:w="3120"/>
            <w:vAlign w:val="top"/>
          </w:tcPr>
          <w:p>
            <w:r>
              <w:rPr>
                <w:color w:val="1A1A2E"/>
                <w:sz w:val="18"/>
              </w:rPr>
              <w:t>—</w:t>
            </w:r>
          </w:p>
        </w:tc>
      </w:tr>
    </w:tbl>
    <w:p/>
    <w:p>
      <w:pPr>
        <w:pStyle w:val="Heading3"/>
      </w:pPr>
      <w:r>
        <w:t>4.2 Machine Learning Stack</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w:t>
        <w:br/>
        <w:t>│  Scikit-learn API surface (Pipeline, BaseEstimator)       │</w:t>
        <w:br/>
        <w:t>│                                                          │</w:t>
        <w:br/>
        <w:t>│  ┌────────────┐  ┌───────────┐  ┌───────────┐  ┌──────┐ │</w:t>
        <w:br/>
        <w:t>│  │  XGBoost   │  │ LightGBM  │  │  Random   │  │Extra │ │</w:t>
        <w:br/>
        <w:t>│  │ Classifier │  │ Classifier│  │  Forest   │  │Trees │ │</w:t>
        <w:br/>
        <w:t>│  └────────────┘  └───────────┘  └───────────┘  └──────┘ │</w:t>
        <w:br/>
        <w:t>│                                                          │</w:t>
        <w:br/>
        <w:t>│  ColumnImputer (custom, column-wise, skips datetime)     │</w:t>
        <w:br/>
        <w:t>│  Optuna TPE Sampler (Bayesian optimization)              │</w:t>
        <w:br/>
        <w:t>└──────────────────────────────────────────────────────────┘</w:t>
      </w:r>
    </w:p>
    <w:p>
      <w:pPr>
        <w:pStyle w:val="Heading3"/>
      </w:pPr>
      <w:r>
        <w:t>4.3 Deployment Stack</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w:t>
        <w:br/>
        <w:t>│  LOCAL TRAINING ENVIRONMENT                                       │</w:t>
        <w:br/>
        <w:t>│  Windows 11 · Python · MetaTrader 5 Terminal                     │</w:t>
        <w:br/>
        <w:t>│                                                                   │</w:t>
        <w:br/>
        <w:t>│  models/best_model/   ──→   GitHub Repository                    │</w:t>
        <w:br/>
        <w:t>└──────────────────────────────────────────────────────────────────┘</w:t>
        <w:br/>
        <w:t xml:space="preserve">                                    │</w:t>
        <w:br/>
        <w:t xml:space="preserve">                                    ▼</w:t>
        <w:br/>
        <w:t>┌──────────────────────────────────────────────────────────────────┐</w:t>
        <w:br/>
        <w:t>│  CLOUD (Railway)                                                  │</w:t>
        <w:br/>
        <w:t>│  FastAPI Server                                                   │</w:t>
        <w:br/>
        <w:t>│  • POST /predict        — returns signal + probabilities          │</w:t>
        <w:br/>
        <w:t>│  • GET  /health         — liveness check                          │</w:t>
        <w:br/>
        <w:t>│  • GET  /model-info     — returns feature schema, n_classes       │</w:t>
        <w:br/>
        <w:t>└──────────────────────────────────────────────────────────────────┘</w:t>
        <w:br/>
        <w:t xml:space="preserve">                                    │</w:t>
        <w:br/>
        <w:t xml:space="preserve">                                    ▼</w:t>
        <w:br/>
        <w:t>┌──────────────────────────────────────────────────────────────────┐</w:t>
        <w:br/>
        <w:t>│  FRONTEND                                                         │</w:t>
        <w:br/>
        <w:t>│  Next.js Dashboard                                                │</w:t>
        <w:br/>
        <w:t>│  • Live signal display                                            │</w:t>
        <w:br/>
        <w:t>│  • Equity curve charting                                          │</w:t>
        <w:br/>
        <w:t>│  • Position monitoring                                            │</w:t>
        <w:br/>
        <w:t>└──────────────────────────────────────────────────────────────────┘</w:t>
      </w:r>
    </w:p>
    <w:p>
      <w:pPr>
        <w:pStyle w:val="Heading3"/>
      </w:pPr>
      <w:r>
        <w:t>4.4 Development Environment</w:t>
      </w:r>
    </w:p>
    <w:p>
      <w:pPr>
        <w:ind w:left="360"/>
      </w:pPr>
      <w:r>
        <w:t xml:space="preserve">• </w:t>
      </w:r>
      <w:r>
        <w:rPr>
          <w:b/>
        </w:rPr>
        <w:t>OS:</w:t>
      </w:r>
      <w:r>
        <w:t xml:space="preserve"> Windows 11 Pro 64-bit</w:t>
      </w:r>
    </w:p>
    <w:p>
      <w:pPr>
        <w:ind w:left="360"/>
      </w:pPr>
      <w:r>
        <w:t xml:space="preserve">• </w:t>
      </w:r>
      <w:r>
        <w:rPr>
          <w:b/>
        </w:rPr>
        <w:t>IDE:</w:t>
      </w:r>
      <w:r>
        <w:t xml:space="preserve"> Visual Studio Code with Python extension</w:t>
      </w:r>
    </w:p>
    <w:p>
      <w:pPr>
        <w:ind w:left="360"/>
      </w:pPr>
      <w:r>
        <w:t xml:space="preserve">• </w:t>
      </w:r>
      <w:r>
        <w:rPr>
          <w:b/>
        </w:rPr>
        <w:t>Terminal:</w:t>
      </w:r>
      <w:r>
        <w:t xml:space="preserve"> PowerShell 5.1</w:t>
      </w:r>
    </w:p>
    <w:p>
      <w:pPr>
        <w:ind w:left="360"/>
      </w:pPr>
      <w:r>
        <w:t xml:space="preserve">• </w:t>
      </w:r>
      <w:r>
        <w:rPr>
          <w:b/>
        </w:rPr>
        <w:t>Version control:</w:t>
      </w:r>
      <w:r>
        <w:t xml:space="preserve"> Git / GitHub</w:t>
      </w:r>
    </w:p>
    <w:p>
      <w:pPr>
        <w:ind w:left="360"/>
      </w:pPr>
      <w:r>
        <w:t xml:space="preserve">• </w:t>
      </w:r>
      <w:r>
        <w:rPr>
          <w:b/>
        </w:rPr>
        <w:t>Environment management:</w:t>
      </w:r>
      <w:r>
        <w:t xml:space="preserve"> Conda / pip</w:t>
      </w:r>
    </w:p>
    <w:p>
      <w:pPr>
        <w:ind w:left="360"/>
      </w:pPr>
      <w:r>
        <w:t xml:space="preserve">• </w:t>
      </w:r>
      <w:r>
        <w:rPr>
          <w:b/>
        </w:rPr>
        <w:t>MT5 Terminal:</w:t>
      </w:r>
      <w:r>
        <w:t xml:space="preserve"> MetaQuotes Demo Server</w:t>
      </w:r>
    </w:p>
    <w:p>
      <w:pPr>
        <w:pStyle w:val="Heading2"/>
      </w:pPr>
      <w:r>
        <w:t>5. Data Pipeline — Ingestion</w:t>
      </w:r>
    </w:p>
    <w:p>
      <w:pPr>
        <w:pStyle w:val="Heading3"/>
      </w:pPr>
      <w:r>
        <w:t>5.1 Overview</w:t>
      </w:r>
    </w:p>
    <w:p>
      <w:pPr/>
      <w:r>
        <w:t xml:space="preserve">The ingestion stage connects to a MetaTrader 5 terminal running locally on Windows, downloads historical OHLCV candles for five timeframes, validates the downloaded data, and saves each timeframe as a Parquet file in </w:t>
      </w:r>
      <w:r>
        <w:rPr>
          <w:rFonts w:ascii="Consolas" w:hAnsi="Consolas"/>
          <w:color w:val="2E863A"/>
          <w:sz w:val="19"/>
        </w:rPr>
        <w:t>data/raw/EURUSD/</w:t>
      </w:r>
      <w:r>
        <w:t>. This is the only stage that requires internet connectivity and a running MT5 terminal.</w:t>
      </w:r>
    </w:p>
    <w:p>
      <w:pPr>
        <w:pStyle w:val="Heading3"/>
      </w:pPr>
      <w:r>
        <w:t>5.2 MetaTrader 5 Configuration</w:t>
      </w:r>
    </w:p>
    <w:p>
      <w:pPr/>
      <w:r>
        <w:t>MT5 credentials are loaded exclusively from environment variables (</w:t>
      </w:r>
      <w:r>
        <w:rPr>
          <w:rFonts w:ascii="Consolas" w:hAnsi="Consolas"/>
          <w:color w:val="2E863A"/>
          <w:sz w:val="19"/>
        </w:rPr>
        <w:t>.env</w:t>
      </w:r>
      <w:r>
        <w:t xml:space="preserve"> file). No credentials are ever hardcoded in source code.</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MT5_LOGIN=</w:t>
        <w:br/>
        <w:t>MT5_PASSWORD=</w:t>
        <w:br/>
        <w:t>MT5_SERVER=</w:t>
      </w:r>
    </w:p>
    <w:p>
      <w:pPr/>
      <w:r>
        <w:t xml:space="preserve">The </w:t>
      </w:r>
      <w:r>
        <w:rPr>
          <w:rFonts w:ascii="Consolas" w:hAnsi="Consolas"/>
          <w:color w:val="2E863A"/>
          <w:sz w:val="19"/>
        </w:rPr>
        <w:t>MT5Config</w:t>
      </w:r>
      <w:r>
        <w:t xml:space="preserve"> dataclass wraps these values and is passed to </w:t>
      </w:r>
      <w:r>
        <w:rPr>
          <w:rFonts w:ascii="Consolas" w:hAnsi="Consolas"/>
          <w:color w:val="2E863A"/>
          <w:sz w:val="19"/>
        </w:rPr>
        <w:t>MT5Downloader</w:t>
      </w:r>
      <w:r>
        <w:t>:</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@dataclass</w:t>
        <w:br/>
        <w:t>class MT5Config:</w:t>
        <w:br/>
        <w:t xml:space="preserve">    login:    int</w:t>
        <w:br/>
        <w:t xml:space="preserve">    password: str</w:t>
        <w:br/>
        <w:t xml:space="preserve">    server:   str</w:t>
        <w:br/>
        <w:t xml:space="preserve">    timeout:  int = 60_000  # milliseconds</w:t>
      </w:r>
    </w:p>
    <w:p>
      <w:pPr>
        <w:pStyle w:val="Heading3"/>
      </w:pPr>
      <w:r>
        <w:t>5.3 Timeframes Downloaded</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Timeframe</w:t>
            </w:r>
          </w:p>
        </w:tc>
        <w:tc>
          <w:tcPr>
            <w:tcW w:type="dxa" w:w="3120"/>
            <w:vAlign w:val="top"/>
            <w:shd w:val="clear" w:color="auto" w:fill="1C2128"/>
          </w:tcPr>
          <w:p>
            <w:r>
              <w:rPr>
                <w:b/>
                <w:color w:val="FFFFFF"/>
                <w:sz w:val="18"/>
              </w:rPr>
              <w:t>MT5 Constant</w:t>
            </w:r>
          </w:p>
        </w:tc>
        <w:tc>
          <w:tcPr>
            <w:tcW w:type="dxa" w:w="3120"/>
            <w:vAlign w:val="top"/>
            <w:shd w:val="clear" w:color="auto" w:fill="1C2128"/>
          </w:tcPr>
          <w:p>
            <w:r>
              <w:rPr>
                <w:b/>
                <w:color w:val="FFFFFF"/>
                <w:sz w:val="18"/>
              </w:rPr>
              <w:t>Purpose</w:t>
            </w:r>
          </w:p>
        </w:tc>
      </w:tr>
      <w:tr>
        <w:tc>
          <w:tcPr>
            <w:tcW w:type="dxa" w:w="3120"/>
            <w:vAlign w:val="top"/>
          </w:tcPr>
          <w:p>
            <w:r>
              <w:rPr>
                <w:color w:val="1A1A2E"/>
                <w:sz w:val="18"/>
              </w:rPr>
              <w:t>M15</w:t>
            </w:r>
          </w:p>
        </w:tc>
        <w:tc>
          <w:tcPr>
            <w:tcW w:type="dxa" w:w="3120"/>
            <w:vAlign w:val="top"/>
          </w:tcPr>
          <w:p>
            <w:r>
              <w:rPr>
                <w:color w:val="1A1A2E"/>
                <w:sz w:val="18"/>
              </w:rPr>
            </w:r>
            <w:r>
              <w:rPr>
                <w:rFonts w:ascii="Consolas" w:hAnsi="Consolas"/>
                <w:color w:val="2E863A"/>
                <w:sz w:val="18"/>
              </w:rPr>
              <w:t>TIMEFRAME_M15</w:t>
            </w:r>
            <w:r>
              <w:rPr>
                <w:color w:val="1A1A2E"/>
                <w:sz w:val="18"/>
              </w:rPr>
            </w:r>
          </w:p>
        </w:tc>
        <w:tc>
          <w:tcPr>
            <w:tcW w:type="dxa" w:w="3120"/>
            <w:vAlign w:val="top"/>
          </w:tcPr>
          <w:p>
            <w:r>
              <w:rPr>
                <w:color w:val="1A1A2E"/>
                <w:sz w:val="18"/>
              </w:rPr>
              <w:t>Primary prediction timeframe</w:t>
            </w:r>
          </w:p>
        </w:tc>
      </w:tr>
      <w:tr>
        <w:tc>
          <w:tcPr>
            <w:tcW w:type="dxa" w:w="3120"/>
            <w:vAlign w:val="top"/>
          </w:tcPr>
          <w:p>
            <w:r>
              <w:rPr>
                <w:color w:val="1A1A2E"/>
                <w:sz w:val="18"/>
              </w:rPr>
              <w:t>H1</w:t>
            </w:r>
          </w:p>
        </w:tc>
        <w:tc>
          <w:tcPr>
            <w:tcW w:type="dxa" w:w="3120"/>
            <w:vAlign w:val="top"/>
          </w:tcPr>
          <w:p>
            <w:r>
              <w:rPr>
                <w:color w:val="1A1A2E"/>
                <w:sz w:val="18"/>
              </w:rPr>
            </w:r>
            <w:r>
              <w:rPr>
                <w:rFonts w:ascii="Consolas" w:hAnsi="Consolas"/>
                <w:color w:val="2E863A"/>
                <w:sz w:val="18"/>
              </w:rPr>
              <w:t>TIMEFRAME_H1</w:t>
            </w:r>
            <w:r>
              <w:rPr>
                <w:color w:val="1A1A2E"/>
                <w:sz w:val="18"/>
              </w:rPr>
            </w:r>
          </w:p>
        </w:tc>
        <w:tc>
          <w:tcPr>
            <w:tcW w:type="dxa" w:w="3120"/>
            <w:vAlign w:val="top"/>
          </w:tcPr>
          <w:p>
            <w:r>
              <w:rPr>
                <w:color w:val="1A1A2E"/>
                <w:sz w:val="18"/>
              </w:rPr>
              <w:t>Short-term context</w:t>
            </w:r>
          </w:p>
        </w:tc>
      </w:tr>
      <w:tr>
        <w:tc>
          <w:tcPr>
            <w:tcW w:type="dxa" w:w="3120"/>
            <w:vAlign w:val="top"/>
          </w:tcPr>
          <w:p>
            <w:r>
              <w:rPr>
                <w:color w:val="1A1A2E"/>
                <w:sz w:val="18"/>
              </w:rPr>
              <w:t>H4</w:t>
            </w:r>
          </w:p>
        </w:tc>
        <w:tc>
          <w:tcPr>
            <w:tcW w:type="dxa" w:w="3120"/>
            <w:vAlign w:val="top"/>
          </w:tcPr>
          <w:p>
            <w:r>
              <w:rPr>
                <w:color w:val="1A1A2E"/>
                <w:sz w:val="18"/>
              </w:rPr>
            </w:r>
            <w:r>
              <w:rPr>
                <w:rFonts w:ascii="Consolas" w:hAnsi="Consolas"/>
                <w:color w:val="2E863A"/>
                <w:sz w:val="18"/>
              </w:rPr>
              <w:t>TIMEFRAME_H4</w:t>
            </w:r>
            <w:r>
              <w:rPr>
                <w:color w:val="1A1A2E"/>
                <w:sz w:val="18"/>
              </w:rPr>
            </w:r>
          </w:p>
        </w:tc>
        <w:tc>
          <w:tcPr>
            <w:tcW w:type="dxa" w:w="3120"/>
            <w:vAlign w:val="top"/>
          </w:tcPr>
          <w:p>
            <w:r>
              <w:rPr>
                <w:color w:val="1A1A2E"/>
                <w:sz w:val="18"/>
              </w:rPr>
              <w:t>Intraday trend</w:t>
            </w:r>
          </w:p>
        </w:tc>
      </w:tr>
      <w:tr>
        <w:tc>
          <w:tcPr>
            <w:tcW w:type="dxa" w:w="3120"/>
            <w:vAlign w:val="top"/>
          </w:tcPr>
          <w:p>
            <w:r>
              <w:rPr>
                <w:color w:val="1A1A2E"/>
                <w:sz w:val="18"/>
              </w:rPr>
              <w:t>D1</w:t>
            </w:r>
          </w:p>
        </w:tc>
        <w:tc>
          <w:tcPr>
            <w:tcW w:type="dxa" w:w="3120"/>
            <w:vAlign w:val="top"/>
          </w:tcPr>
          <w:p>
            <w:r>
              <w:rPr>
                <w:color w:val="1A1A2E"/>
                <w:sz w:val="18"/>
              </w:rPr>
            </w:r>
            <w:r>
              <w:rPr>
                <w:rFonts w:ascii="Consolas" w:hAnsi="Consolas"/>
                <w:color w:val="2E863A"/>
                <w:sz w:val="18"/>
              </w:rPr>
              <w:t>TIMEFRAME_D1</w:t>
            </w:r>
            <w:r>
              <w:rPr>
                <w:color w:val="1A1A2E"/>
                <w:sz w:val="18"/>
              </w:rPr>
            </w:r>
          </w:p>
        </w:tc>
        <w:tc>
          <w:tcPr>
            <w:tcW w:type="dxa" w:w="3120"/>
            <w:vAlign w:val="top"/>
          </w:tcPr>
          <w:p>
            <w:r>
              <w:rPr>
                <w:color w:val="1A1A2E"/>
                <w:sz w:val="18"/>
              </w:rPr>
              <w:t>Daily bias</w:t>
            </w:r>
          </w:p>
        </w:tc>
      </w:tr>
      <w:tr>
        <w:tc>
          <w:tcPr>
            <w:tcW w:type="dxa" w:w="3120"/>
            <w:vAlign w:val="top"/>
          </w:tcPr>
          <w:p>
            <w:r>
              <w:rPr>
                <w:color w:val="1A1A2E"/>
                <w:sz w:val="18"/>
              </w:rPr>
              <w:t>W1</w:t>
            </w:r>
          </w:p>
        </w:tc>
        <w:tc>
          <w:tcPr>
            <w:tcW w:type="dxa" w:w="3120"/>
            <w:vAlign w:val="top"/>
          </w:tcPr>
          <w:p>
            <w:r>
              <w:rPr>
                <w:color w:val="1A1A2E"/>
                <w:sz w:val="18"/>
              </w:rPr>
            </w:r>
            <w:r>
              <w:rPr>
                <w:rFonts w:ascii="Consolas" w:hAnsi="Consolas"/>
                <w:color w:val="2E863A"/>
                <w:sz w:val="18"/>
              </w:rPr>
              <w:t>TIMEFRAME_W1</w:t>
            </w:r>
            <w:r>
              <w:rPr>
                <w:color w:val="1A1A2E"/>
                <w:sz w:val="18"/>
              </w:rPr>
            </w:r>
          </w:p>
        </w:tc>
        <w:tc>
          <w:tcPr>
            <w:tcW w:type="dxa" w:w="3120"/>
            <w:vAlign w:val="top"/>
          </w:tcPr>
          <w:p>
            <w:r>
              <w:rPr>
                <w:color w:val="1A1A2E"/>
                <w:sz w:val="18"/>
              </w:rPr>
              <w:t>Weekly structure</w:t>
            </w:r>
          </w:p>
        </w:tc>
      </w:tr>
    </w:tbl>
    <w:p/>
    <w:p>
      <w:pPr>
        <w:pStyle w:val="Heading3"/>
      </w:pPr>
      <w:r>
        <w:t>5.4 OHLCV Column Schema</w:t>
      </w:r>
    </w:p>
    <w:p>
      <w:pPr/>
      <w:r>
        <w:t>Each downloaded file contains exactly these columns in canonical order:</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Column</w:t>
            </w:r>
          </w:p>
        </w:tc>
        <w:tc>
          <w:tcPr>
            <w:tcW w:type="dxa" w:w="3120"/>
            <w:vAlign w:val="top"/>
            <w:shd w:val="clear" w:color="auto" w:fill="1C2128"/>
          </w:tcPr>
          <w:p>
            <w:r>
              <w:rPr>
                <w:b/>
                <w:color w:val="FFFFFF"/>
                <w:sz w:val="18"/>
              </w:rPr>
              <w:t>Type</w:t>
            </w:r>
          </w:p>
        </w:tc>
        <w:tc>
          <w:tcPr>
            <w:tcW w:type="dxa" w:w="3120"/>
            <w:vAlign w:val="top"/>
            <w:shd w:val="clear" w:color="auto" w:fill="1C2128"/>
          </w:tcPr>
          <w:p>
            <w:r>
              <w:rPr>
                <w:b/>
                <w:color w:val="FFFFFF"/>
                <w:sz w:val="18"/>
              </w:rPr>
              <w:t>Description</w:t>
            </w:r>
          </w:p>
        </w:tc>
      </w:tr>
      <w:tr>
        <w:tc>
          <w:tcPr>
            <w:tcW w:type="dxa" w:w="3120"/>
            <w:vAlign w:val="top"/>
          </w:tcPr>
          <w:p>
            <w:r>
              <w:rPr>
                <w:color w:val="1A1A2E"/>
                <w:sz w:val="18"/>
              </w:rPr>
            </w:r>
            <w:r>
              <w:rPr>
                <w:rFonts w:ascii="Consolas" w:hAnsi="Consolas"/>
                <w:color w:val="2E863A"/>
                <w:sz w:val="18"/>
              </w:rPr>
              <w:t>timestamp</w:t>
            </w:r>
            <w:r>
              <w:rPr>
                <w:color w:val="1A1A2E"/>
                <w:sz w:val="18"/>
              </w:rPr>
            </w:r>
          </w:p>
        </w:tc>
        <w:tc>
          <w:tcPr>
            <w:tcW w:type="dxa" w:w="3120"/>
            <w:vAlign w:val="top"/>
          </w:tcPr>
          <w:p>
            <w:r>
              <w:rPr>
                <w:color w:val="1A1A2E"/>
                <w:sz w:val="18"/>
              </w:rPr>
              <w:t>datetime64[ns, UTC]</w:t>
            </w:r>
          </w:p>
        </w:tc>
        <w:tc>
          <w:tcPr>
            <w:tcW w:type="dxa" w:w="3120"/>
            <w:vAlign w:val="top"/>
          </w:tcPr>
          <w:p>
            <w:r>
              <w:rPr>
                <w:color w:val="1A1A2E"/>
                <w:sz w:val="18"/>
              </w:rPr>
              <w:t>Bar open time</w:t>
            </w:r>
          </w:p>
        </w:tc>
      </w:tr>
      <w:tr>
        <w:tc>
          <w:tcPr>
            <w:tcW w:type="dxa" w:w="3120"/>
            <w:vAlign w:val="top"/>
          </w:tcPr>
          <w:p>
            <w:r>
              <w:rPr>
                <w:color w:val="1A1A2E"/>
                <w:sz w:val="18"/>
              </w:rPr>
            </w:r>
            <w:r>
              <w:rPr>
                <w:rFonts w:ascii="Consolas" w:hAnsi="Consolas"/>
                <w:color w:val="2E863A"/>
                <w:sz w:val="18"/>
              </w:rPr>
              <w:t>open</w:t>
            </w:r>
            <w:r>
              <w:rPr>
                <w:color w:val="1A1A2E"/>
                <w:sz w:val="18"/>
              </w:rPr>
            </w:r>
          </w:p>
        </w:tc>
        <w:tc>
          <w:tcPr>
            <w:tcW w:type="dxa" w:w="3120"/>
            <w:vAlign w:val="top"/>
          </w:tcPr>
          <w:p>
            <w:r>
              <w:rPr>
                <w:color w:val="1A1A2E"/>
                <w:sz w:val="18"/>
              </w:rPr>
              <w:t>float64</w:t>
            </w:r>
          </w:p>
        </w:tc>
        <w:tc>
          <w:tcPr>
            <w:tcW w:type="dxa" w:w="3120"/>
            <w:vAlign w:val="top"/>
          </w:tcPr>
          <w:p>
            <w:r>
              <w:rPr>
                <w:color w:val="1A1A2E"/>
                <w:sz w:val="18"/>
              </w:rPr>
              <w:t>Open price</w:t>
            </w:r>
          </w:p>
        </w:tc>
      </w:tr>
      <w:tr>
        <w:tc>
          <w:tcPr>
            <w:tcW w:type="dxa" w:w="3120"/>
            <w:vAlign w:val="top"/>
          </w:tcPr>
          <w:p>
            <w:r>
              <w:rPr>
                <w:color w:val="1A1A2E"/>
                <w:sz w:val="18"/>
              </w:rPr>
            </w:r>
            <w:r>
              <w:rPr>
                <w:rFonts w:ascii="Consolas" w:hAnsi="Consolas"/>
                <w:color w:val="2E863A"/>
                <w:sz w:val="18"/>
              </w:rPr>
              <w:t>high</w:t>
            </w:r>
            <w:r>
              <w:rPr>
                <w:color w:val="1A1A2E"/>
                <w:sz w:val="18"/>
              </w:rPr>
            </w:r>
          </w:p>
        </w:tc>
        <w:tc>
          <w:tcPr>
            <w:tcW w:type="dxa" w:w="3120"/>
            <w:vAlign w:val="top"/>
          </w:tcPr>
          <w:p>
            <w:r>
              <w:rPr>
                <w:color w:val="1A1A2E"/>
                <w:sz w:val="18"/>
              </w:rPr>
              <w:t>float64</w:t>
            </w:r>
          </w:p>
        </w:tc>
        <w:tc>
          <w:tcPr>
            <w:tcW w:type="dxa" w:w="3120"/>
            <w:vAlign w:val="top"/>
          </w:tcPr>
          <w:p>
            <w:r>
              <w:rPr>
                <w:color w:val="1A1A2E"/>
                <w:sz w:val="18"/>
              </w:rPr>
              <w:t>High price</w:t>
            </w:r>
          </w:p>
        </w:tc>
      </w:tr>
      <w:tr>
        <w:tc>
          <w:tcPr>
            <w:tcW w:type="dxa" w:w="3120"/>
            <w:vAlign w:val="top"/>
          </w:tcPr>
          <w:p>
            <w:r>
              <w:rPr>
                <w:color w:val="1A1A2E"/>
                <w:sz w:val="18"/>
              </w:rPr>
            </w:r>
            <w:r>
              <w:rPr>
                <w:rFonts w:ascii="Consolas" w:hAnsi="Consolas"/>
                <w:color w:val="2E863A"/>
                <w:sz w:val="18"/>
              </w:rPr>
              <w:t>low</w:t>
            </w:r>
            <w:r>
              <w:rPr>
                <w:color w:val="1A1A2E"/>
                <w:sz w:val="18"/>
              </w:rPr>
            </w:r>
          </w:p>
        </w:tc>
        <w:tc>
          <w:tcPr>
            <w:tcW w:type="dxa" w:w="3120"/>
            <w:vAlign w:val="top"/>
          </w:tcPr>
          <w:p>
            <w:r>
              <w:rPr>
                <w:color w:val="1A1A2E"/>
                <w:sz w:val="18"/>
              </w:rPr>
              <w:t>float64</w:t>
            </w:r>
          </w:p>
        </w:tc>
        <w:tc>
          <w:tcPr>
            <w:tcW w:type="dxa" w:w="3120"/>
            <w:vAlign w:val="top"/>
          </w:tcPr>
          <w:p>
            <w:r>
              <w:rPr>
                <w:color w:val="1A1A2E"/>
                <w:sz w:val="18"/>
              </w:rPr>
              <w:t>Low price</w:t>
            </w:r>
          </w:p>
        </w:tc>
      </w:tr>
      <w:tr>
        <w:tc>
          <w:tcPr>
            <w:tcW w:type="dxa" w:w="3120"/>
            <w:vAlign w:val="top"/>
          </w:tcPr>
          <w:p>
            <w:r>
              <w:rPr>
                <w:color w:val="1A1A2E"/>
                <w:sz w:val="18"/>
              </w:rPr>
            </w:r>
            <w:r>
              <w:rPr>
                <w:rFonts w:ascii="Consolas" w:hAnsi="Consolas"/>
                <w:color w:val="2E863A"/>
                <w:sz w:val="18"/>
              </w:rPr>
              <w:t>close</w:t>
            </w:r>
            <w:r>
              <w:rPr>
                <w:color w:val="1A1A2E"/>
                <w:sz w:val="18"/>
              </w:rPr>
            </w:r>
          </w:p>
        </w:tc>
        <w:tc>
          <w:tcPr>
            <w:tcW w:type="dxa" w:w="3120"/>
            <w:vAlign w:val="top"/>
          </w:tcPr>
          <w:p>
            <w:r>
              <w:rPr>
                <w:color w:val="1A1A2E"/>
                <w:sz w:val="18"/>
              </w:rPr>
              <w:t>float64</w:t>
            </w:r>
          </w:p>
        </w:tc>
        <w:tc>
          <w:tcPr>
            <w:tcW w:type="dxa" w:w="3120"/>
            <w:vAlign w:val="top"/>
          </w:tcPr>
          <w:p>
            <w:r>
              <w:rPr>
                <w:color w:val="1A1A2E"/>
                <w:sz w:val="18"/>
              </w:rPr>
              <w:t>Close price</w:t>
            </w:r>
          </w:p>
        </w:tc>
      </w:tr>
      <w:tr>
        <w:tc>
          <w:tcPr>
            <w:tcW w:type="dxa" w:w="3120"/>
            <w:vAlign w:val="top"/>
          </w:tcPr>
          <w:p>
            <w:r>
              <w:rPr>
                <w:color w:val="1A1A2E"/>
                <w:sz w:val="18"/>
              </w:rPr>
            </w:r>
            <w:r>
              <w:rPr>
                <w:rFonts w:ascii="Consolas" w:hAnsi="Consolas"/>
                <w:color w:val="2E863A"/>
                <w:sz w:val="18"/>
              </w:rPr>
              <w:t>tick_volume</w:t>
            </w:r>
            <w:r>
              <w:rPr>
                <w:color w:val="1A1A2E"/>
                <w:sz w:val="18"/>
              </w:rPr>
            </w:r>
          </w:p>
        </w:tc>
        <w:tc>
          <w:tcPr>
            <w:tcW w:type="dxa" w:w="3120"/>
            <w:vAlign w:val="top"/>
          </w:tcPr>
          <w:p>
            <w:r>
              <w:rPr>
                <w:color w:val="1A1A2E"/>
                <w:sz w:val="18"/>
              </w:rPr>
              <w:t>int64</w:t>
            </w:r>
          </w:p>
        </w:tc>
        <w:tc>
          <w:tcPr>
            <w:tcW w:type="dxa" w:w="3120"/>
            <w:vAlign w:val="top"/>
          </w:tcPr>
          <w:p>
            <w:r>
              <w:rPr>
                <w:color w:val="1A1A2E"/>
                <w:sz w:val="18"/>
              </w:rPr>
              <w:t>Tick count (proxy for volume)</w:t>
            </w:r>
          </w:p>
        </w:tc>
      </w:tr>
      <w:tr>
        <w:tc>
          <w:tcPr>
            <w:tcW w:type="dxa" w:w="3120"/>
            <w:vAlign w:val="top"/>
          </w:tcPr>
          <w:p>
            <w:r>
              <w:rPr>
                <w:color w:val="1A1A2E"/>
                <w:sz w:val="18"/>
              </w:rPr>
            </w:r>
            <w:r>
              <w:rPr>
                <w:rFonts w:ascii="Consolas" w:hAnsi="Consolas"/>
                <w:color w:val="2E863A"/>
                <w:sz w:val="18"/>
              </w:rPr>
              <w:t>spread</w:t>
            </w:r>
            <w:r>
              <w:rPr>
                <w:color w:val="1A1A2E"/>
                <w:sz w:val="18"/>
              </w:rPr>
            </w:r>
          </w:p>
        </w:tc>
        <w:tc>
          <w:tcPr>
            <w:tcW w:type="dxa" w:w="3120"/>
            <w:vAlign w:val="top"/>
          </w:tcPr>
          <w:p>
            <w:r>
              <w:rPr>
                <w:color w:val="1A1A2E"/>
                <w:sz w:val="18"/>
              </w:rPr>
              <w:t>int64</w:t>
            </w:r>
          </w:p>
        </w:tc>
        <w:tc>
          <w:tcPr>
            <w:tcW w:type="dxa" w:w="3120"/>
            <w:vAlign w:val="top"/>
          </w:tcPr>
          <w:p>
            <w:r>
              <w:rPr>
                <w:color w:val="1A1A2E"/>
                <w:sz w:val="18"/>
              </w:rPr>
              <w:t>Spread in points</w:t>
            </w:r>
          </w:p>
        </w:tc>
      </w:tr>
      <w:tr>
        <w:tc>
          <w:tcPr>
            <w:tcW w:type="dxa" w:w="3120"/>
            <w:vAlign w:val="top"/>
          </w:tcPr>
          <w:p>
            <w:r>
              <w:rPr>
                <w:color w:val="1A1A2E"/>
                <w:sz w:val="18"/>
              </w:rPr>
            </w:r>
            <w:r>
              <w:rPr>
                <w:rFonts w:ascii="Consolas" w:hAnsi="Consolas"/>
                <w:color w:val="2E863A"/>
                <w:sz w:val="18"/>
              </w:rPr>
              <w:t>real_volume</w:t>
            </w:r>
            <w:r>
              <w:rPr>
                <w:color w:val="1A1A2E"/>
                <w:sz w:val="18"/>
              </w:rPr>
            </w:r>
          </w:p>
        </w:tc>
        <w:tc>
          <w:tcPr>
            <w:tcW w:type="dxa" w:w="3120"/>
            <w:vAlign w:val="top"/>
          </w:tcPr>
          <w:p>
            <w:r>
              <w:rPr>
                <w:color w:val="1A1A2E"/>
                <w:sz w:val="18"/>
              </w:rPr>
              <w:t>int64</w:t>
            </w:r>
          </w:p>
        </w:tc>
        <w:tc>
          <w:tcPr>
            <w:tcW w:type="dxa" w:w="3120"/>
            <w:vAlign w:val="top"/>
          </w:tcPr>
          <w:p>
            <w:r>
              <w:rPr>
                <w:color w:val="1A1A2E"/>
                <w:sz w:val="18"/>
              </w:rPr>
              <w:t>Real volume (0 for most brokers)</w:t>
            </w:r>
          </w:p>
        </w:tc>
      </w:tr>
    </w:tbl>
    <w:p/>
    <w:p>
      <w:pPr>
        <w:pStyle w:val="Heading3"/>
      </w:pPr>
      <w:r>
        <w:t>5.5 Download Process</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MT5Downloader.download(symbol, timeframe, start, end)</w:t>
        <w:br/>
        <w:t xml:space="preserve">    ├── mt5.initialize(login, password, server)</w:t>
        <w:br/>
        <w:t xml:space="preserve">    ├── mt5.copy_rates_range(symbol, tf_const, start, end)</w:t>
        <w:br/>
        <w:t xml:space="preserve">    ├── Convert to DataFrame (timestamp → UTC)</w:t>
        <w:br/>
        <w:t xml:space="preserve">    ├── Rename columns to canonical schema</w:t>
        <w:br/>
        <w:t xml:space="preserve">    ├── Validate: no duplicate timestamps, monotonic index</w:t>
        <w:br/>
        <w:t xml:space="preserve">    ├── Save → data/raw/EURUSD/{TF}/EURUSD_{TF}.parquet</w:t>
        <w:br/>
        <w:t xml:space="preserve">    └── Return DownloadResult(n_bars, missing_pct, status)</w:t>
      </w:r>
    </w:p>
    <w:p>
      <w:pPr>
        <w:pStyle w:val="Heading3"/>
      </w:pPr>
      <w:r>
        <w:t>5.6 Dataset Statistics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C2128"/>
          </w:tcPr>
          <w:p>
            <w:r>
              <w:rPr>
                <w:b/>
                <w:color w:val="FFFFFF"/>
                <w:sz w:val="18"/>
              </w:rPr>
              <w:t>Timeframe</w:t>
            </w:r>
          </w:p>
        </w:tc>
        <w:tc>
          <w:tcPr>
            <w:tcW w:type="dxa" w:w="2340"/>
            <w:vAlign w:val="top"/>
            <w:shd w:val="clear" w:color="auto" w:fill="1C2128"/>
          </w:tcPr>
          <w:p>
            <w:r>
              <w:rPr>
                <w:b/>
                <w:color w:val="FFFFFF"/>
                <w:sz w:val="18"/>
              </w:rPr>
              <w:t>Bars</w:t>
            </w:r>
          </w:p>
        </w:tc>
        <w:tc>
          <w:tcPr>
            <w:tcW w:type="dxa" w:w="2340"/>
            <w:vAlign w:val="top"/>
            <w:shd w:val="clear" w:color="auto" w:fill="1C2128"/>
          </w:tcPr>
          <w:p>
            <w:r>
              <w:rPr>
                <w:b/>
                <w:color w:val="FFFFFF"/>
                <w:sz w:val="18"/>
              </w:rPr>
              <w:t>Date Range</w:t>
            </w:r>
          </w:p>
        </w:tc>
        <w:tc>
          <w:tcPr>
            <w:tcW w:type="dxa" w:w="2340"/>
            <w:vAlign w:val="top"/>
            <w:shd w:val="clear" w:color="auto" w:fill="1C2128"/>
          </w:tcPr>
          <w:p>
            <w:r>
              <w:rPr>
                <w:b/>
                <w:color w:val="FFFFFF"/>
                <w:sz w:val="18"/>
              </w:rPr>
              <w:t>File Size</w:t>
            </w:r>
          </w:p>
        </w:tc>
      </w:tr>
      <w:tr>
        <w:tc>
          <w:tcPr>
            <w:tcW w:type="dxa" w:w="2340"/>
            <w:vAlign w:val="top"/>
          </w:tcPr>
          <w:p>
            <w:r>
              <w:rPr>
                <w:color w:val="1A1A2E"/>
                <w:sz w:val="18"/>
              </w:rPr>
              <w:t>M15</w:t>
            </w:r>
          </w:p>
        </w:tc>
        <w:tc>
          <w:tcPr>
            <w:tcW w:type="dxa" w:w="2340"/>
            <w:vAlign w:val="top"/>
          </w:tcPr>
          <w:p>
            <w:r>
              <w:rPr>
                <w:color w:val="1A1A2E"/>
                <w:sz w:val="18"/>
              </w:rPr>
              <w:t>87,503</w:t>
            </w:r>
          </w:p>
        </w:tc>
        <w:tc>
          <w:tcPr>
            <w:tcW w:type="dxa" w:w="2340"/>
            <w:vAlign w:val="top"/>
          </w:tcPr>
          <w:p>
            <w:r>
              <w:rPr>
                <w:color w:val="1A1A2E"/>
                <w:sz w:val="18"/>
              </w:rPr>
              <w:t>2022–2025</w:t>
            </w:r>
          </w:p>
        </w:tc>
        <w:tc>
          <w:tcPr>
            <w:tcW w:type="dxa" w:w="2340"/>
            <w:vAlign w:val="top"/>
          </w:tcPr>
          <w:p>
            <w:r>
              <w:rPr>
                <w:color w:val="1A1A2E"/>
                <w:sz w:val="18"/>
              </w:rPr>
              <w:t>~8 MB</w:t>
            </w:r>
          </w:p>
        </w:tc>
      </w:tr>
      <w:tr>
        <w:tc>
          <w:tcPr>
            <w:tcW w:type="dxa" w:w="2340"/>
            <w:vAlign w:val="top"/>
          </w:tcPr>
          <w:p>
            <w:r>
              <w:rPr>
                <w:color w:val="1A1A2E"/>
                <w:sz w:val="18"/>
              </w:rPr>
              <w:t>H1</w:t>
            </w:r>
          </w:p>
        </w:tc>
        <w:tc>
          <w:tcPr>
            <w:tcW w:type="dxa" w:w="2340"/>
            <w:vAlign w:val="top"/>
          </w:tcPr>
          <w:p>
            <w:r>
              <w:rPr>
                <w:color w:val="1A1A2E"/>
                <w:sz w:val="18"/>
              </w:rPr>
              <w:t>~21,900</w:t>
            </w:r>
          </w:p>
        </w:tc>
        <w:tc>
          <w:tcPr>
            <w:tcW w:type="dxa" w:w="2340"/>
            <w:vAlign w:val="top"/>
          </w:tcPr>
          <w:p>
            <w:r>
              <w:rPr>
                <w:color w:val="1A1A2E"/>
                <w:sz w:val="18"/>
              </w:rPr>
              <w:t>2022–2025</w:t>
            </w:r>
          </w:p>
        </w:tc>
        <w:tc>
          <w:tcPr>
            <w:tcW w:type="dxa" w:w="2340"/>
            <w:vAlign w:val="top"/>
          </w:tcPr>
          <w:p>
            <w:r>
              <w:rPr>
                <w:color w:val="1A1A2E"/>
                <w:sz w:val="18"/>
              </w:rPr>
              <w:t>~2 MB</w:t>
            </w:r>
          </w:p>
        </w:tc>
      </w:tr>
      <w:tr>
        <w:tc>
          <w:tcPr>
            <w:tcW w:type="dxa" w:w="2340"/>
            <w:vAlign w:val="top"/>
          </w:tcPr>
          <w:p>
            <w:r>
              <w:rPr>
                <w:color w:val="1A1A2E"/>
                <w:sz w:val="18"/>
              </w:rPr>
              <w:t>H4</w:t>
            </w:r>
          </w:p>
        </w:tc>
        <w:tc>
          <w:tcPr>
            <w:tcW w:type="dxa" w:w="2340"/>
            <w:vAlign w:val="top"/>
          </w:tcPr>
          <w:p>
            <w:r>
              <w:rPr>
                <w:color w:val="1A1A2E"/>
                <w:sz w:val="18"/>
              </w:rPr>
              <w:t>~5,500</w:t>
            </w:r>
          </w:p>
        </w:tc>
        <w:tc>
          <w:tcPr>
            <w:tcW w:type="dxa" w:w="2340"/>
            <w:vAlign w:val="top"/>
          </w:tcPr>
          <w:p>
            <w:r>
              <w:rPr>
                <w:color w:val="1A1A2E"/>
                <w:sz w:val="18"/>
              </w:rPr>
              <w:t>2022–2025</w:t>
            </w:r>
          </w:p>
        </w:tc>
        <w:tc>
          <w:tcPr>
            <w:tcW w:type="dxa" w:w="2340"/>
            <w:vAlign w:val="top"/>
          </w:tcPr>
          <w:p>
            <w:r>
              <w:rPr>
                <w:color w:val="1A1A2E"/>
                <w:sz w:val="18"/>
              </w:rPr>
              <w:t>~0.5 MB</w:t>
            </w:r>
          </w:p>
        </w:tc>
      </w:tr>
      <w:tr>
        <w:tc>
          <w:tcPr>
            <w:tcW w:type="dxa" w:w="2340"/>
            <w:vAlign w:val="top"/>
          </w:tcPr>
          <w:p>
            <w:r>
              <w:rPr>
                <w:color w:val="1A1A2E"/>
                <w:sz w:val="18"/>
              </w:rPr>
              <w:t>D1</w:t>
            </w:r>
          </w:p>
        </w:tc>
        <w:tc>
          <w:tcPr>
            <w:tcW w:type="dxa" w:w="2340"/>
            <w:vAlign w:val="top"/>
          </w:tcPr>
          <w:p>
            <w:r>
              <w:rPr>
                <w:color w:val="1A1A2E"/>
                <w:sz w:val="18"/>
              </w:rPr>
              <w:t>~1,040</w:t>
            </w:r>
          </w:p>
        </w:tc>
        <w:tc>
          <w:tcPr>
            <w:tcW w:type="dxa" w:w="2340"/>
            <w:vAlign w:val="top"/>
          </w:tcPr>
          <w:p>
            <w:r>
              <w:rPr>
                <w:color w:val="1A1A2E"/>
                <w:sz w:val="18"/>
              </w:rPr>
              <w:t>2022–2025</w:t>
            </w:r>
          </w:p>
        </w:tc>
        <w:tc>
          <w:tcPr>
            <w:tcW w:type="dxa" w:w="2340"/>
            <w:vAlign w:val="top"/>
          </w:tcPr>
          <w:p>
            <w:r>
              <w:rPr>
                <w:color w:val="1A1A2E"/>
                <w:sz w:val="18"/>
              </w:rPr>
              <w:t>~100 KB</w:t>
            </w:r>
          </w:p>
        </w:tc>
      </w:tr>
      <w:tr>
        <w:tc>
          <w:tcPr>
            <w:tcW w:type="dxa" w:w="2340"/>
            <w:vAlign w:val="top"/>
          </w:tcPr>
          <w:p>
            <w:r>
              <w:rPr>
                <w:color w:val="1A1A2E"/>
                <w:sz w:val="18"/>
              </w:rPr>
              <w:t>W1</w:t>
            </w:r>
          </w:p>
        </w:tc>
        <w:tc>
          <w:tcPr>
            <w:tcW w:type="dxa" w:w="2340"/>
            <w:vAlign w:val="top"/>
          </w:tcPr>
          <w:p>
            <w:r>
              <w:rPr>
                <w:color w:val="1A1A2E"/>
                <w:sz w:val="18"/>
              </w:rPr>
              <w:t>~210</w:t>
            </w:r>
          </w:p>
        </w:tc>
        <w:tc>
          <w:tcPr>
            <w:tcW w:type="dxa" w:w="2340"/>
            <w:vAlign w:val="top"/>
          </w:tcPr>
          <w:p>
            <w:r>
              <w:rPr>
                <w:color w:val="1A1A2E"/>
                <w:sz w:val="18"/>
              </w:rPr>
              <w:t>2022–2025</w:t>
            </w:r>
          </w:p>
        </w:tc>
        <w:tc>
          <w:tcPr>
            <w:tcW w:type="dxa" w:w="2340"/>
            <w:vAlign w:val="top"/>
          </w:tcPr>
          <w:p>
            <w:r>
              <w:rPr>
                <w:color w:val="1A1A2E"/>
                <w:sz w:val="18"/>
              </w:rPr>
              <w:t>~25 KB</w:t>
            </w:r>
          </w:p>
        </w:tc>
      </w:tr>
    </w:tbl>
    <w:p/>
    <w:p>
      <w:pPr/>
      <w:r>
        <w:t>The M15 dataset of 87,503 bars represents approximately 3 years of continuous trading activity covering multiple market regimes: post-pandemic recovery (2022 EUR/USD decline), Federal Reserve hiking cycle, stabilization period, and 2024–2025 ranging markets.</w:t>
      </w:r>
    </w:p>
    <w:p>
      <w:pPr>
        <w:pStyle w:val="Heading2"/>
      </w:pPr>
      <w:r>
        <w:t>6. Data Validation &amp; Quality Control</w:t>
      </w:r>
    </w:p>
    <w:p>
      <w:pPr>
        <w:pStyle w:val="Heading3"/>
      </w:pPr>
      <w:r>
        <w:t>6.1 OHLCV Integrity Checks</w:t>
      </w:r>
    </w:p>
    <w:p>
      <w:pPr/>
      <w:r>
        <w:t>After each download, the validation pipeline (</w:t>
      </w:r>
      <w:r>
        <w:rPr>
          <w:rFonts w:ascii="Consolas" w:hAnsi="Consolas"/>
          <w:color w:val="2E863A"/>
          <w:sz w:val="19"/>
        </w:rPr>
        <w:t>src/ingestion/validate_data.py</w:t>
      </w:r>
      <w:r>
        <w:t xml:space="preserve">, </w:t>
      </w:r>
      <w:r>
        <w:rPr>
          <w:rFonts w:ascii="Consolas" w:hAnsi="Consolas"/>
          <w:color w:val="2E863A"/>
          <w:sz w:val="19"/>
        </w:rPr>
        <w:t>src/preprocessing/validate_ohlcv.py</w:t>
      </w:r>
      <w:r>
        <w:t>) applies the following checks: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Check</w:t>
            </w:r>
          </w:p>
        </w:tc>
        <w:tc>
          <w:tcPr>
            <w:tcW w:type="dxa" w:w="3120"/>
            <w:vAlign w:val="top"/>
            <w:shd w:val="clear" w:color="auto" w:fill="1C2128"/>
          </w:tcPr>
          <w:p>
            <w:r>
              <w:rPr>
                <w:b/>
                <w:color w:val="FFFFFF"/>
                <w:sz w:val="18"/>
              </w:rPr>
              <w:t>Rule</w:t>
            </w:r>
          </w:p>
        </w:tc>
        <w:tc>
          <w:tcPr>
            <w:tcW w:type="dxa" w:w="3120"/>
            <w:vAlign w:val="top"/>
            <w:shd w:val="clear" w:color="auto" w:fill="1C2128"/>
          </w:tcPr>
          <w:p>
            <w:r>
              <w:rPr>
                <w:b/>
                <w:color w:val="FFFFFF"/>
                <w:sz w:val="18"/>
              </w:rPr>
              <w:t>Action on Failure</w:t>
            </w:r>
          </w:p>
        </w:tc>
      </w:tr>
      <w:tr>
        <w:tc>
          <w:tcPr>
            <w:tcW w:type="dxa" w:w="3120"/>
            <w:vAlign w:val="top"/>
          </w:tcPr>
          <w:p>
            <w:r>
              <w:rPr>
                <w:color w:val="1A1A2E"/>
                <w:sz w:val="18"/>
              </w:rPr>
              <w:t>Timestamp monotonicity</w:t>
            </w:r>
          </w:p>
        </w:tc>
        <w:tc>
          <w:tcPr>
            <w:tcW w:type="dxa" w:w="3120"/>
            <w:vAlign w:val="top"/>
          </w:tcPr>
          <w:p>
            <w:r>
              <w:rPr>
                <w:color w:val="1A1A2E"/>
                <w:sz w:val="18"/>
              </w:rPr>
              <w:t>Each bar's time &gt; previous</w:t>
            </w:r>
          </w:p>
        </w:tc>
        <w:tc>
          <w:tcPr>
            <w:tcW w:type="dxa" w:w="3120"/>
            <w:vAlign w:val="top"/>
          </w:tcPr>
          <w:p>
            <w:r>
              <w:rPr>
                <w:color w:val="1A1A2E"/>
                <w:sz w:val="18"/>
              </w:rPr>
              <w:t>Raise error</w:t>
            </w:r>
          </w:p>
        </w:tc>
      </w:tr>
      <w:tr>
        <w:tc>
          <w:tcPr>
            <w:tcW w:type="dxa" w:w="3120"/>
            <w:vAlign w:val="top"/>
          </w:tcPr>
          <w:p>
            <w:r>
              <w:rPr>
                <w:color w:val="1A1A2E"/>
                <w:sz w:val="18"/>
              </w:rPr>
              <w:t>OHLC logic</w:t>
            </w:r>
          </w:p>
        </w:tc>
        <w:tc>
          <w:tcPr>
            <w:tcW w:type="dxa" w:w="3120"/>
            <w:vAlign w:val="top"/>
          </w:tcPr>
          <w:p>
            <w:r>
              <w:rPr>
                <w:color w:val="1A1A2E"/>
                <w:sz w:val="18"/>
              </w:rPr>
            </w:r>
            <w:r>
              <w:rPr>
                <w:rFonts w:ascii="Consolas" w:hAnsi="Consolas"/>
                <w:color w:val="2E863A"/>
                <w:sz w:val="18"/>
              </w:rPr>
              <w:t>low ≤ open, close ≤ high</w:t>
            </w:r>
            <w:r>
              <w:rPr>
                <w:color w:val="1A1A2E"/>
                <w:sz w:val="18"/>
              </w:rPr>
            </w:r>
          </w:p>
        </w:tc>
        <w:tc>
          <w:tcPr>
            <w:tcW w:type="dxa" w:w="3120"/>
            <w:vAlign w:val="top"/>
          </w:tcPr>
          <w:p>
            <w:r>
              <w:rPr>
                <w:color w:val="1A1A2E"/>
                <w:sz w:val="18"/>
              </w:rPr>
              <w:t>Log + flag bar</w:t>
            </w:r>
          </w:p>
        </w:tc>
      </w:tr>
      <w:tr>
        <w:tc>
          <w:tcPr>
            <w:tcW w:type="dxa" w:w="3120"/>
            <w:vAlign w:val="top"/>
          </w:tcPr>
          <w:p>
            <w:r>
              <w:rPr>
                <w:color w:val="1A1A2E"/>
                <w:sz w:val="18"/>
              </w:rPr>
              <w:t>Zero prices</w:t>
            </w:r>
          </w:p>
        </w:tc>
        <w:tc>
          <w:tcPr>
            <w:tcW w:type="dxa" w:w="3120"/>
            <w:vAlign w:val="top"/>
          </w:tcPr>
          <w:p>
            <w:r>
              <w:rPr>
                <w:color w:val="1A1A2E"/>
                <w:sz w:val="18"/>
              </w:rPr>
            </w:r>
            <w:r>
              <w:rPr>
                <w:rFonts w:ascii="Consolas" w:hAnsi="Consolas"/>
                <w:color w:val="2E863A"/>
                <w:sz w:val="18"/>
              </w:rPr>
              <w:t>open &gt; 0</w:t>
            </w:r>
            <w:r>
              <w:rPr>
                <w:color w:val="1A1A2E"/>
                <w:sz w:val="18"/>
              </w:rPr>
              <w:t xml:space="preserve"> for all rows</w:t>
            </w:r>
          </w:p>
        </w:tc>
        <w:tc>
          <w:tcPr>
            <w:tcW w:type="dxa" w:w="3120"/>
            <w:vAlign w:val="top"/>
          </w:tcPr>
          <w:p>
            <w:r>
              <w:rPr>
                <w:color w:val="1A1A2E"/>
                <w:sz w:val="18"/>
              </w:rPr>
              <w:t>Raise error</w:t>
            </w:r>
          </w:p>
        </w:tc>
      </w:tr>
      <w:tr>
        <w:tc>
          <w:tcPr>
            <w:tcW w:type="dxa" w:w="3120"/>
            <w:vAlign w:val="top"/>
          </w:tcPr>
          <w:p>
            <w:r>
              <w:rPr>
                <w:color w:val="1A1A2E"/>
                <w:sz w:val="18"/>
              </w:rPr>
              <w:t>Duplicate timestamps</w:t>
            </w:r>
          </w:p>
        </w:tc>
        <w:tc>
          <w:tcPr>
            <w:tcW w:type="dxa" w:w="3120"/>
            <w:vAlign w:val="top"/>
          </w:tcPr>
          <w:p>
            <w:r>
              <w:rPr>
                <w:color w:val="1A1A2E"/>
                <w:sz w:val="18"/>
              </w:rPr>
              <w:t>No two rows share the same timestamp</w:t>
            </w:r>
          </w:p>
        </w:tc>
        <w:tc>
          <w:tcPr>
            <w:tcW w:type="dxa" w:w="3120"/>
            <w:vAlign w:val="top"/>
          </w:tcPr>
          <w:p>
            <w:r>
              <w:rPr>
                <w:color w:val="1A1A2E"/>
                <w:sz w:val="18"/>
              </w:rPr>
              <w:t>Drop duplicates</w:t>
            </w:r>
          </w:p>
        </w:tc>
      </w:tr>
      <w:tr>
        <w:tc>
          <w:tcPr>
            <w:tcW w:type="dxa" w:w="3120"/>
            <w:vAlign w:val="top"/>
          </w:tcPr>
          <w:p>
            <w:r>
              <w:rPr>
                <w:color w:val="1A1A2E"/>
                <w:sz w:val="18"/>
              </w:rPr>
              <w:t>Missing bars</w:t>
            </w:r>
          </w:p>
        </w:tc>
        <w:tc>
          <w:tcPr>
            <w:tcW w:type="dxa" w:w="3120"/>
            <w:vAlign w:val="top"/>
          </w:tcPr>
          <w:p>
            <w:r>
              <w:rPr>
                <w:color w:val="1A1A2E"/>
                <w:sz w:val="18"/>
              </w:rPr>
              <w:t>Gap ratio &lt; 5%</w:t>
            </w:r>
          </w:p>
        </w:tc>
        <w:tc>
          <w:tcPr>
            <w:tcW w:type="dxa" w:w="3120"/>
            <w:vAlign w:val="top"/>
          </w:tcPr>
          <w:p>
            <w:r>
              <w:rPr>
                <w:color w:val="1A1A2E"/>
                <w:sz w:val="18"/>
              </w:rPr>
              <w:t>Log warning</w:t>
            </w:r>
          </w:p>
        </w:tc>
      </w:tr>
      <w:tr>
        <w:tc>
          <w:tcPr>
            <w:tcW w:type="dxa" w:w="3120"/>
            <w:vAlign w:val="top"/>
          </w:tcPr>
          <w:p>
            <w:r>
              <w:rPr>
                <w:color w:val="1A1A2E"/>
                <w:sz w:val="18"/>
              </w:rPr>
              <w:t>NaN in OHLCV</w:t>
            </w:r>
          </w:p>
        </w:tc>
        <w:tc>
          <w:tcPr>
            <w:tcW w:type="dxa" w:w="3120"/>
            <w:vAlign w:val="top"/>
          </w:tcPr>
          <w:p>
            <w:r>
              <w:rPr>
                <w:color w:val="1A1A2E"/>
                <w:sz w:val="18"/>
              </w:rPr>
              <w:t>No NaN values</w:t>
            </w:r>
          </w:p>
        </w:tc>
        <w:tc>
          <w:tcPr>
            <w:tcW w:type="dxa" w:w="3120"/>
            <w:vAlign w:val="top"/>
          </w:tcPr>
          <w:p>
            <w:r>
              <w:rPr>
                <w:color w:val="1A1A2E"/>
                <w:sz w:val="18"/>
              </w:rPr>
              <w:t>Raise error</w:t>
            </w:r>
          </w:p>
        </w:tc>
      </w:tr>
    </w:tbl>
    <w:p/>
    <w:p>
      <w:pPr>
        <w:pStyle w:val="Heading3"/>
      </w:pPr>
      <w:r>
        <w:t>6.2 Gap Detection &amp; Handling</w:t>
      </w:r>
    </w:p>
    <w:p>
      <w:pPr/>
      <w:r>
        <w:t>Forex markets are closed on weekends. The validator distinguishes between:</w:t>
      </w:r>
    </w:p>
    <w:p>
      <w:pPr>
        <w:ind w:left="360"/>
      </w:pPr>
      <w:r>
        <w:t xml:space="preserve">• </w:t>
      </w:r>
      <w:r>
        <w:rPr>
          <w:b/>
        </w:rPr>
        <w:t>Expected gaps:</w:t>
      </w:r>
      <w:r>
        <w:t xml:space="preserve"> Friday close to Sunday open — logged, not flagged.</w:t>
      </w:r>
    </w:p>
    <w:p>
      <w:pPr>
        <w:ind w:left="360"/>
      </w:pPr>
      <w:r>
        <w:t xml:space="preserve">• </w:t>
      </w:r>
      <w:r>
        <w:rPr>
          <w:b/>
        </w:rPr>
        <w:t>Unexpected gaps:</w:t>
      </w:r>
      <w:r>
        <w:t xml:space="preserve"> Weekday gaps exceeding 2× the expected bar duration — flagged as warnings and included in the quality report.</w:t>
      </w:r>
    </w:p>
    <w:p>
      <w:pPr>
        <w:ind w:left="360"/>
      </w:pPr>
      <w:r>
        <w:t xml:space="preserve">• </w:t>
      </w:r>
      <w:r>
        <w:rPr>
          <w:b/>
        </w:rPr>
        <w:t>Holiday gaps:</w:t>
      </w:r>
      <w:r>
        <w:t xml:space="preserve"> Detected by the </w:t>
      </w:r>
      <w:r>
        <w:rPr>
          <w:rFonts w:ascii="Consolas" w:hAnsi="Consolas"/>
          <w:color w:val="2E863A"/>
          <w:sz w:val="19"/>
        </w:rPr>
        <w:t>MarketCalendar</w:t>
      </w:r>
      <w:r>
        <w:t xml:space="preserve"> module using a configurable list of Forex holidays.</w:t>
      </w:r>
    </w:p>
    <w:p>
      <w:pPr>
        <w:pStyle w:val="Heading3"/>
      </w:pPr>
      <w:r>
        <w:t>6.3 Feature Dataset Validation</w:t>
      </w:r>
    </w:p>
    <w:p>
      <w:pPr/>
      <w:r>
        <w:t xml:space="preserve">After the feature engineering pipeline runs, </w:t>
      </w:r>
      <w:r>
        <w:rPr>
          <w:rFonts w:ascii="Consolas" w:hAnsi="Consolas"/>
          <w:color w:val="2E863A"/>
          <w:sz w:val="19"/>
        </w:rPr>
        <w:t>FeatureValidator</w:t>
      </w:r>
      <w:r>
        <w:t xml:space="preserve"> checks each feature group's output:</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class FeatureValidator:</w:t>
        <w:br/>
        <w:t xml:space="preserve">    def validate(self, running_df, output_df, feature) -&gt; FeatureValidationReport:</w:t>
        <w:br/>
        <w:t xml:space="preserve">        # 1. Check for NaN cells → log count</w:t>
        <w:br/>
        <w:t xml:space="preserve">        # 2. Check for ±Inf cells → log count</w:t>
        <w:br/>
        <w:t xml:space="preserve">        # 3. Check for column shadowing (new cols must not overwrite existing)</w:t>
        <w:br/>
        <w:t xml:space="preserve">        # 4. Check column name conflicts</w:t>
        <w:br/>
        <w:t xml:space="preserve">        # 5. Return FeatureValidationReport(passed, nan_count, inf_count, issues, warnings)</w:t>
      </w:r>
    </w:p>
    <w:p>
      <w:pPr/>
      <w:r>
        <w:t xml:space="preserve">The </w:t>
      </w:r>
      <w:r>
        <w:rPr>
          <w:rFonts w:ascii="Consolas" w:hAnsi="Consolas"/>
          <w:color w:val="2E863A"/>
          <w:sz w:val="19"/>
        </w:rPr>
        <w:t>PipelineValidationSummary</w:t>
      </w:r>
      <w:r>
        <w:t xml:space="preserve"> aggregates all per-feature reports: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Metric</w:t>
            </w:r>
          </w:p>
        </w:tc>
        <w:tc>
          <w:tcPr>
            <w:tcW w:type="dxa" w:w="4680"/>
            <w:vAlign w:val="top"/>
            <w:shd w:val="clear" w:color="auto" w:fill="1C2128"/>
          </w:tcPr>
          <w:p>
            <w:r>
              <w:rPr>
                <w:b/>
                <w:color w:val="FFFFFF"/>
                <w:sz w:val="18"/>
              </w:rPr>
              <w:t>Description</w:t>
            </w:r>
          </w:p>
        </w:tc>
      </w:tr>
      <w:tr>
        <w:tc>
          <w:tcPr>
            <w:tcW w:type="dxa" w:w="4680"/>
            <w:vAlign w:val="top"/>
          </w:tcPr>
          <w:p>
            <w:r>
              <w:rPr>
                <w:color w:val="1A1A2E"/>
                <w:sz w:val="18"/>
              </w:rPr>
            </w:r>
            <w:r>
              <w:rPr>
                <w:rFonts w:ascii="Consolas" w:hAnsi="Consolas"/>
                <w:color w:val="2E863A"/>
                <w:sz w:val="18"/>
              </w:rPr>
              <w:t>total_features</w:t>
            </w:r>
            <w:r>
              <w:rPr>
                <w:color w:val="1A1A2E"/>
                <w:sz w:val="18"/>
              </w:rPr>
            </w:r>
          </w:p>
        </w:tc>
        <w:tc>
          <w:tcPr>
            <w:tcW w:type="dxa" w:w="4680"/>
            <w:vAlign w:val="top"/>
          </w:tcPr>
          <w:p>
            <w:r>
              <w:rPr>
                <w:color w:val="1A1A2E"/>
                <w:sz w:val="18"/>
              </w:rPr>
              <w:t>Number of feature generators executed</w:t>
            </w:r>
          </w:p>
        </w:tc>
      </w:tr>
      <w:tr>
        <w:tc>
          <w:tcPr>
            <w:tcW w:type="dxa" w:w="4680"/>
            <w:vAlign w:val="top"/>
          </w:tcPr>
          <w:p>
            <w:r>
              <w:rPr>
                <w:color w:val="1A1A2E"/>
                <w:sz w:val="18"/>
              </w:rPr>
            </w:r>
            <w:r>
              <w:rPr>
                <w:rFonts w:ascii="Consolas" w:hAnsi="Consolas"/>
                <w:color w:val="2E863A"/>
                <w:sz w:val="18"/>
              </w:rPr>
              <w:t>passed_count</w:t>
            </w:r>
            <w:r>
              <w:rPr>
                <w:color w:val="1A1A2E"/>
                <w:sz w:val="18"/>
              </w:rPr>
            </w:r>
          </w:p>
        </w:tc>
        <w:tc>
          <w:tcPr>
            <w:tcW w:type="dxa" w:w="4680"/>
            <w:vAlign w:val="top"/>
          </w:tcPr>
          <w:p>
            <w:r>
              <w:rPr>
                <w:color w:val="1A1A2E"/>
                <w:sz w:val="18"/>
              </w:rPr>
              <w:t>Features with zero issues</w:t>
            </w:r>
          </w:p>
        </w:tc>
      </w:tr>
      <w:tr>
        <w:tc>
          <w:tcPr>
            <w:tcW w:type="dxa" w:w="4680"/>
            <w:vAlign w:val="top"/>
          </w:tcPr>
          <w:p>
            <w:r>
              <w:rPr>
                <w:color w:val="1A1A2E"/>
                <w:sz w:val="18"/>
              </w:rPr>
            </w:r>
            <w:r>
              <w:rPr>
                <w:rFonts w:ascii="Consolas" w:hAnsi="Consolas"/>
                <w:color w:val="2E863A"/>
                <w:sz w:val="18"/>
              </w:rPr>
              <w:t>failed_count</w:t>
            </w:r>
            <w:r>
              <w:rPr>
                <w:color w:val="1A1A2E"/>
                <w:sz w:val="18"/>
              </w:rPr>
            </w:r>
          </w:p>
        </w:tc>
        <w:tc>
          <w:tcPr>
            <w:tcW w:type="dxa" w:w="4680"/>
            <w:vAlign w:val="top"/>
          </w:tcPr>
          <w:p>
            <w:r>
              <w:rPr>
                <w:color w:val="1A1A2E"/>
                <w:sz w:val="18"/>
              </w:rPr>
              <w:t>Features with errors</w:t>
            </w:r>
          </w:p>
        </w:tc>
      </w:tr>
      <w:tr>
        <w:tc>
          <w:tcPr>
            <w:tcW w:type="dxa" w:w="4680"/>
            <w:vAlign w:val="top"/>
          </w:tcPr>
          <w:p>
            <w:r>
              <w:rPr>
                <w:color w:val="1A1A2E"/>
                <w:sz w:val="18"/>
              </w:rPr>
            </w:r>
            <w:r>
              <w:rPr>
                <w:rFonts w:ascii="Consolas" w:hAnsi="Consolas"/>
                <w:color w:val="2E863A"/>
                <w:sz w:val="18"/>
              </w:rPr>
              <w:t>total_nan_cells</w:t>
            </w:r>
            <w:r>
              <w:rPr>
                <w:color w:val="1A1A2E"/>
                <w:sz w:val="18"/>
              </w:rPr>
            </w:r>
          </w:p>
        </w:tc>
        <w:tc>
          <w:tcPr>
            <w:tcW w:type="dxa" w:w="4680"/>
            <w:vAlign w:val="top"/>
          </w:tcPr>
          <w:p>
            <w:r>
              <w:rPr>
                <w:color w:val="1A1A2E"/>
                <w:sz w:val="18"/>
              </w:rPr>
              <w:t>Aggregate NaN across all outputs</w:t>
            </w:r>
          </w:p>
        </w:tc>
      </w:tr>
      <w:tr>
        <w:tc>
          <w:tcPr>
            <w:tcW w:type="dxa" w:w="4680"/>
            <w:vAlign w:val="top"/>
          </w:tcPr>
          <w:p>
            <w:r>
              <w:rPr>
                <w:color w:val="1A1A2E"/>
                <w:sz w:val="18"/>
              </w:rPr>
            </w:r>
            <w:r>
              <w:rPr>
                <w:rFonts w:ascii="Consolas" w:hAnsi="Consolas"/>
                <w:color w:val="2E863A"/>
                <w:sz w:val="18"/>
              </w:rPr>
              <w:t>total_inf_cells</w:t>
            </w:r>
            <w:r>
              <w:rPr>
                <w:color w:val="1A1A2E"/>
                <w:sz w:val="18"/>
              </w:rPr>
            </w:r>
          </w:p>
        </w:tc>
        <w:tc>
          <w:tcPr>
            <w:tcW w:type="dxa" w:w="4680"/>
            <w:vAlign w:val="top"/>
          </w:tcPr>
          <w:p>
            <w:r>
              <w:rPr>
                <w:color w:val="1A1A2E"/>
                <w:sz w:val="18"/>
              </w:rPr>
              <w:t>Aggregate ±Inf across all outputs</w:t>
            </w:r>
          </w:p>
        </w:tc>
      </w:tr>
    </w:tbl>
    <w:p/>
    <w:p>
      <w:pPr>
        <w:pStyle w:val="Heading3"/>
      </w:pPr>
      <w:r>
        <w:t>6.4 Data Leakage Prevention</w:t>
      </w:r>
    </w:p>
    <w:p>
      <w:pPr/>
      <w:r>
        <w:t>Data leakage prevention is enforced at three levels:</w:t>
      </w:r>
    </w:p>
    <w:p>
      <w:pPr/>
      <w:r>
        <w:rPr>
          <w:b/>
        </w:rPr>
        <w:t>Level 1 — Temporal alignment:</w:t>
      </w:r>
      <w:r>
        <w:t xml:space="preserve"> Higher-timeframe candles are merged onto M15 using forward-fill only. The W1 candle closing at Sunday midnight is only "visible" to M15 bars that open after that timestamp. This guarantees no future information bleeds into past feature values.</w:t>
      </w:r>
    </w:p>
    <w:p>
      <w:pPr/>
      <w:r>
        <w:rPr>
          <w:b/>
        </w:rPr>
        <w:t>Level 2 — Label exclusion:</w:t>
      </w:r>
      <w:r>
        <w:t xml:space="preserve"> The ML feature set is derived by explicitly excluding all label columns using </w:t>
      </w:r>
      <w:r>
        <w:rPr>
          <w:rFonts w:ascii="Consolas" w:hAnsi="Consolas"/>
          <w:color w:val="2E863A"/>
          <w:sz w:val="19"/>
        </w:rPr>
        <w:t>LABEL_GROUP_PREFIXES</w:t>
      </w:r>
      <w:r>
        <w:t>:</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LABEL_GROUP_PREFIXES = [</w:t>
        <w:br/>
        <w:t xml:space="preserve">    "direction_", "rr_", "binary_", "tp_sl_", "regime_"</w:t>
        <w:br/>
        <w:t>]</w:t>
        <w:br/>
        <w:t># Feature columns = all non-label numeric columns, excluding timestamp cols</w:t>
        <w:br/>
        <w:t>feature_cols = [</w:t>
        <w:br/>
        <w:t xml:space="preserve">    c for c in df.columns</w:t>
        <w:br/>
        <w:t xml:space="preserve">    if not any(c.startswith(p) for p in LABEL_GROUP_PREFIXES)</w:t>
        <w:br/>
        <w:t xml:space="preserve">    and c not in TIMESTAMP_COLS</w:t>
        <w:br/>
        <w:t xml:space="preserve">    and pd.api.types.is_numeric_dtype(df[c])</w:t>
        <w:br/>
        <w:t>]</w:t>
      </w:r>
    </w:p>
    <w:p>
      <w:pPr/>
      <w:r>
        <w:t xml:space="preserve">This yields exactly 247 clean feature columns — verified against the bundle's </w:t>
      </w:r>
      <w:r>
        <w:rPr>
          <w:rFonts w:ascii="Consolas" w:hAnsi="Consolas"/>
          <w:color w:val="2E863A"/>
          <w:sz w:val="19"/>
        </w:rPr>
        <w:t>inference_config.json</w:t>
      </w:r>
      <w:r>
        <w:t>.</w:t>
      </w:r>
    </w:p>
    <w:p>
      <w:pPr/>
      <w:r>
        <w:rPr>
          <w:b/>
        </w:rPr>
        <w:t>Level 3 — Walk-forward boundaries:</w:t>
      </w:r>
      <w:r>
        <w:t xml:space="preserve"> The </w:t>
      </w:r>
      <w:r>
        <w:rPr>
          <w:rFonts w:ascii="Consolas" w:hAnsi="Consolas"/>
          <w:color w:val="2E863A"/>
          <w:sz w:val="19"/>
        </w:rPr>
        <w:t>WalkForwardSplitter</w:t>
      </w:r>
      <w:r>
        <w:t xml:space="preserve"> ensures the validation window always strictly follows the training window, and the test window strictly follows the validation window. No data from future windows is ever accessible during training.</w:t>
      </w:r>
    </w:p>
    <w:p>
      <w:pPr>
        <w:pStyle w:val="Heading2"/>
      </w:pPr>
      <w:r>
        <w:t>7. Feature Engineering</w:t>
      </w:r>
    </w:p>
    <w:p>
      <w:pPr/>
      <w:r>
        <w:t>Feature engineering is the intellectual core of this system. The feature pipeline (</w:t>
      </w:r>
      <w:r>
        <w:rPr>
          <w:rFonts w:ascii="Consolas" w:hAnsi="Consolas"/>
          <w:color w:val="2E863A"/>
          <w:sz w:val="19"/>
        </w:rPr>
        <w:t>src/features/feature_pipeline.py</w:t>
      </w:r>
      <w:r>
        <w:t xml:space="preserve">) orchestrates 8 registered feature groups that produce 253 columns from a base of 8 OHLCV columns. After excluding 6 label-prefix columns from the </w:t>
      </w:r>
      <w:r>
        <w:rPr>
          <w:rFonts w:ascii="Consolas" w:hAnsi="Consolas"/>
          <w:color w:val="2E863A"/>
          <w:sz w:val="19"/>
        </w:rPr>
        <w:t>target_direction</w:t>
      </w:r>
      <w:r>
        <w:t xml:space="preserve"> group, exactly 247 columns are used for ML.</w:t>
      </w:r>
    </w:p>
    <w:p>
      <w:pPr>
        <w:pStyle w:val="Heading3"/>
      </w:pPr>
      <w:r>
        <w:t>7.0 Pipeline Architecture</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BaseFeature (abstract)</w:t>
        <w:br/>
        <w:t xml:space="preserve">    │</w:t>
        <w:br/>
        <w:t xml:space="preserve">    ├── FeatureRegistry (@register decorator)</w:t>
        <w:br/>
        <w:t xml:space="preserve">    │       Maps name → class, resolves dependency order</w:t>
        <w:br/>
        <w:t xml:space="preserve">    │</w:t>
        <w:br/>
        <w:t xml:space="preserve">    ├── FeaturePipeline.run(symbol)</w:t>
        <w:br/>
        <w:t xml:space="preserve">    │       1. Load merged OHLCV</w:t>
        <w:br/>
        <w:t xml:space="preserve">    │       2. Compute data fingerprint (cache key)</w:t>
        <w:br/>
        <w:t xml:space="preserve">    │       3. Get execution order (dependency-sorted)</w:t>
        <w:br/>
        <w:t xml:space="preserve">    │       4. For each feature:</w:t>
        <w:br/>
        <w:t xml:space="preserve">    │           a. Check required columns present</w:t>
        <w:br/>
        <w:t xml:space="preserve">    │           b. Try cache (fingerprint-keyed)</w:t>
        <w:br/>
        <w:t xml:space="preserve">    │           c. feature.generate(running_df)</w:t>
        <w:br/>
        <w:t xml:space="preserve">    │           d. FeatureValidator.validate()</w:t>
        <w:br/>
        <w:t xml:space="preserve">    │           e. Accumulate into running_df</w:t>
        <w:br/>
        <w:t xml:space="preserve">    │       5. merge_features(base_df, all_feature_dfs)</w:t>
        <w:br/>
        <w:t xml:space="preserve">    │       6. Save → data/features/EURUSD/feature_dataset.parquet</w:t>
        <w:br/>
        <w:t xml:space="preserve">    │       7. Write feature_pipeline_report.md</w:t>
        <w:br/>
        <w:t xml:space="preserve">    │</w:t>
        <w:br/>
        <w:t xml:space="preserve">    └── FeatureValidator + FeatureValidationReport</w:t>
      </w:r>
    </w:p>
    <w:p>
      <w:pPr/>
      <w:r>
        <w:t xml:space="preserve">The </w:t>
      </w:r>
      <w:r>
        <w:rPr>
          <w:rFonts w:ascii="Consolas" w:hAnsi="Consolas"/>
          <w:color w:val="2E863A"/>
          <w:sz w:val="19"/>
        </w:rPr>
        <w:t>running_df</w:t>
      </w:r>
      <w:r>
        <w:t xml:space="preserve"> accumulation pattern is critical: each feature generator receives the full running DataFrame (including outputs of all previously run features), allowing dependent features to declare columns from earlier features. For example, </w:t>
      </w:r>
      <w:r>
        <w:rPr>
          <w:rFonts w:ascii="Consolas" w:hAnsi="Consolas"/>
          <w:color w:val="2E863A"/>
          <w:sz w:val="19"/>
        </w:rPr>
        <w:t>BosChochEngine</w:t>
      </w:r>
      <w:r>
        <w:t xml:space="preserve"> declares a dependency on </w:t>
      </w:r>
      <w:r>
        <w:rPr>
          <w:rFonts w:ascii="Consolas" w:hAnsi="Consolas"/>
          <w:color w:val="2E863A"/>
          <w:sz w:val="19"/>
        </w:rPr>
        <w:t>market_structure</w:t>
      </w:r>
      <w:r>
        <w:t xml:space="preserve"> and reads </w:t>
      </w:r>
      <w:r>
        <w:rPr>
          <w:rFonts w:ascii="Consolas" w:hAnsi="Consolas"/>
          <w:color w:val="2E863A"/>
          <w:sz w:val="19"/>
        </w:rPr>
        <w:t>trend</w:t>
      </w:r>
      <w:r>
        <w:t xml:space="preserve">, </w:t>
      </w:r>
      <w:r>
        <w:rPr>
          <w:rFonts w:ascii="Consolas" w:hAnsi="Consolas"/>
          <w:color w:val="2E863A"/>
          <w:sz w:val="19"/>
        </w:rPr>
        <w:t>swing_high_price</w:t>
      </w:r>
      <w:r>
        <w:t xml:space="preserve">, </w:t>
      </w:r>
      <w:r>
        <w:rPr>
          <w:rFonts w:ascii="Consolas" w:hAnsi="Consolas"/>
          <w:color w:val="2E863A"/>
          <w:sz w:val="19"/>
        </w:rPr>
        <w:t>swing_low_price</w:t>
      </w:r>
      <w:r>
        <w:t xml:space="preserve">, </w:t>
      </w:r>
      <w:r>
        <w:rPr>
          <w:rFonts w:ascii="Consolas" w:hAnsi="Consolas"/>
          <w:color w:val="2E863A"/>
          <w:sz w:val="19"/>
        </w:rPr>
        <w:t>last_major_high</w:t>
      </w:r>
      <w:r>
        <w:t xml:space="preserve">, and </w:t>
      </w:r>
      <w:r>
        <w:rPr>
          <w:rFonts w:ascii="Consolas" w:hAnsi="Consolas"/>
          <w:color w:val="2E863A"/>
          <w:sz w:val="19"/>
        </w:rPr>
        <w:t>last_major_low</w:t>
      </w:r>
      <w:r>
        <w:t xml:space="preserve"> from it.</w:t>
      </w:r>
    </w:p>
    <w:p>
      <w:pPr>
        <w:pStyle w:val="Heading3"/>
      </w:pPr>
      <w:r>
        <w:t>7.1 ICT / Smart Money Concepts</w:t>
      </w:r>
    </w:p>
    <w:p>
      <w:pPr/>
      <w:r>
        <w:t>Institutional Concepts and Techniques (ICT), also marketed as Smart Money Concepts (SMC), are a framework of market analysis that hypothesizes large institutional participants (banks, hedge funds) leave predictable footprints in price action. The system implements the following ICT concepts:</w:t>
      </w:r>
    </w:p>
    <w:p>
      <w:pPr>
        <w:pStyle w:val="Heading4"/>
      </w:pPr>
      <w:r>
        <w:t>7.1.1 Market Structure Engine</w:t>
      </w:r>
    </w:p>
    <w:p>
      <w:pPr/>
      <w:r>
        <w:rPr>
          <w:b/>
        </w:rPr>
        <w:t>File:</w:t>
      </w:r>
      <w:r>
        <w:t xml:space="preserve"> </w:t>
      </w:r>
      <w:r>
        <w:rPr>
          <w:rFonts w:ascii="Consolas" w:hAnsi="Consolas"/>
          <w:color w:val="2E863A"/>
          <w:sz w:val="19"/>
        </w:rPr>
        <w:t>src/features/market_structure/market_structure_engine.py</w:t>
      </w:r>
      <w:r>
        <w:t xml:space="preserve">  </w:t>
      </w:r>
    </w:p>
    <w:p>
      <w:pPr/>
      <w:r>
        <w:rPr>
          <w:b/>
        </w:rPr>
        <w:t>Output columns (31):</w:t>
      </w:r>
      <w:r>
        <w:t xml:space="preserve"> Pivot highs/lows (major + minor), swing high/low tracking (id, price, duration, range, strength), higher highs/lows, trend classification, trend duration, trend strength, distance to last major/internal high/low.</w:t>
      </w:r>
    </w:p>
    <w:p>
      <w:pPr/>
      <w:r>
        <w:t>The engine detects pivot points using a lookback window:</w:t>
      </w:r>
    </w:p>
    <w:p>
      <w:pPr>
        <w:ind w:left="360"/>
      </w:pPr>
      <w:r>
        <w:t xml:space="preserve">• </w:t>
      </w:r>
      <w:r>
        <w:rPr>
          <w:b/>
        </w:rPr>
        <w:t>Minor pivots (5-bar):</w:t>
      </w:r>
      <w:r>
        <w:t xml:space="preserve"> A high is a minor pivot if it is the highest of the 5-bar window centred on it. Used for internal structure.</w:t>
      </w:r>
    </w:p>
    <w:p>
      <w:pPr>
        <w:ind w:left="360"/>
      </w:pPr>
      <w:r>
        <w:t xml:space="preserve">• </w:t>
      </w:r>
      <w:r>
        <w:rPr>
          <w:b/>
        </w:rPr>
        <w:t>Major pivots (15-bar):</w:t>
      </w:r>
      <w:r>
        <w:t xml:space="preserve"> A high is a major pivot if it is the highest of the 15-bar window. Used for swing structure.</w:t>
      </w:r>
    </w:p>
    <w:p>
      <w:pPr/>
      <w:r>
        <w:t xml:space="preserve">The </w:t>
      </w:r>
      <w:r>
        <w:rPr>
          <w:b/>
        </w:rPr>
        <w:t>trend</w:t>
      </w:r>
      <w:r>
        <w:t xml:space="preserve"> column encodes market bias: </w:t>
      </w:r>
      <w:r>
        <w:rPr>
          <w:rFonts w:ascii="Consolas" w:hAnsi="Consolas"/>
          <w:color w:val="2E863A"/>
          <w:sz w:val="19"/>
        </w:rPr>
        <w:t>+1</w:t>
      </w:r>
      <w:r>
        <w:t xml:space="preserve"> (bullish), </w:t>
      </w:r>
      <w:r>
        <w:rPr>
          <w:rFonts w:ascii="Consolas" w:hAnsi="Consolas"/>
          <w:color w:val="2E863A"/>
          <w:sz w:val="19"/>
        </w:rPr>
        <w:t>-1</w:t>
      </w:r>
      <w:r>
        <w:t xml:space="preserve"> (bearish), </w:t>
      </w:r>
      <w:r>
        <w:rPr>
          <w:rFonts w:ascii="Consolas" w:hAnsi="Consolas"/>
          <w:color w:val="2E863A"/>
          <w:sz w:val="19"/>
        </w:rPr>
        <w:t>0</w:t>
      </w:r>
      <w:r>
        <w:t xml:space="preserve"> (neutral/undefined). The engine updates the trend based on the most recent sequence of higher highs + higher lows (bullish) or lower highs + lower lows (bearish).</w:t>
      </w:r>
    </w:p>
    <w:p>
      <w:pPr>
        <w:pStyle w:val="Heading4"/>
      </w:pPr>
      <w:r>
        <w:t>7.1.2 Break of Structure (BOS) &amp; Change of Character (CHoCH)</w:t>
      </w:r>
    </w:p>
    <w:p>
      <w:pPr/>
      <w:r>
        <w:rPr>
          <w:b/>
        </w:rPr>
        <w:t>File:</w:t>
      </w:r>
      <w:r>
        <w:t xml:space="preserve"> </w:t>
      </w:r>
      <w:r>
        <w:rPr>
          <w:rFonts w:ascii="Consolas" w:hAnsi="Consolas"/>
          <w:color w:val="2E863A"/>
          <w:sz w:val="19"/>
        </w:rPr>
        <w:t>src/features/market_structure/bos_choch.py</w:t>
      </w:r>
      <w:r>
        <w:t xml:space="preserve">  </w:t>
      </w:r>
    </w:p>
    <w:p>
      <w:pPr/>
      <w:r>
        <w:rPr>
          <w:b/>
        </w:rPr>
        <w:t>Output columns (8):</w:t>
      </w:r>
      <w:r>
        <w:t xml:space="preserve"> </w:t>
      </w:r>
      <w:r>
        <w:rPr>
          <w:rFonts w:ascii="Consolas" w:hAnsi="Consolas"/>
          <w:color w:val="2E863A"/>
          <w:sz w:val="19"/>
        </w:rPr>
        <w:t>ibos_bullish</w:t>
      </w:r>
      <w:r>
        <w:t xml:space="preserve">, </w:t>
      </w:r>
      <w:r>
        <w:rPr>
          <w:rFonts w:ascii="Consolas" w:hAnsi="Consolas"/>
          <w:color w:val="2E863A"/>
          <w:sz w:val="19"/>
        </w:rPr>
        <w:t>ibos_bearish</w:t>
      </w:r>
      <w:r>
        <w:t xml:space="preserve">, </w:t>
      </w:r>
      <w:r>
        <w:rPr>
          <w:rFonts w:ascii="Consolas" w:hAnsi="Consolas"/>
          <w:color w:val="2E863A"/>
          <w:sz w:val="19"/>
        </w:rPr>
        <w:t>ichoch_bullish</w:t>
      </w:r>
      <w:r>
        <w:t xml:space="preserve">, </w:t>
      </w:r>
      <w:r>
        <w:rPr>
          <w:rFonts w:ascii="Consolas" w:hAnsi="Consolas"/>
          <w:color w:val="2E863A"/>
          <w:sz w:val="19"/>
        </w:rPr>
        <w:t>ichoch_bearish</w:t>
      </w:r>
      <w:r>
        <w:t xml:space="preserve">, </w:t>
      </w:r>
      <w:r>
        <w:rPr>
          <w:rFonts w:ascii="Consolas" w:hAnsi="Consolas"/>
          <w:color w:val="2E863A"/>
          <w:sz w:val="19"/>
        </w:rPr>
        <w:t>bos_bullish</w:t>
      </w:r>
      <w:r>
        <w:t xml:space="preserve">, </w:t>
      </w:r>
      <w:r>
        <w:rPr>
          <w:rFonts w:ascii="Consolas" w:hAnsi="Consolas"/>
          <w:color w:val="2E863A"/>
          <w:sz w:val="19"/>
        </w:rPr>
        <w:t>bos_bearish</w:t>
      </w:r>
      <w:r>
        <w:t xml:space="preserve">, </w:t>
      </w:r>
      <w:r>
        <w:rPr>
          <w:rFonts w:ascii="Consolas" w:hAnsi="Consolas"/>
          <w:color w:val="2E863A"/>
          <w:sz w:val="19"/>
        </w:rPr>
        <w:t>choch_bullish</w:t>
      </w:r>
      <w:r>
        <w:t xml:space="preserve">, </w:t>
      </w:r>
      <w:r>
        <w:rPr>
          <w:rFonts w:ascii="Consolas" w:hAnsi="Consolas"/>
          <w:color w:val="2E863A"/>
          <w:sz w:val="19"/>
        </w:rPr>
        <w:t>choch_bearish</w:t>
      </w:r>
      <w:r>
        <w:t xml:space="preserve">  </w:t>
      </w:r>
    </w:p>
    <w:p>
      <w:pPr/>
      <w:r>
        <w:rPr>
          <w:b/>
        </w:rPr>
        <w:t>Also:</w:t>
      </w:r>
      <w:r>
        <w:t xml:space="preserve"> </w:t>
      </w:r>
      <w:r>
        <w:rPr>
          <w:rFonts w:ascii="Consolas" w:hAnsi="Consolas"/>
          <w:color w:val="2E863A"/>
          <w:sz w:val="19"/>
        </w:rPr>
        <w:t>structure_bias</w:t>
      </w:r>
      <w:r>
        <w:t xml:space="preserve"> (composite +1/−1/0), </w:t>
      </w:r>
      <w:r>
        <w:rPr>
          <w:rFonts w:ascii="Consolas" w:hAnsi="Consolas"/>
          <w:color w:val="2E863A"/>
          <w:sz w:val="19"/>
        </w:rPr>
        <w:t>bars_since_structure_break</w:t>
      </w:r>
    </w:p>
    <w:p>
      <w:pPr/>
      <w:r>
        <w:t>Two structural tiers are tracked: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C2128"/>
          </w:tcPr>
          <w:p>
            <w:r>
              <w:rPr>
                <w:b/>
                <w:color w:val="FFFFFF"/>
                <w:sz w:val="18"/>
              </w:rPr>
              <w:t>Tier</w:t>
            </w:r>
          </w:p>
        </w:tc>
        <w:tc>
          <w:tcPr>
            <w:tcW w:type="dxa" w:w="2340"/>
            <w:vAlign w:val="top"/>
            <w:shd w:val="clear" w:color="auto" w:fill="1C2128"/>
          </w:tcPr>
          <w:p>
            <w:r>
              <w:rPr>
                <w:b/>
                <w:color w:val="FFFFFF"/>
                <w:sz w:val="18"/>
              </w:rPr>
              <w:t>Pivot Type</w:t>
            </w:r>
          </w:p>
        </w:tc>
        <w:tc>
          <w:tcPr>
            <w:tcW w:type="dxa" w:w="2340"/>
            <w:vAlign w:val="top"/>
            <w:shd w:val="clear" w:color="auto" w:fill="1C2128"/>
          </w:tcPr>
          <w:p>
            <w:r>
              <w:rPr>
                <w:b/>
                <w:color w:val="FFFFFF"/>
                <w:sz w:val="18"/>
              </w:rPr>
              <w:t>Sensitivity</w:t>
            </w:r>
          </w:p>
        </w:tc>
        <w:tc>
          <w:tcPr>
            <w:tcW w:type="dxa" w:w="2340"/>
            <w:vAlign w:val="top"/>
            <w:shd w:val="clear" w:color="auto" w:fill="1C2128"/>
          </w:tcPr>
          <w:p>
            <w:r>
              <w:rPr>
                <w:b/>
                <w:color w:val="FFFFFF"/>
                <w:sz w:val="18"/>
              </w:rPr>
              <w:t>Use Case</w:t>
            </w:r>
          </w:p>
        </w:tc>
      </w:tr>
      <w:tr>
        <w:tc>
          <w:tcPr>
            <w:tcW w:type="dxa" w:w="2340"/>
            <w:vAlign w:val="top"/>
          </w:tcPr>
          <w:p>
            <w:r>
              <w:rPr>
                <w:color w:val="1A1A2E"/>
                <w:sz w:val="18"/>
              </w:rPr>
              <w:t>Internal</w:t>
            </w:r>
          </w:p>
        </w:tc>
        <w:tc>
          <w:tcPr>
            <w:tcW w:type="dxa" w:w="2340"/>
            <w:vAlign w:val="top"/>
          </w:tcPr>
          <w:p>
            <w:r>
              <w:rPr>
                <w:color w:val="1A1A2E"/>
                <w:sz w:val="18"/>
              </w:rPr>
              <w:t>Minor (5-bar)</w:t>
            </w:r>
          </w:p>
        </w:tc>
        <w:tc>
          <w:tcPr>
            <w:tcW w:type="dxa" w:w="2340"/>
            <w:vAlign w:val="top"/>
          </w:tcPr>
          <w:p>
            <w:r>
              <w:rPr>
                <w:color w:val="1A1A2E"/>
                <w:sz w:val="18"/>
              </w:rPr>
              <w:t>High</w:t>
            </w:r>
          </w:p>
        </w:tc>
        <w:tc>
          <w:tcPr>
            <w:tcW w:type="dxa" w:w="2340"/>
            <w:vAlign w:val="top"/>
          </w:tcPr>
          <w:p>
            <w:r>
              <w:rPr>
                <w:color w:val="1A1A2E"/>
                <w:sz w:val="18"/>
              </w:rPr>
              <w:t>Entry timing</w:t>
            </w:r>
          </w:p>
        </w:tc>
      </w:tr>
      <w:tr>
        <w:tc>
          <w:tcPr>
            <w:tcW w:type="dxa" w:w="2340"/>
            <w:vAlign w:val="top"/>
          </w:tcPr>
          <w:p>
            <w:r>
              <w:rPr>
                <w:color w:val="1A1A2E"/>
                <w:sz w:val="18"/>
              </w:rPr>
              <w:t>Swing</w:t>
            </w:r>
          </w:p>
        </w:tc>
        <w:tc>
          <w:tcPr>
            <w:tcW w:type="dxa" w:w="2340"/>
            <w:vAlign w:val="top"/>
          </w:tcPr>
          <w:p>
            <w:r>
              <w:rPr>
                <w:color w:val="1A1A2E"/>
                <w:sz w:val="18"/>
              </w:rPr>
              <w:t>Major (15-bar)</w:t>
            </w:r>
          </w:p>
        </w:tc>
        <w:tc>
          <w:tcPr>
            <w:tcW w:type="dxa" w:w="2340"/>
            <w:vAlign w:val="top"/>
          </w:tcPr>
          <w:p>
            <w:r>
              <w:rPr>
                <w:color w:val="1A1A2E"/>
                <w:sz w:val="18"/>
              </w:rPr>
              <w:t>Low</w:t>
            </w:r>
          </w:p>
        </w:tc>
        <w:tc>
          <w:tcPr>
            <w:tcW w:type="dxa" w:w="2340"/>
            <w:vAlign w:val="top"/>
          </w:tcPr>
          <w:p>
            <w:r>
              <w:rPr>
                <w:color w:val="1A1A2E"/>
                <w:sz w:val="18"/>
              </w:rPr>
              <w:t>Trend confirmation</w:t>
            </w:r>
          </w:p>
        </w:tc>
      </w:tr>
    </w:tbl>
    <w:p/>
    <w:p>
      <w:pPr/>
      <w:r>
        <w:rPr>
          <w:b/>
        </w:rPr>
        <w:t>BOS (Break of Structure):</w:t>
      </w:r>
      <w:r>
        <w:t xml:space="preserve"> A candle close that crosses a structural level in the </w:t>
      </w:r>
      <w:r>
        <w:rPr>
          <w:b/>
        </w:rPr>
        <w:t>same</w:t>
      </w:r>
      <w:r>
        <w:t xml:space="preserve"> direction as the prevailing trend. Signals trend continuation.</w:t>
      </w:r>
    </w:p>
    <w:p>
      <w:pPr/>
      <w:r>
        <w:rPr>
          <w:b/>
        </w:rPr>
        <w:t>CHoCH (Change of Character):</w:t>
      </w:r>
      <w:r>
        <w:t xml:space="preserve"> A candle close that crosses a structural level </w:t>
      </w:r>
      <w:r>
        <w:rPr>
          <w:b/>
        </w:rPr>
        <w:t>against</w:t>
      </w:r>
      <w:r>
        <w:t xml:space="preserve"> the prevailing trend. Signals a potential reversal.</w:t>
      </w:r>
    </w:p>
    <w:p>
      <w:pPr/>
      <w:r>
        <w:t>Classification logic (per tier):</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Bullish break (close &gt; structural level):</w:t>
        <w:br/>
        <w:t xml:space="preserve">    prev_trend == +1  →  bos_bullish   (continuation)</w:t>
        <w:br/>
        <w:t xml:space="preserve">    prev_trend != +1  →  choch_bullish (reversal signal)</w:t>
        <w:br/>
        <w:br/>
        <w:t>Bearish break (close &lt; structural level):</w:t>
        <w:br/>
        <w:t xml:space="preserve">    prev_trend == -1  →  bos_bearish   (continuation)</w:t>
        <w:br/>
        <w:t xml:space="preserve">    prev_trend != -1  →  choch_bearish (reversal signal)</w:t>
      </w:r>
    </w:p>
    <w:p>
      <w:pPr/>
      <w:r>
        <w:rPr>
          <w:b/>
        </w:rPr>
        <w:t>No-repainting guarantee:</w:t>
      </w:r>
      <w:r>
        <w:t xml:space="preserve"> All levels use </w:t>
      </w:r>
      <w:r>
        <w:rPr>
          <w:rFonts w:ascii="Consolas" w:hAnsi="Consolas"/>
          <w:color w:val="2E863A"/>
          <w:sz w:val="19"/>
        </w:rPr>
        <w:t>.shift(1)</w:t>
      </w:r>
      <w:r>
        <w:t xml:space="preserve"> (previous bar's reference levels), ensuring signals are generated on confirmed closed bars only.</w:t>
      </w:r>
    </w:p>
    <w:p>
      <w:pPr>
        <w:pStyle w:val="Heading4"/>
      </w:pPr>
      <w:r>
        <w:t>7.1.3 Order Blocks (OB)</w:t>
      </w:r>
    </w:p>
    <w:p>
      <w:pPr/>
      <w:r>
        <w:rPr>
          <w:b/>
        </w:rPr>
        <w:t>File:</w:t>
      </w:r>
      <w:r>
        <w:t xml:space="preserve"> </w:t>
      </w:r>
      <w:r>
        <w:rPr>
          <w:rFonts w:ascii="Consolas" w:hAnsi="Consolas"/>
          <w:color w:val="2E863A"/>
          <w:sz w:val="19"/>
        </w:rPr>
        <w:t>src/features/market_structure/order_blocks.py</w:t>
      </w:r>
      <w:r>
        <w:t xml:space="preserve">  </w:t>
      </w:r>
    </w:p>
    <w:p>
      <w:pPr/>
      <w:r>
        <w:rPr>
          <w:b/>
        </w:rPr>
        <w:t>Output columns (10):</w:t>
      </w:r>
      <w:r>
        <w:t xml:space="preserve"> </w:t>
      </w:r>
      <w:r>
        <w:rPr>
          <w:rFonts w:ascii="Consolas" w:hAnsi="Consolas"/>
          <w:color w:val="2E863A"/>
          <w:sz w:val="19"/>
        </w:rPr>
        <w:t>ob_bullish</w:t>
      </w:r>
      <w:r>
        <w:t xml:space="preserve">, </w:t>
      </w:r>
      <w:r>
        <w:rPr>
          <w:rFonts w:ascii="Consolas" w:hAnsi="Consolas"/>
          <w:color w:val="2E863A"/>
          <w:sz w:val="19"/>
        </w:rPr>
        <w:t>ob_bearish</w:t>
      </w:r>
      <w:r>
        <w:t xml:space="preserve">, </w:t>
      </w:r>
      <w:r>
        <w:rPr>
          <w:rFonts w:ascii="Consolas" w:hAnsi="Consolas"/>
          <w:color w:val="2E863A"/>
          <w:sz w:val="19"/>
        </w:rPr>
        <w:t>ob_bullish_top</w:t>
      </w:r>
      <w:r>
        <w:t xml:space="preserve">, </w:t>
      </w:r>
      <w:r>
        <w:rPr>
          <w:rFonts w:ascii="Consolas" w:hAnsi="Consolas"/>
          <w:color w:val="2E863A"/>
          <w:sz w:val="19"/>
        </w:rPr>
        <w:t>ob_bullish_bottom</w:t>
      </w:r>
      <w:r>
        <w:t xml:space="preserve">, </w:t>
      </w:r>
      <w:r>
        <w:rPr>
          <w:rFonts w:ascii="Consolas" w:hAnsi="Consolas"/>
          <w:color w:val="2E863A"/>
          <w:sz w:val="19"/>
        </w:rPr>
        <w:t>ob_bearish_top</w:t>
      </w:r>
      <w:r>
        <w:t xml:space="preserve">, </w:t>
      </w:r>
      <w:r>
        <w:rPr>
          <w:rFonts w:ascii="Consolas" w:hAnsi="Consolas"/>
          <w:color w:val="2E863A"/>
          <w:sz w:val="19"/>
        </w:rPr>
        <w:t>ob_bearish_bottom</w:t>
      </w:r>
      <w:r>
        <w:t xml:space="preserve">, </w:t>
      </w:r>
      <w:r>
        <w:rPr>
          <w:rFonts w:ascii="Consolas" w:hAnsi="Consolas"/>
          <w:color w:val="2E863A"/>
          <w:sz w:val="19"/>
        </w:rPr>
        <w:t>ob_bullish_active</w:t>
      </w:r>
      <w:r>
        <w:t xml:space="preserve">, </w:t>
      </w:r>
      <w:r>
        <w:rPr>
          <w:rFonts w:ascii="Consolas" w:hAnsi="Consolas"/>
          <w:color w:val="2E863A"/>
          <w:sz w:val="19"/>
        </w:rPr>
        <w:t>ob_bearish_active</w:t>
      </w:r>
      <w:r>
        <w:t xml:space="preserve">, </w:t>
      </w:r>
      <w:r>
        <w:rPr>
          <w:rFonts w:ascii="Consolas" w:hAnsi="Consolas"/>
          <w:color w:val="2E863A"/>
          <w:sz w:val="19"/>
        </w:rPr>
        <w:t>price_in_bullish_ob</w:t>
      </w:r>
      <w:r>
        <w:t xml:space="preserve">, </w:t>
      </w:r>
      <w:r>
        <w:rPr>
          <w:rFonts w:ascii="Consolas" w:hAnsi="Consolas"/>
          <w:color w:val="2E863A"/>
          <w:sz w:val="19"/>
        </w:rPr>
        <w:t>price_in_bearish_ob</w:t>
      </w:r>
    </w:p>
    <w:p>
      <w:pPr/>
      <w:r>
        <w:t>An Order Block is the last opposing candle before a significant structural move. The hypothesis is that institutional limit orders are clustered at these price levels, causing price to return and react.</w:t>
      </w:r>
    </w:p>
    <w:p>
      <w:pPr>
        <w:ind w:left="360"/>
      </w:pPr>
      <w:r>
        <w:t xml:space="preserve">• </w:t>
      </w:r>
      <w:r>
        <w:rPr>
          <w:b/>
        </w:rPr>
        <w:t>Bullish OB:</w:t>
      </w:r>
      <w:r>
        <w:t xml:space="preserve"> The last bearish candle before a bullish BOS event. Price returning to its high–low range is expected to react bullishly.</w:t>
      </w:r>
    </w:p>
    <w:p>
      <w:pPr>
        <w:ind w:left="360"/>
      </w:pPr>
      <w:r>
        <w:t xml:space="preserve">• </w:t>
      </w:r>
      <w:r>
        <w:rPr>
          <w:b/>
        </w:rPr>
        <w:t>Bearish OB:</w:t>
      </w:r>
      <w:r>
        <w:t xml:space="preserve"> The last bullish candle before a bearish BOS event. Price returning to its high–low range is expected to react bearishly.</w:t>
      </w:r>
    </w:p>
    <w:p>
      <w:pPr/>
      <w:r>
        <w:t xml:space="preserve">Active status decays: an OB is marked </w:t>
      </w:r>
      <w:r>
        <w:rPr>
          <w:rFonts w:ascii="Consolas" w:hAnsi="Consolas"/>
          <w:color w:val="2E863A"/>
          <w:sz w:val="19"/>
        </w:rPr>
        <w:t>active=0</w:t>
      </w:r>
      <w:r>
        <w:t xml:space="preserve"> once price closes through it (mitigation). The </w:t>
      </w:r>
      <w:r>
        <w:rPr>
          <w:rFonts w:ascii="Consolas" w:hAnsi="Consolas"/>
          <w:color w:val="2E863A"/>
          <w:sz w:val="19"/>
        </w:rPr>
        <w:t>price_in_bullish_ob</w:t>
      </w:r>
      <w:r>
        <w:t xml:space="preserve"> / </w:t>
      </w:r>
      <w:r>
        <w:rPr>
          <w:rFonts w:ascii="Consolas" w:hAnsi="Consolas"/>
          <w:color w:val="2E863A"/>
          <w:sz w:val="19"/>
        </w:rPr>
        <w:t>price_in_bearish_ob</w:t>
      </w:r>
      <w:r>
        <w:t xml:space="preserve"> binary flags trigger when the current close is within an active OB's price range.</w:t>
      </w:r>
    </w:p>
    <w:p>
      <w:pPr>
        <w:pStyle w:val="Heading4"/>
      </w:pPr>
      <w:r>
        <w:t>7.1.4 Fair Value Gaps (FVG)</w:t>
      </w:r>
    </w:p>
    <w:p>
      <w:pPr/>
      <w:r>
        <w:rPr>
          <w:b/>
        </w:rPr>
        <w:t>File:</w:t>
      </w:r>
      <w:r>
        <w:t xml:space="preserve"> </w:t>
      </w:r>
      <w:r>
        <w:rPr>
          <w:rFonts w:ascii="Consolas" w:hAnsi="Consolas"/>
          <w:color w:val="2E863A"/>
          <w:sz w:val="19"/>
        </w:rPr>
        <w:t>src/features/market_structure/fair_value_gaps.py</w:t>
      </w:r>
      <w:r>
        <w:t xml:space="preserve">  </w:t>
      </w:r>
    </w:p>
    <w:p>
      <w:pPr/>
      <w:r>
        <w:rPr>
          <w:b/>
        </w:rPr>
        <w:t>Output columns (10):</w:t>
      </w:r>
      <w:r>
        <w:t xml:space="preserve"> </w:t>
      </w:r>
      <w:r>
        <w:rPr>
          <w:rFonts w:ascii="Consolas" w:hAnsi="Consolas"/>
          <w:color w:val="2E863A"/>
          <w:sz w:val="19"/>
        </w:rPr>
        <w:t>fvg_bullish</w:t>
      </w:r>
      <w:r>
        <w:t xml:space="preserve">, </w:t>
      </w:r>
      <w:r>
        <w:rPr>
          <w:rFonts w:ascii="Consolas" w:hAnsi="Consolas"/>
          <w:color w:val="2E863A"/>
          <w:sz w:val="19"/>
        </w:rPr>
        <w:t>fvg_bearish</w:t>
      </w:r>
      <w:r>
        <w:t xml:space="preserve">, </w:t>
      </w:r>
      <w:r>
        <w:rPr>
          <w:rFonts w:ascii="Consolas" w:hAnsi="Consolas"/>
          <w:color w:val="2E863A"/>
          <w:sz w:val="19"/>
        </w:rPr>
        <w:t>fvg_bullish_top</w:t>
      </w:r>
      <w:r>
        <w:t xml:space="preserve">, </w:t>
      </w:r>
      <w:r>
        <w:rPr>
          <w:rFonts w:ascii="Consolas" w:hAnsi="Consolas"/>
          <w:color w:val="2E863A"/>
          <w:sz w:val="19"/>
        </w:rPr>
        <w:t>fvg_bullish_bottom</w:t>
      </w:r>
      <w:r>
        <w:t xml:space="preserve">, </w:t>
      </w:r>
      <w:r>
        <w:rPr>
          <w:rFonts w:ascii="Consolas" w:hAnsi="Consolas"/>
          <w:color w:val="2E863A"/>
          <w:sz w:val="19"/>
        </w:rPr>
        <w:t>fvg_bearish_top</w:t>
      </w:r>
      <w:r>
        <w:t xml:space="preserve">, </w:t>
      </w:r>
      <w:r>
        <w:rPr>
          <w:rFonts w:ascii="Consolas" w:hAnsi="Consolas"/>
          <w:color w:val="2E863A"/>
          <w:sz w:val="19"/>
        </w:rPr>
        <w:t>fvg_bearish_bottom</w:t>
      </w:r>
      <w:r>
        <w:t xml:space="preserve">, </w:t>
      </w:r>
      <w:r>
        <w:rPr>
          <w:rFonts w:ascii="Consolas" w:hAnsi="Consolas"/>
          <w:color w:val="2E863A"/>
          <w:sz w:val="19"/>
        </w:rPr>
        <w:t>fvg_bullish_active</w:t>
      </w:r>
      <w:r>
        <w:t xml:space="preserve">, </w:t>
      </w:r>
      <w:r>
        <w:rPr>
          <w:rFonts w:ascii="Consolas" w:hAnsi="Consolas"/>
          <w:color w:val="2E863A"/>
          <w:sz w:val="19"/>
        </w:rPr>
        <w:t>fvg_bearish_active</w:t>
      </w:r>
      <w:r>
        <w:t xml:space="preserve">, </w:t>
      </w:r>
      <w:r>
        <w:rPr>
          <w:rFonts w:ascii="Consolas" w:hAnsi="Consolas"/>
          <w:color w:val="2E863A"/>
          <w:sz w:val="19"/>
        </w:rPr>
        <w:t>fvg_bullish_age</w:t>
      </w:r>
      <w:r>
        <w:t xml:space="preserve">, </w:t>
      </w:r>
      <w:r>
        <w:rPr>
          <w:rFonts w:ascii="Consolas" w:hAnsi="Consolas"/>
          <w:color w:val="2E863A"/>
          <w:sz w:val="19"/>
        </w:rPr>
        <w:t>fvg_bearish_age</w:t>
      </w:r>
    </w:p>
    <w:p>
      <w:pPr/>
      <w:r>
        <w:t>A Fair Value Gap is a three-candle pattern where the middle candle's body is entirely non-overlapping with either of its neighbours. This creates a "gap" in price that price tends to revisit.</w:t>
      </w:r>
    </w:p>
    <w:p>
      <w:pPr>
        <w:ind w:left="360"/>
      </w:pPr>
      <w:r>
        <w:t xml:space="preserve">• </w:t>
      </w:r>
      <w:r>
        <w:rPr>
          <w:b/>
        </w:rPr>
        <w:t>Bullish FVG:</w:t>
      </w:r>
      <w:r>
        <w:t xml:space="preserve"> </w:t>
      </w:r>
      <w:r>
        <w:rPr>
          <w:rFonts w:ascii="Consolas" w:hAnsi="Consolas"/>
          <w:color w:val="2E863A"/>
          <w:sz w:val="19"/>
        </w:rPr>
        <w:t>candle[i-1].high &lt; candle[i+1].low</w:t>
      </w:r>
      <w:r>
        <w:t xml:space="preserve"> — gap between bar -1's high and bar +1's low. The middle candle is strongly bullish.</w:t>
      </w:r>
    </w:p>
    <w:p>
      <w:pPr>
        <w:ind w:left="360"/>
      </w:pPr>
      <w:r>
        <w:t xml:space="preserve">• </w:t>
      </w:r>
      <w:r>
        <w:rPr>
          <w:b/>
        </w:rPr>
        <w:t>Bearish FVG:</w:t>
      </w:r>
      <w:r>
        <w:t xml:space="preserve"> </w:t>
      </w:r>
      <w:r>
        <w:rPr>
          <w:rFonts w:ascii="Consolas" w:hAnsi="Consolas"/>
          <w:color w:val="2E863A"/>
          <w:sz w:val="19"/>
        </w:rPr>
        <w:t>candle[i-1].low &gt; candle[i+1].high</w:t>
      </w:r>
      <w:r>
        <w:t xml:space="preserve"> — gap between bar -1's low and bar +1's high. The middle candle is strongly bearish.</w:t>
      </w:r>
    </w:p>
    <w:p>
      <w:pPr/>
      <w:r>
        <w:t>Age tracks how many bars have elapsed since the FVG formed, allowing the model to discount stale imbalances.</w:t>
      </w:r>
    </w:p>
    <w:p>
      <w:pPr>
        <w:pStyle w:val="Heading4"/>
      </w:pPr>
      <w:r>
        <w:t>7.1.5 Premium / Discount Zones (PD)</w:t>
      </w:r>
    </w:p>
    <w:p>
      <w:pPr/>
      <w:r>
        <w:rPr>
          <w:b/>
        </w:rPr>
        <w:t>File:</w:t>
      </w:r>
      <w:r>
        <w:t xml:space="preserve"> </w:t>
      </w:r>
      <w:r>
        <w:rPr>
          <w:rFonts w:ascii="Consolas" w:hAnsi="Consolas"/>
          <w:color w:val="2E863A"/>
          <w:sz w:val="19"/>
        </w:rPr>
        <w:t>src/features/market_structure/premium_discount.py</w:t>
      </w:r>
      <w:r>
        <w:t xml:space="preserve">  </w:t>
      </w:r>
    </w:p>
    <w:p>
      <w:pPr/>
      <w:r>
        <w:rPr>
          <w:b/>
        </w:rPr>
        <w:t>Output columns (4):</w:t>
      </w:r>
      <w:r>
        <w:t xml:space="preserve"> </w:t>
      </w:r>
      <w:r>
        <w:rPr>
          <w:rFonts w:ascii="Consolas" w:hAnsi="Consolas"/>
          <w:color w:val="2E863A"/>
          <w:sz w:val="19"/>
        </w:rPr>
        <w:t>pd_ratio</w:t>
      </w:r>
      <w:r>
        <w:t xml:space="preserve">, </w:t>
      </w:r>
      <w:r>
        <w:rPr>
          <w:rFonts w:ascii="Consolas" w:hAnsi="Consolas"/>
          <w:color w:val="2E863A"/>
          <w:sz w:val="19"/>
        </w:rPr>
        <w:t>pd_equilibrium</w:t>
      </w:r>
      <w:r>
        <w:t xml:space="preserve">, </w:t>
      </w:r>
      <w:r>
        <w:rPr>
          <w:rFonts w:ascii="Consolas" w:hAnsi="Consolas"/>
          <w:color w:val="2E863A"/>
          <w:sz w:val="19"/>
        </w:rPr>
        <w:t>pd_distance_from_eq</w:t>
      </w:r>
      <w:r>
        <w:t xml:space="preserve">, </w:t>
      </w:r>
      <w:r>
        <w:rPr>
          <w:rFonts w:ascii="Consolas" w:hAnsi="Consolas"/>
          <w:color w:val="2E863A"/>
          <w:sz w:val="19"/>
        </w:rPr>
        <w:t>pd_zone</w:t>
      </w:r>
    </w:p>
    <w:p>
      <w:pPr/>
      <w:r>
        <w:t>The Premium/Discount framework identifies whether price is trading in a premium (above equilibrium) or discount (below equilibrium) zone relative to the most recent price swing.</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equilibrium = (swing_high + swing_low) / 2</w:t>
        <w:br/>
        <w:t>pd_ratio = (close - swing_low) / (swing_high - swing_low)</w:t>
        <w:br/>
        <w:br/>
        <w:t>pd_zone:</w:t>
        <w:br/>
        <w:t xml:space="preserve">    pd_ratio &gt; 0.75  →  Premium (+1)   — potential short zone</w:t>
        <w:br/>
        <w:t xml:space="preserve">    pd_ratio &lt; 0.25  →  Discount (-1)  — potential long zone</w:t>
        <w:br/>
        <w:t xml:space="preserve">    else             →  Equilibrium (0)</w:t>
      </w:r>
    </w:p>
    <w:p>
      <w:pPr>
        <w:pStyle w:val="Heading4"/>
      </w:pPr>
      <w:r>
        <w:t>7.1.6 Equal Highs / Equal Lows (EQH/EQL)</w:t>
      </w:r>
    </w:p>
    <w:p>
      <w:pPr/>
      <w:r>
        <w:rPr>
          <w:b/>
        </w:rPr>
        <w:t>File:</w:t>
      </w:r>
      <w:r>
        <w:t xml:space="preserve"> </w:t>
      </w:r>
      <w:r>
        <w:rPr>
          <w:rFonts w:ascii="Consolas" w:hAnsi="Consolas"/>
          <w:color w:val="2E863A"/>
          <w:sz w:val="19"/>
        </w:rPr>
        <w:t>src/features/liquidity/equal_highs_lows.py</w:t>
      </w:r>
      <w:r>
        <w:t xml:space="preserve">  </w:t>
      </w:r>
    </w:p>
    <w:p>
      <w:pPr/>
      <w:r>
        <w:rPr>
          <w:b/>
        </w:rPr>
        <w:t>Output columns (6):</w:t>
      </w:r>
      <w:r>
        <w:t xml:space="preserve"> </w:t>
      </w:r>
      <w:r>
        <w:rPr>
          <w:rFonts w:ascii="Consolas" w:hAnsi="Consolas"/>
          <w:color w:val="2E863A"/>
          <w:sz w:val="19"/>
        </w:rPr>
        <w:t>eqh</w:t>
      </w:r>
      <w:r>
        <w:t xml:space="preserve">, </w:t>
      </w:r>
      <w:r>
        <w:rPr>
          <w:rFonts w:ascii="Consolas" w:hAnsi="Consolas"/>
          <w:color w:val="2E863A"/>
          <w:sz w:val="19"/>
        </w:rPr>
        <w:t>eqh_price</w:t>
      </w:r>
      <w:r>
        <w:t xml:space="preserve">, </w:t>
      </w:r>
      <w:r>
        <w:rPr>
          <w:rFonts w:ascii="Consolas" w:hAnsi="Consolas"/>
          <w:color w:val="2E863A"/>
          <w:sz w:val="19"/>
        </w:rPr>
        <w:t>eql</w:t>
      </w:r>
      <w:r>
        <w:t xml:space="preserve">, </w:t>
      </w:r>
      <w:r>
        <w:rPr>
          <w:rFonts w:ascii="Consolas" w:hAnsi="Consolas"/>
          <w:color w:val="2E863A"/>
          <w:sz w:val="19"/>
        </w:rPr>
        <w:t>eql_price</w:t>
      </w:r>
      <w:r>
        <w:t xml:space="preserve">, </w:t>
      </w:r>
      <w:r>
        <w:rPr>
          <w:rFonts w:ascii="Consolas" w:hAnsi="Consolas"/>
          <w:color w:val="2E863A"/>
          <w:sz w:val="19"/>
        </w:rPr>
        <w:t>eqh_age</w:t>
      </w:r>
      <w:r>
        <w:t xml:space="preserve">, </w:t>
      </w:r>
      <w:r>
        <w:rPr>
          <w:rFonts w:ascii="Consolas" w:hAnsi="Consolas"/>
          <w:color w:val="2E863A"/>
          <w:sz w:val="19"/>
        </w:rPr>
        <w:t>eql_age</w:t>
      </w:r>
    </w:p>
    <w:p>
      <w:pPr/>
      <w:r>
        <w:t>Equal Highs (EQH) and Equal Lows (EQL) mark price levels where the market has tested the same high or low twice within a tolerance threshold. These are interpreted as liquidity pools — areas where stop-loss orders accumulate, making them targets for institutional "stop hunts."</w:t>
      </w:r>
    </w:p>
    <w:p>
      <w:pPr>
        <w:pStyle w:val="Heading4"/>
      </w:pPr>
      <w:r>
        <w:t>7.1.7 Liquidity Sweeps</w:t>
      </w:r>
    </w:p>
    <w:p>
      <w:pPr/>
      <w:r>
        <w:rPr>
          <w:b/>
        </w:rPr>
        <w:t>File:</w:t>
      </w:r>
      <w:r>
        <w:t xml:space="preserve"> </w:t>
      </w:r>
      <w:r>
        <w:rPr>
          <w:rFonts w:ascii="Consolas" w:hAnsi="Consolas"/>
          <w:color w:val="2E863A"/>
          <w:sz w:val="19"/>
        </w:rPr>
        <w:t>src/features/liquidity/liquidity_sweeps.py</w:t>
      </w:r>
      <w:r>
        <w:t xml:space="preserve">  </w:t>
      </w:r>
    </w:p>
    <w:p>
      <w:pPr/>
      <w:r>
        <w:rPr>
          <w:b/>
        </w:rPr>
        <w:t>Output columns (15+):</w:t>
      </w:r>
      <w:r>
        <w:t xml:space="preserve"> </w:t>
      </w:r>
      <w:r>
        <w:rPr>
          <w:rFonts w:ascii="Consolas" w:hAnsi="Consolas"/>
          <w:color w:val="2E863A"/>
          <w:sz w:val="19"/>
        </w:rPr>
        <w:t>bullish_liquidity_sweep</w:t>
      </w:r>
      <w:r>
        <w:t xml:space="preserve">, </w:t>
      </w:r>
      <w:r>
        <w:rPr>
          <w:rFonts w:ascii="Consolas" w:hAnsi="Consolas"/>
          <w:color w:val="2E863A"/>
          <w:sz w:val="19"/>
        </w:rPr>
        <w:t>bearish_liquidity_sweep</w:t>
      </w:r>
      <w:r>
        <w:t xml:space="preserve">, </w:t>
      </w:r>
      <w:r>
        <w:rPr>
          <w:rFonts w:ascii="Consolas" w:hAnsi="Consolas"/>
          <w:color w:val="2E863A"/>
          <w:sz w:val="19"/>
        </w:rPr>
        <w:t>liquidity_score</w:t>
      </w:r>
      <w:r>
        <w:t xml:space="preserve">, </w:t>
      </w:r>
      <w:r>
        <w:rPr>
          <w:rFonts w:ascii="Consolas" w:hAnsi="Consolas"/>
          <w:color w:val="2E863A"/>
          <w:sz w:val="19"/>
        </w:rPr>
        <w:t>nearest_liquidity_distance</w:t>
      </w:r>
      <w:r>
        <w:t xml:space="preserve">, </w:t>
      </w:r>
      <w:r>
        <w:rPr>
          <w:rFonts w:ascii="Consolas" w:hAnsi="Consolas"/>
          <w:color w:val="2E863A"/>
          <w:sz w:val="19"/>
        </w:rPr>
        <w:t>nearest_buy_liquidity</w:t>
      </w:r>
      <w:r>
        <w:t xml:space="preserve">, </w:t>
      </w:r>
      <w:r>
        <w:rPr>
          <w:rFonts w:ascii="Consolas" w:hAnsi="Consolas"/>
          <w:color w:val="2E863A"/>
          <w:sz w:val="19"/>
        </w:rPr>
        <w:t>nearest_sell_liquidity</w:t>
      </w:r>
      <w:r>
        <w:t xml:space="preserve">, </w:t>
      </w:r>
      <w:r>
        <w:rPr>
          <w:rFonts w:ascii="Consolas" w:hAnsi="Consolas"/>
          <w:color w:val="2E863A"/>
          <w:sz w:val="19"/>
        </w:rPr>
        <w:t>liquidity_age</w:t>
      </w:r>
      <w:r>
        <w:t xml:space="preserve">, </w:t>
      </w:r>
      <w:r>
        <w:rPr>
          <w:rFonts w:ascii="Consolas" w:hAnsi="Consolas"/>
          <w:color w:val="2E863A"/>
          <w:sz w:val="19"/>
        </w:rPr>
        <w:t>touch_count</w:t>
      </w:r>
      <w:r>
        <w:t xml:space="preserve">, </w:t>
      </w:r>
      <w:r>
        <w:rPr>
          <w:rFonts w:ascii="Consolas" w:hAnsi="Consolas"/>
          <w:color w:val="2E863A"/>
          <w:sz w:val="19"/>
        </w:rPr>
        <w:t>strong_sweep</w:t>
      </w:r>
      <w:r>
        <w:t xml:space="preserve">, </w:t>
      </w:r>
      <w:r>
        <w:rPr>
          <w:rFonts w:ascii="Consolas" w:hAnsi="Consolas"/>
          <w:color w:val="2E863A"/>
          <w:sz w:val="19"/>
        </w:rPr>
        <w:t>weak_sweep</w:t>
      </w:r>
      <w:r>
        <w:t xml:space="preserve">, </w:t>
      </w:r>
      <w:r>
        <w:rPr>
          <w:rFonts w:ascii="Consolas" w:hAnsi="Consolas"/>
          <w:color w:val="2E863A"/>
          <w:sz w:val="19"/>
        </w:rPr>
        <w:t>confirmed_sweep</w:t>
      </w:r>
      <w:r>
        <w:t xml:space="preserve">, </w:t>
      </w:r>
      <w:r>
        <w:rPr>
          <w:rFonts w:ascii="Consolas" w:hAnsi="Consolas"/>
          <w:color w:val="2E863A"/>
          <w:sz w:val="19"/>
        </w:rPr>
        <w:t>sweep_strength</w:t>
      </w:r>
      <w:r>
        <w:t xml:space="preserve">, </w:t>
      </w:r>
      <w:r>
        <w:rPr>
          <w:rFonts w:ascii="Consolas" w:hAnsi="Consolas"/>
          <w:color w:val="2E863A"/>
          <w:sz w:val="19"/>
        </w:rPr>
        <w:t>liquidity_cluster_size</w:t>
      </w:r>
      <w:r>
        <w:t xml:space="preserve">, </w:t>
      </w:r>
      <w:r>
        <w:rPr>
          <w:rFonts w:ascii="Consolas" w:hAnsi="Consolas"/>
          <w:color w:val="2E863A"/>
          <w:sz w:val="19"/>
        </w:rPr>
        <w:t>sweep_penetration</w:t>
      </w:r>
      <w:r>
        <w:t xml:space="preserve">, </w:t>
      </w:r>
      <w:r>
        <w:rPr>
          <w:rFonts w:ascii="Consolas" w:hAnsi="Consolas"/>
          <w:color w:val="2E863A"/>
          <w:sz w:val="19"/>
        </w:rPr>
        <w:t>sweep_rejection</w:t>
      </w:r>
    </w:p>
    <w:p>
      <w:pPr/>
      <w:r>
        <w:t>A liquidity sweep occurs when price temporarily breaks above an EQH or below an EQL before reversing. This is the "stop hunt" mechanism — institutional players drive price through a liquidity zone to fill their own orders at better prices, then reverse direction.</w:t>
      </w:r>
    </w:p>
    <w:p>
      <w:pPr/>
      <w:r>
        <w:t>The sweep detection algorithm:</w:t>
      </w:r>
    </w:p>
    <w:p>
      <w:pPr>
        <w:ind w:left="360"/>
      </w:pPr>
      <w:r>
        <w:t>Identifies all active liquidity zones (EQH/EQL).</w:t>
      </w:r>
    </w:p>
    <w:p>
      <w:pPr>
        <w:ind w:left="360"/>
      </w:pPr>
      <w:r>
        <w:t>For each bar, checks if high &gt; EQH + tolerance (bullish sweep attempt).</w:t>
      </w:r>
    </w:p>
    <w:p>
      <w:pPr>
        <w:ind w:left="360"/>
      </w:pPr>
      <w:r>
        <w:t xml:space="preserve">A </w:t>
      </w:r>
      <w:r>
        <w:rPr>
          <w:b/>
        </w:rPr>
        <w:t>confirmed sweep</w:t>
      </w:r>
      <w:r>
        <w:t xml:space="preserve"> requires the same bar's close to reverse back below the EQH level.</w:t>
      </w:r>
    </w:p>
    <w:p>
      <w:pPr>
        <w:ind w:left="360"/>
      </w:pPr>
      <w:r>
        <w:rPr>
          <w:b/>
        </w:rPr>
        <w:t>Strong sweep:</w:t>
      </w:r>
      <w:r>
        <w:t xml:space="preserve"> Penetration &gt; 2× ATR. </w:t>
      </w:r>
      <w:r>
        <w:rPr>
          <w:b/>
        </w:rPr>
        <w:t>Weak sweep:</w:t>
      </w:r>
      <w:r>
        <w:t xml:space="preserve"> Penetration ≤ 0.5× ATR.</w:t>
      </w:r>
    </w:p>
    <w:p>
      <w:pPr>
        <w:pStyle w:val="Heading4"/>
      </w:pPr>
      <w:r>
        <w:t>7.1.8 Liquidity Magnets</w:t>
      </w:r>
    </w:p>
    <w:p>
      <w:pPr/>
      <w:r>
        <w:rPr>
          <w:b/>
        </w:rPr>
        <w:t>File:</w:t>
      </w:r>
      <w:r>
        <w:t xml:space="preserve"> </w:t>
      </w:r>
      <w:r>
        <w:rPr>
          <w:rFonts w:ascii="Consolas" w:hAnsi="Consolas"/>
          <w:color w:val="2E863A"/>
          <w:sz w:val="19"/>
        </w:rPr>
        <w:t>src/features/liquidity/liquidity_magnet.py</w:t>
      </w:r>
      <w:r>
        <w:t xml:space="preserve">  </w:t>
      </w:r>
    </w:p>
    <w:p>
      <w:pPr/>
      <w:r>
        <w:rPr>
          <w:b/>
        </w:rPr>
        <w:t>Output columns (15+):</w:t>
      </w:r>
      <w:r>
        <w:t xml:space="preserve"> </w:t>
      </w:r>
      <w:r>
        <w:rPr>
          <w:rFonts w:ascii="Consolas" w:hAnsi="Consolas"/>
          <w:color w:val="2E863A"/>
          <w:sz w:val="19"/>
        </w:rPr>
        <w:t>magnet_score</w:t>
      </w:r>
      <w:r>
        <w:t xml:space="preserve">, </w:t>
      </w:r>
      <w:r>
        <w:rPr>
          <w:rFonts w:ascii="Consolas" w:hAnsi="Consolas"/>
          <w:color w:val="2E863A"/>
          <w:sz w:val="19"/>
        </w:rPr>
        <w:t>magnet_probability</w:t>
      </w:r>
      <w:r>
        <w:t xml:space="preserve">, </w:t>
      </w:r>
      <w:r>
        <w:rPr>
          <w:rFonts w:ascii="Consolas" w:hAnsi="Consolas"/>
          <w:color w:val="2E863A"/>
          <w:sz w:val="19"/>
        </w:rPr>
        <w:t>liquidity_rank</w:t>
      </w:r>
      <w:r>
        <w:t xml:space="preserve">, </w:t>
      </w:r>
      <w:r>
        <w:rPr>
          <w:rFonts w:ascii="Consolas" w:hAnsi="Consolas"/>
          <w:color w:val="2E863A"/>
          <w:sz w:val="19"/>
        </w:rPr>
        <w:t>target_liquidity</w:t>
      </w:r>
      <w:r>
        <w:t xml:space="preserve">, </w:t>
      </w:r>
      <w:r>
        <w:rPr>
          <w:rFonts w:ascii="Consolas" w:hAnsi="Consolas"/>
          <w:color w:val="2E863A"/>
          <w:sz w:val="19"/>
        </w:rPr>
        <w:t>distance_to_target</w:t>
      </w:r>
      <w:r>
        <w:t xml:space="preserve">, </w:t>
      </w:r>
      <w:r>
        <w:rPr>
          <w:rFonts w:ascii="Consolas" w:hAnsi="Consolas"/>
          <w:color w:val="2E863A"/>
          <w:sz w:val="19"/>
        </w:rPr>
        <w:t>buy_side_probability</w:t>
      </w:r>
      <w:r>
        <w:t xml:space="preserve">, </w:t>
      </w:r>
      <w:r>
        <w:rPr>
          <w:rFonts w:ascii="Consolas" w:hAnsi="Consolas"/>
          <w:color w:val="2E863A"/>
          <w:sz w:val="19"/>
        </w:rPr>
        <w:t>sell_side_probability</w:t>
      </w:r>
      <w:r>
        <w:t xml:space="preserve">, </w:t>
      </w:r>
      <w:r>
        <w:rPr>
          <w:rFonts w:ascii="Consolas" w:hAnsi="Consolas"/>
          <w:color w:val="2E863A"/>
          <w:sz w:val="19"/>
        </w:rPr>
        <w:t>liquidity_density</w:t>
      </w:r>
      <w:r>
        <w:t xml:space="preserve">, </w:t>
      </w:r>
      <w:r>
        <w:rPr>
          <w:rFonts w:ascii="Consolas" w:hAnsi="Consolas"/>
          <w:color w:val="2E863A"/>
          <w:sz w:val="19"/>
        </w:rPr>
        <w:t>cluster_strength</w:t>
      </w:r>
      <w:r>
        <w:t xml:space="preserve">, </w:t>
      </w:r>
      <w:r>
        <w:rPr>
          <w:rFonts w:ascii="Consolas" w:hAnsi="Consolas"/>
          <w:color w:val="2E863A"/>
          <w:sz w:val="19"/>
        </w:rPr>
        <w:t>magnet_strength</w:t>
      </w:r>
      <w:r>
        <w:t xml:space="preserve">, </w:t>
      </w:r>
      <w:r>
        <w:rPr>
          <w:rFonts w:ascii="Consolas" w:hAnsi="Consolas"/>
          <w:color w:val="2E863A"/>
          <w:sz w:val="19"/>
        </w:rPr>
        <w:t>nearest_cluster_size</w:t>
      </w:r>
      <w:r>
        <w:t xml:space="preserve">, </w:t>
      </w:r>
      <w:r>
        <w:rPr>
          <w:rFonts w:ascii="Consolas" w:hAnsi="Consolas"/>
          <w:color w:val="2E863A"/>
          <w:sz w:val="19"/>
        </w:rPr>
        <w:t>proximity_contribution</w:t>
      </w:r>
      <w:r>
        <w:t xml:space="preserve">, </w:t>
      </w:r>
      <w:r>
        <w:rPr>
          <w:rFonts w:ascii="Consolas" w:hAnsi="Consolas"/>
          <w:color w:val="2E863A"/>
          <w:sz w:val="19"/>
        </w:rPr>
        <w:t>age_contribution</w:t>
      </w:r>
      <w:r>
        <w:t xml:space="preserve">, </w:t>
      </w:r>
      <w:r>
        <w:rPr>
          <w:rFonts w:ascii="Consolas" w:hAnsi="Consolas"/>
          <w:color w:val="2E863A"/>
          <w:sz w:val="19"/>
        </w:rPr>
        <w:t>touch_contribution</w:t>
      </w:r>
      <w:r>
        <w:t xml:space="preserve">, </w:t>
      </w:r>
      <w:r>
        <w:rPr>
          <w:rFonts w:ascii="Consolas" w:hAnsi="Consolas"/>
          <w:color w:val="2E863A"/>
          <w:sz w:val="19"/>
        </w:rPr>
        <w:t>momentum_contribution</w:t>
      </w:r>
      <w:r>
        <w:t xml:space="preserve">, </w:t>
      </w:r>
      <w:r>
        <w:rPr>
          <w:rFonts w:ascii="Consolas" w:hAnsi="Consolas"/>
          <w:color w:val="2E863A"/>
          <w:sz w:val="19"/>
        </w:rPr>
        <w:t>ranking_position</w:t>
      </w:r>
      <w:r>
        <w:t xml:space="preserve">, </w:t>
      </w:r>
      <w:r>
        <w:rPr>
          <w:rFonts w:ascii="Consolas" w:hAnsi="Consolas"/>
          <w:color w:val="2E863A"/>
          <w:sz w:val="19"/>
        </w:rPr>
        <w:t>target_direction</w:t>
      </w:r>
    </w:p>
    <w:p>
      <w:pPr/>
      <w:r>
        <w:t xml:space="preserve">The Liquidity Magnet model treats liquidity pools as attractors that "pull" price toward them. A composite </w:t>
      </w:r>
      <w:r>
        <w:rPr>
          <w:rFonts w:ascii="Consolas" w:hAnsi="Consolas"/>
          <w:color w:val="2E863A"/>
          <w:sz w:val="19"/>
        </w:rPr>
        <w:t>magnet_score</w:t>
      </w:r>
      <w:r>
        <w:t xml:space="preserve"> ranks all active liquidity zones by:</w:t>
      </w:r>
    </w:p>
    <w:p>
      <w:pPr>
        <w:ind w:left="360"/>
      </w:pPr>
      <w:r>
        <w:t xml:space="preserve">• </w:t>
      </w:r>
      <w:r>
        <w:rPr>
          <w:b/>
        </w:rPr>
        <w:t>Proximity:</w:t>
      </w:r>
      <w:r>
        <w:t xml:space="preserve"> Closer pools score higher.</w:t>
      </w:r>
    </w:p>
    <w:p>
      <w:pPr>
        <w:ind w:left="360"/>
      </w:pPr>
      <w:r>
        <w:t xml:space="preserve">• </w:t>
      </w:r>
      <w:r>
        <w:rPr>
          <w:b/>
        </w:rPr>
        <w:t>Age:</w:t>
      </w:r>
      <w:r>
        <w:t xml:space="preserve"> Younger pools are stronger (more orders still pending).</w:t>
      </w:r>
    </w:p>
    <w:p>
      <w:pPr>
        <w:ind w:left="360"/>
      </w:pPr>
      <w:r>
        <w:t xml:space="preserve">• </w:t>
      </w:r>
      <w:r>
        <w:rPr>
          <w:b/>
        </w:rPr>
        <w:t>Touch count:</w:t>
      </w:r>
      <w:r>
        <w:t xml:space="preserve"> Multiple tests of the same level without sweep suggest increasing accumulation.</w:t>
      </w:r>
    </w:p>
    <w:p>
      <w:pPr>
        <w:ind w:left="360"/>
      </w:pPr>
      <w:r>
        <w:t xml:space="preserve">• </w:t>
      </w:r>
      <w:r>
        <w:rPr>
          <w:b/>
        </w:rPr>
        <w:t>Momentum alignment:</w:t>
      </w:r>
      <w:r>
        <w:t xml:space="preserve"> Pools in the direction of current momentum score higher.</w:t>
      </w:r>
    </w:p>
    <w:p>
      <w:pPr/>
      <w:r>
        <w:t xml:space="preserve">The </w:t>
      </w:r>
      <w:r>
        <w:rPr>
          <w:rFonts w:ascii="Consolas" w:hAnsi="Consolas"/>
          <w:color w:val="2E863A"/>
          <w:sz w:val="19"/>
        </w:rPr>
        <w:t>target_direction</w:t>
      </w:r>
      <w:r>
        <w:t xml:space="preserve"> output is one of the most predictive features — it indicates whether the next likely liquidity target is above or below current price.</w:t>
      </w:r>
    </w:p>
    <w:p>
      <w:pPr>
        <w:pStyle w:val="Heading3"/>
      </w:pPr>
      <w:r>
        <w:t>7.2 Traditional Technical Indicators</w:t>
      </w:r>
    </w:p>
    <w:p>
      <w:pPr>
        <w:pStyle w:val="Heading4"/>
      </w:pPr>
      <w:r>
        <w:t>7.2.1 Momentum Oscillators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Feature</w:t>
            </w:r>
          </w:p>
        </w:tc>
        <w:tc>
          <w:tcPr>
            <w:tcW w:type="dxa" w:w="3120"/>
            <w:vAlign w:val="top"/>
            <w:shd w:val="clear" w:color="auto" w:fill="1C2128"/>
          </w:tcPr>
          <w:p>
            <w:r>
              <w:rPr>
                <w:b/>
                <w:color w:val="FFFFFF"/>
                <w:sz w:val="18"/>
              </w:rPr>
              <w:t>Output Columns</w:t>
            </w:r>
          </w:p>
        </w:tc>
        <w:tc>
          <w:tcPr>
            <w:tcW w:type="dxa" w:w="3120"/>
            <w:vAlign w:val="top"/>
            <w:shd w:val="clear" w:color="auto" w:fill="1C2128"/>
          </w:tcPr>
          <w:p>
            <w:r>
              <w:rPr>
                <w:b/>
                <w:color w:val="FFFFFF"/>
                <w:sz w:val="18"/>
              </w:rPr>
              <w:t>Parameters</w:t>
            </w:r>
          </w:p>
        </w:tc>
      </w:tr>
      <w:tr>
        <w:tc>
          <w:tcPr>
            <w:tcW w:type="dxa" w:w="3120"/>
            <w:vAlign w:val="top"/>
          </w:tcPr>
          <w:p>
            <w:r>
              <w:rPr>
                <w:color w:val="1A1A2E"/>
                <w:sz w:val="18"/>
              </w:rPr>
              <w:t>RSI</w:t>
            </w:r>
          </w:p>
        </w:tc>
        <w:tc>
          <w:tcPr>
            <w:tcW w:type="dxa" w:w="3120"/>
            <w:vAlign w:val="top"/>
          </w:tcPr>
          <w:p>
            <w:r>
              <w:rPr>
                <w:color w:val="1A1A2E"/>
                <w:sz w:val="18"/>
              </w:rPr>
            </w:r>
            <w:r>
              <w:rPr>
                <w:rFonts w:ascii="Consolas" w:hAnsi="Consolas"/>
                <w:color w:val="2E863A"/>
                <w:sz w:val="18"/>
              </w:rPr>
              <w:t>rsi</w:t>
            </w:r>
            <w:r>
              <w:rPr>
                <w:color w:val="1A1A2E"/>
                <w:sz w:val="18"/>
              </w:rPr>
            </w:r>
          </w:p>
        </w:tc>
        <w:tc>
          <w:tcPr>
            <w:tcW w:type="dxa" w:w="3120"/>
            <w:vAlign w:val="top"/>
          </w:tcPr>
          <w:p>
            <w:r>
              <w:rPr>
                <w:color w:val="1A1A2E"/>
                <w:sz w:val="18"/>
              </w:rPr>
              <w:t>Period=14</w:t>
            </w:r>
          </w:p>
        </w:tc>
      </w:tr>
      <w:tr>
        <w:tc>
          <w:tcPr>
            <w:tcW w:type="dxa" w:w="3120"/>
            <w:vAlign w:val="top"/>
          </w:tcPr>
          <w:p>
            <w:r>
              <w:rPr>
                <w:color w:val="1A1A2E"/>
                <w:sz w:val="18"/>
              </w:rPr>
              <w:t>Stochastic</w:t>
            </w:r>
          </w:p>
        </w:tc>
        <w:tc>
          <w:tcPr>
            <w:tcW w:type="dxa" w:w="3120"/>
            <w:vAlign w:val="top"/>
          </w:tcPr>
          <w:p>
            <w:r>
              <w:rPr>
                <w:color w:val="1A1A2E"/>
                <w:sz w:val="18"/>
              </w:rPr>
            </w:r>
            <w:r>
              <w:rPr>
                <w:rFonts w:ascii="Consolas" w:hAnsi="Consolas"/>
                <w:color w:val="2E863A"/>
                <w:sz w:val="18"/>
              </w:rPr>
              <w:t>stochastic_k</w:t>
            </w:r>
            <w:r>
              <w:rPr>
                <w:color w:val="1A1A2E"/>
                <w:sz w:val="18"/>
              </w:rPr>
              <w:t xml:space="preserve">, </w:t>
            </w:r>
            <w:r>
              <w:rPr>
                <w:rFonts w:ascii="Consolas" w:hAnsi="Consolas"/>
                <w:color w:val="2E863A"/>
                <w:sz w:val="18"/>
              </w:rPr>
              <w:t>stochastic_d</w:t>
            </w:r>
            <w:r>
              <w:rPr>
                <w:color w:val="1A1A2E"/>
                <w:sz w:val="18"/>
              </w:rPr>
            </w:r>
          </w:p>
        </w:tc>
        <w:tc>
          <w:tcPr>
            <w:tcW w:type="dxa" w:w="3120"/>
            <w:vAlign w:val="top"/>
          </w:tcPr>
          <w:p>
            <w:r>
              <w:rPr>
                <w:color w:val="1A1A2E"/>
                <w:sz w:val="18"/>
              </w:rPr>
              <w:t>K=14, D=3, smooth=3</w:t>
            </w:r>
          </w:p>
        </w:tc>
      </w:tr>
      <w:tr>
        <w:tc>
          <w:tcPr>
            <w:tcW w:type="dxa" w:w="3120"/>
            <w:vAlign w:val="top"/>
          </w:tcPr>
          <w:p>
            <w:r>
              <w:rPr>
                <w:color w:val="1A1A2E"/>
                <w:sz w:val="18"/>
              </w:rPr>
              <w:t>MACD</w:t>
            </w:r>
          </w:p>
        </w:tc>
        <w:tc>
          <w:tcPr>
            <w:tcW w:type="dxa" w:w="3120"/>
            <w:vAlign w:val="top"/>
          </w:tcPr>
          <w:p>
            <w:r>
              <w:rPr>
                <w:color w:val="1A1A2E"/>
                <w:sz w:val="18"/>
              </w:rPr>
            </w:r>
            <w:r>
              <w:rPr>
                <w:rFonts w:ascii="Consolas" w:hAnsi="Consolas"/>
                <w:color w:val="2E863A"/>
                <w:sz w:val="18"/>
              </w:rPr>
              <w:t>macd</w:t>
            </w:r>
            <w:r>
              <w:rPr>
                <w:color w:val="1A1A2E"/>
                <w:sz w:val="18"/>
              </w:rPr>
              <w:t xml:space="preserve">, </w:t>
            </w:r>
            <w:r>
              <w:rPr>
                <w:rFonts w:ascii="Consolas" w:hAnsi="Consolas"/>
                <w:color w:val="2E863A"/>
                <w:sz w:val="18"/>
              </w:rPr>
              <w:t>macd_signal</w:t>
            </w:r>
            <w:r>
              <w:rPr>
                <w:color w:val="1A1A2E"/>
                <w:sz w:val="18"/>
              </w:rPr>
              <w:t xml:space="preserve">, </w:t>
            </w:r>
            <w:r>
              <w:rPr>
                <w:rFonts w:ascii="Consolas" w:hAnsi="Consolas"/>
                <w:color w:val="2E863A"/>
                <w:sz w:val="18"/>
              </w:rPr>
              <w:t>macd_histogram</w:t>
            </w:r>
            <w:r>
              <w:rPr>
                <w:color w:val="1A1A2E"/>
                <w:sz w:val="18"/>
              </w:rPr>
            </w:r>
          </w:p>
        </w:tc>
        <w:tc>
          <w:tcPr>
            <w:tcW w:type="dxa" w:w="3120"/>
            <w:vAlign w:val="top"/>
          </w:tcPr>
          <w:p>
            <w:r>
              <w:rPr>
                <w:color w:val="1A1A2E"/>
                <w:sz w:val="18"/>
              </w:rPr>
              <w:t>Fast=12, Slow=26, Signal=9</w:t>
            </w:r>
          </w:p>
        </w:tc>
      </w:tr>
      <w:tr>
        <w:tc>
          <w:tcPr>
            <w:tcW w:type="dxa" w:w="3120"/>
            <w:vAlign w:val="top"/>
          </w:tcPr>
          <w:p>
            <w:r>
              <w:rPr>
                <w:color w:val="1A1A2E"/>
                <w:sz w:val="18"/>
              </w:rPr>
              <w:t>CCI</w:t>
            </w:r>
          </w:p>
        </w:tc>
        <w:tc>
          <w:tcPr>
            <w:tcW w:type="dxa" w:w="3120"/>
            <w:vAlign w:val="top"/>
          </w:tcPr>
          <w:p>
            <w:r>
              <w:rPr>
                <w:color w:val="1A1A2E"/>
                <w:sz w:val="18"/>
              </w:rPr>
            </w:r>
            <w:r>
              <w:rPr>
                <w:rFonts w:ascii="Consolas" w:hAnsi="Consolas"/>
                <w:color w:val="2E863A"/>
                <w:sz w:val="18"/>
              </w:rPr>
              <w:t>cci</w:t>
            </w:r>
            <w:r>
              <w:rPr>
                <w:color w:val="1A1A2E"/>
                <w:sz w:val="18"/>
              </w:rPr>
            </w:r>
          </w:p>
        </w:tc>
        <w:tc>
          <w:tcPr>
            <w:tcW w:type="dxa" w:w="3120"/>
            <w:vAlign w:val="top"/>
          </w:tcPr>
          <w:p>
            <w:r>
              <w:rPr>
                <w:color w:val="1A1A2E"/>
                <w:sz w:val="18"/>
              </w:rPr>
              <w:t>Period=20</w:t>
            </w:r>
          </w:p>
        </w:tc>
      </w:tr>
      <w:tr>
        <w:tc>
          <w:tcPr>
            <w:tcW w:type="dxa" w:w="3120"/>
            <w:vAlign w:val="top"/>
          </w:tcPr>
          <w:p>
            <w:r>
              <w:rPr>
                <w:color w:val="1A1A2E"/>
                <w:sz w:val="18"/>
              </w:rPr>
              <w:t>Williams %R</w:t>
            </w:r>
          </w:p>
        </w:tc>
        <w:tc>
          <w:tcPr>
            <w:tcW w:type="dxa" w:w="3120"/>
            <w:vAlign w:val="top"/>
          </w:tcPr>
          <w:p>
            <w:r>
              <w:rPr>
                <w:color w:val="1A1A2E"/>
                <w:sz w:val="18"/>
              </w:rPr>
            </w:r>
            <w:r>
              <w:rPr>
                <w:rFonts w:ascii="Consolas" w:hAnsi="Consolas"/>
                <w:color w:val="2E863A"/>
                <w:sz w:val="18"/>
              </w:rPr>
              <w:t>williams_r</w:t>
            </w:r>
            <w:r>
              <w:rPr>
                <w:color w:val="1A1A2E"/>
                <w:sz w:val="18"/>
              </w:rPr>
            </w:r>
          </w:p>
        </w:tc>
        <w:tc>
          <w:tcPr>
            <w:tcW w:type="dxa" w:w="3120"/>
            <w:vAlign w:val="top"/>
          </w:tcPr>
          <w:p>
            <w:r>
              <w:rPr>
                <w:color w:val="1A1A2E"/>
                <w:sz w:val="18"/>
              </w:rPr>
              <w:t>Period=14</w:t>
            </w:r>
          </w:p>
        </w:tc>
      </w:tr>
      <w:tr>
        <w:tc>
          <w:tcPr>
            <w:tcW w:type="dxa" w:w="3120"/>
            <w:vAlign w:val="top"/>
          </w:tcPr>
          <w:p>
            <w:r>
              <w:rPr>
                <w:color w:val="1A1A2E"/>
                <w:sz w:val="18"/>
              </w:rPr>
              <w:t>Rate of Change</w:t>
            </w:r>
          </w:p>
        </w:tc>
        <w:tc>
          <w:tcPr>
            <w:tcW w:type="dxa" w:w="3120"/>
            <w:vAlign w:val="top"/>
          </w:tcPr>
          <w:p>
            <w:r>
              <w:rPr>
                <w:color w:val="1A1A2E"/>
                <w:sz w:val="18"/>
              </w:rPr>
            </w:r>
            <w:r>
              <w:rPr>
                <w:rFonts w:ascii="Consolas" w:hAnsi="Consolas"/>
                <w:color w:val="2E863A"/>
                <w:sz w:val="18"/>
              </w:rPr>
              <w:t>roc</w:t>
            </w:r>
            <w:r>
              <w:rPr>
                <w:color w:val="1A1A2E"/>
                <w:sz w:val="18"/>
              </w:rPr>
            </w:r>
          </w:p>
        </w:tc>
        <w:tc>
          <w:tcPr>
            <w:tcW w:type="dxa" w:w="3120"/>
            <w:vAlign w:val="top"/>
          </w:tcPr>
          <w:p>
            <w:r>
              <w:rPr>
                <w:color w:val="1A1A2E"/>
                <w:sz w:val="18"/>
              </w:rPr>
              <w:t>Period=10</w:t>
            </w:r>
          </w:p>
        </w:tc>
      </w:tr>
      <w:tr>
        <w:tc>
          <w:tcPr>
            <w:tcW w:type="dxa" w:w="3120"/>
            <w:vAlign w:val="top"/>
          </w:tcPr>
          <w:p>
            <w:r>
              <w:rPr>
                <w:color w:val="1A1A2E"/>
                <w:sz w:val="18"/>
              </w:rPr>
              <w:t>Price Momentum</w:t>
            </w:r>
          </w:p>
        </w:tc>
        <w:tc>
          <w:tcPr>
            <w:tcW w:type="dxa" w:w="3120"/>
            <w:vAlign w:val="top"/>
          </w:tcPr>
          <w:p>
            <w:r>
              <w:rPr>
                <w:color w:val="1A1A2E"/>
                <w:sz w:val="18"/>
              </w:rPr>
            </w:r>
            <w:r>
              <w:rPr>
                <w:rFonts w:ascii="Consolas" w:hAnsi="Consolas"/>
                <w:color w:val="2E863A"/>
                <w:sz w:val="18"/>
              </w:rPr>
              <w:t>price_momentum</w:t>
            </w:r>
            <w:r>
              <w:rPr>
                <w:color w:val="1A1A2E"/>
                <w:sz w:val="18"/>
              </w:rPr>
            </w:r>
          </w:p>
        </w:tc>
        <w:tc>
          <w:tcPr>
            <w:tcW w:type="dxa" w:w="3120"/>
            <w:vAlign w:val="top"/>
          </w:tcPr>
          <w:p>
            <w:r>
              <w:rPr>
                <w:color w:val="1A1A2E"/>
                <w:sz w:val="18"/>
              </w:rPr>
              <w:t>Period=10</w:t>
            </w:r>
          </w:p>
        </w:tc>
      </w:tr>
      <w:tr>
        <w:tc>
          <w:tcPr>
            <w:tcW w:type="dxa" w:w="3120"/>
            <w:vAlign w:val="top"/>
          </w:tcPr>
          <w:p>
            <w:r>
              <w:rPr>
                <w:color w:val="1A1A2E"/>
                <w:sz w:val="18"/>
              </w:rPr>
              <w:t>TSI</w:t>
            </w:r>
          </w:p>
        </w:tc>
        <w:tc>
          <w:tcPr>
            <w:tcW w:type="dxa" w:w="3120"/>
            <w:vAlign w:val="top"/>
          </w:tcPr>
          <w:p>
            <w:r>
              <w:rPr>
                <w:color w:val="1A1A2E"/>
                <w:sz w:val="18"/>
              </w:rPr>
            </w:r>
            <w:r>
              <w:rPr>
                <w:rFonts w:ascii="Consolas" w:hAnsi="Consolas"/>
                <w:color w:val="2E863A"/>
                <w:sz w:val="18"/>
              </w:rPr>
              <w:t>tsi</w:t>
            </w:r>
            <w:r>
              <w:rPr>
                <w:color w:val="1A1A2E"/>
                <w:sz w:val="18"/>
              </w:rPr>
            </w:r>
          </w:p>
        </w:tc>
        <w:tc>
          <w:tcPr>
            <w:tcW w:type="dxa" w:w="3120"/>
            <w:vAlign w:val="top"/>
          </w:tcPr>
          <w:p>
            <w:r>
              <w:rPr>
                <w:color w:val="1A1A2E"/>
                <w:sz w:val="18"/>
              </w:rPr>
              <w:t>Long=25, Short=13</w:t>
            </w:r>
          </w:p>
        </w:tc>
      </w:tr>
    </w:tbl>
    <w:p/>
    <w:p>
      <w:pPr>
        <w:pStyle w:val="Heading4"/>
      </w:pPr>
      <w:r>
        <w:t>7.2.2 Moving Averages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EMA (9)</w:t>
            </w:r>
          </w:p>
        </w:tc>
        <w:tc>
          <w:tcPr>
            <w:tcW w:type="dxa" w:w="4680"/>
            <w:vAlign w:val="top"/>
          </w:tcPr>
          <w:p>
            <w:r>
              <w:rPr>
                <w:color w:val="1A1A2E"/>
                <w:sz w:val="18"/>
              </w:rPr>
            </w:r>
            <w:r>
              <w:rPr>
                <w:rFonts w:ascii="Consolas" w:hAnsi="Consolas"/>
                <w:color w:val="2E863A"/>
                <w:sz w:val="18"/>
              </w:rPr>
              <w:t>ema9</w:t>
            </w:r>
            <w:r>
              <w:rPr>
                <w:color w:val="1A1A2E"/>
                <w:sz w:val="18"/>
              </w:rPr>
            </w:r>
          </w:p>
        </w:tc>
      </w:tr>
      <w:tr>
        <w:tc>
          <w:tcPr>
            <w:tcW w:type="dxa" w:w="4680"/>
            <w:vAlign w:val="top"/>
          </w:tcPr>
          <w:p>
            <w:r>
              <w:rPr>
                <w:color w:val="1A1A2E"/>
                <w:sz w:val="18"/>
              </w:rPr>
              <w:t>EMA (20)</w:t>
            </w:r>
          </w:p>
        </w:tc>
        <w:tc>
          <w:tcPr>
            <w:tcW w:type="dxa" w:w="4680"/>
            <w:vAlign w:val="top"/>
          </w:tcPr>
          <w:p>
            <w:r>
              <w:rPr>
                <w:color w:val="1A1A2E"/>
                <w:sz w:val="18"/>
              </w:rPr>
            </w:r>
            <w:r>
              <w:rPr>
                <w:rFonts w:ascii="Consolas" w:hAnsi="Consolas"/>
                <w:color w:val="2E863A"/>
                <w:sz w:val="18"/>
              </w:rPr>
              <w:t>ema20</w:t>
            </w:r>
            <w:r>
              <w:rPr>
                <w:color w:val="1A1A2E"/>
                <w:sz w:val="18"/>
              </w:rPr>
            </w:r>
          </w:p>
        </w:tc>
      </w:tr>
      <w:tr>
        <w:tc>
          <w:tcPr>
            <w:tcW w:type="dxa" w:w="4680"/>
            <w:vAlign w:val="top"/>
          </w:tcPr>
          <w:p>
            <w:r>
              <w:rPr>
                <w:color w:val="1A1A2E"/>
                <w:sz w:val="18"/>
              </w:rPr>
              <w:t>EMA (50)</w:t>
            </w:r>
          </w:p>
        </w:tc>
        <w:tc>
          <w:tcPr>
            <w:tcW w:type="dxa" w:w="4680"/>
            <w:vAlign w:val="top"/>
          </w:tcPr>
          <w:p>
            <w:r>
              <w:rPr>
                <w:color w:val="1A1A2E"/>
                <w:sz w:val="18"/>
              </w:rPr>
            </w:r>
            <w:r>
              <w:rPr>
                <w:rFonts w:ascii="Consolas" w:hAnsi="Consolas"/>
                <w:color w:val="2E863A"/>
                <w:sz w:val="18"/>
              </w:rPr>
              <w:t>ema50</w:t>
            </w:r>
            <w:r>
              <w:rPr>
                <w:color w:val="1A1A2E"/>
                <w:sz w:val="18"/>
              </w:rPr>
            </w:r>
          </w:p>
        </w:tc>
      </w:tr>
      <w:tr>
        <w:tc>
          <w:tcPr>
            <w:tcW w:type="dxa" w:w="4680"/>
            <w:vAlign w:val="top"/>
          </w:tcPr>
          <w:p>
            <w:r>
              <w:rPr>
                <w:color w:val="1A1A2E"/>
                <w:sz w:val="18"/>
              </w:rPr>
              <w:t>EMA (100)</w:t>
            </w:r>
          </w:p>
        </w:tc>
        <w:tc>
          <w:tcPr>
            <w:tcW w:type="dxa" w:w="4680"/>
            <w:vAlign w:val="top"/>
          </w:tcPr>
          <w:p>
            <w:r>
              <w:rPr>
                <w:color w:val="1A1A2E"/>
                <w:sz w:val="18"/>
              </w:rPr>
            </w:r>
            <w:r>
              <w:rPr>
                <w:rFonts w:ascii="Consolas" w:hAnsi="Consolas"/>
                <w:color w:val="2E863A"/>
                <w:sz w:val="18"/>
              </w:rPr>
              <w:t>ema100</w:t>
            </w:r>
            <w:r>
              <w:rPr>
                <w:color w:val="1A1A2E"/>
                <w:sz w:val="18"/>
              </w:rPr>
            </w:r>
          </w:p>
        </w:tc>
      </w:tr>
      <w:tr>
        <w:tc>
          <w:tcPr>
            <w:tcW w:type="dxa" w:w="4680"/>
            <w:vAlign w:val="top"/>
          </w:tcPr>
          <w:p>
            <w:r>
              <w:rPr>
                <w:color w:val="1A1A2E"/>
                <w:sz w:val="18"/>
              </w:rPr>
              <w:t>EMA (200)</w:t>
            </w:r>
          </w:p>
        </w:tc>
        <w:tc>
          <w:tcPr>
            <w:tcW w:type="dxa" w:w="4680"/>
            <w:vAlign w:val="top"/>
          </w:tcPr>
          <w:p>
            <w:r>
              <w:rPr>
                <w:color w:val="1A1A2E"/>
                <w:sz w:val="18"/>
              </w:rPr>
            </w:r>
            <w:r>
              <w:rPr>
                <w:rFonts w:ascii="Consolas" w:hAnsi="Consolas"/>
                <w:color w:val="2E863A"/>
                <w:sz w:val="18"/>
              </w:rPr>
              <w:t>ema200</w:t>
            </w:r>
            <w:r>
              <w:rPr>
                <w:color w:val="1A1A2E"/>
                <w:sz w:val="18"/>
              </w:rPr>
            </w:r>
          </w:p>
        </w:tc>
      </w:tr>
      <w:tr>
        <w:tc>
          <w:tcPr>
            <w:tcW w:type="dxa" w:w="4680"/>
            <w:vAlign w:val="top"/>
          </w:tcPr>
          <w:p>
            <w:r>
              <w:rPr>
                <w:color w:val="1A1A2E"/>
                <w:sz w:val="18"/>
              </w:rPr>
              <w:t>SMA (20)</w:t>
            </w:r>
          </w:p>
        </w:tc>
        <w:tc>
          <w:tcPr>
            <w:tcW w:type="dxa" w:w="4680"/>
            <w:vAlign w:val="top"/>
          </w:tcPr>
          <w:p>
            <w:r>
              <w:rPr>
                <w:color w:val="1A1A2E"/>
                <w:sz w:val="18"/>
              </w:rPr>
            </w:r>
            <w:r>
              <w:rPr>
                <w:rFonts w:ascii="Consolas" w:hAnsi="Consolas"/>
                <w:color w:val="2E863A"/>
                <w:sz w:val="18"/>
              </w:rPr>
              <w:t>sma20</w:t>
            </w:r>
            <w:r>
              <w:rPr>
                <w:color w:val="1A1A2E"/>
                <w:sz w:val="18"/>
              </w:rPr>
            </w:r>
          </w:p>
        </w:tc>
      </w:tr>
      <w:tr>
        <w:tc>
          <w:tcPr>
            <w:tcW w:type="dxa" w:w="4680"/>
            <w:vAlign w:val="top"/>
          </w:tcPr>
          <w:p>
            <w:r>
              <w:rPr>
                <w:color w:val="1A1A2E"/>
                <w:sz w:val="18"/>
              </w:rPr>
              <w:t>SMA (50)</w:t>
            </w:r>
          </w:p>
        </w:tc>
        <w:tc>
          <w:tcPr>
            <w:tcW w:type="dxa" w:w="4680"/>
            <w:vAlign w:val="top"/>
          </w:tcPr>
          <w:p>
            <w:r>
              <w:rPr>
                <w:color w:val="1A1A2E"/>
                <w:sz w:val="18"/>
              </w:rPr>
            </w:r>
            <w:r>
              <w:rPr>
                <w:rFonts w:ascii="Consolas" w:hAnsi="Consolas"/>
                <w:color w:val="2E863A"/>
                <w:sz w:val="18"/>
              </w:rPr>
              <w:t>sma50</w:t>
            </w:r>
            <w:r>
              <w:rPr>
                <w:color w:val="1A1A2E"/>
                <w:sz w:val="18"/>
              </w:rPr>
            </w:r>
          </w:p>
        </w:tc>
      </w:tr>
      <w:tr>
        <w:tc>
          <w:tcPr>
            <w:tcW w:type="dxa" w:w="4680"/>
            <w:vAlign w:val="top"/>
          </w:tcPr>
          <w:p>
            <w:r>
              <w:rPr>
                <w:color w:val="1A1A2E"/>
                <w:sz w:val="18"/>
              </w:rPr>
              <w:t>SMA (100)</w:t>
            </w:r>
          </w:p>
        </w:tc>
        <w:tc>
          <w:tcPr>
            <w:tcW w:type="dxa" w:w="4680"/>
            <w:vAlign w:val="top"/>
          </w:tcPr>
          <w:p>
            <w:r>
              <w:rPr>
                <w:color w:val="1A1A2E"/>
                <w:sz w:val="18"/>
              </w:rPr>
            </w:r>
            <w:r>
              <w:rPr>
                <w:rFonts w:ascii="Consolas" w:hAnsi="Consolas"/>
                <w:color w:val="2E863A"/>
                <w:sz w:val="18"/>
              </w:rPr>
              <w:t>sma100</w:t>
            </w:r>
            <w:r>
              <w:rPr>
                <w:color w:val="1A1A2E"/>
                <w:sz w:val="18"/>
              </w:rPr>
            </w:r>
          </w:p>
        </w:tc>
      </w:tr>
      <w:tr>
        <w:tc>
          <w:tcPr>
            <w:tcW w:type="dxa" w:w="4680"/>
            <w:vAlign w:val="top"/>
          </w:tcPr>
          <w:p>
            <w:r>
              <w:rPr>
                <w:color w:val="1A1A2E"/>
                <w:sz w:val="18"/>
              </w:rPr>
              <w:t>WMA (20)</w:t>
            </w:r>
          </w:p>
        </w:tc>
        <w:tc>
          <w:tcPr>
            <w:tcW w:type="dxa" w:w="4680"/>
            <w:vAlign w:val="top"/>
          </w:tcPr>
          <w:p>
            <w:r>
              <w:rPr>
                <w:color w:val="1A1A2E"/>
                <w:sz w:val="18"/>
              </w:rPr>
            </w:r>
            <w:r>
              <w:rPr>
                <w:rFonts w:ascii="Consolas" w:hAnsi="Consolas"/>
                <w:color w:val="2E863A"/>
                <w:sz w:val="18"/>
              </w:rPr>
              <w:t>wma20</w:t>
            </w:r>
            <w:r>
              <w:rPr>
                <w:color w:val="1A1A2E"/>
                <w:sz w:val="18"/>
              </w:rPr>
            </w:r>
          </w:p>
        </w:tc>
      </w:tr>
      <w:tr>
        <w:tc>
          <w:tcPr>
            <w:tcW w:type="dxa" w:w="4680"/>
            <w:vAlign w:val="top"/>
          </w:tcPr>
          <w:p>
            <w:r>
              <w:rPr>
                <w:color w:val="1A1A2E"/>
                <w:sz w:val="18"/>
              </w:rPr>
              <w:t>HMA (20)</w:t>
            </w:r>
          </w:p>
        </w:tc>
        <w:tc>
          <w:tcPr>
            <w:tcW w:type="dxa" w:w="4680"/>
            <w:vAlign w:val="top"/>
          </w:tcPr>
          <w:p>
            <w:r>
              <w:rPr>
                <w:color w:val="1A1A2E"/>
                <w:sz w:val="18"/>
              </w:rPr>
            </w:r>
            <w:r>
              <w:rPr>
                <w:rFonts w:ascii="Consolas" w:hAnsi="Consolas"/>
                <w:color w:val="2E863A"/>
                <w:sz w:val="18"/>
              </w:rPr>
              <w:t>hma20</w:t>
            </w:r>
            <w:r>
              <w:rPr>
                <w:color w:val="1A1A2E"/>
                <w:sz w:val="18"/>
              </w:rPr>
            </w:r>
          </w:p>
        </w:tc>
      </w:tr>
      <w:tr>
        <w:tc>
          <w:tcPr>
            <w:tcW w:type="dxa" w:w="4680"/>
            <w:vAlign w:val="top"/>
          </w:tcPr>
          <w:p>
            <w:r>
              <w:rPr>
                <w:color w:val="1A1A2E"/>
                <w:sz w:val="18"/>
              </w:rPr>
              <w:t>EMA slope</w:t>
            </w:r>
          </w:p>
        </w:tc>
        <w:tc>
          <w:tcPr>
            <w:tcW w:type="dxa" w:w="4680"/>
            <w:vAlign w:val="top"/>
          </w:tcPr>
          <w:p>
            <w:r>
              <w:rPr>
                <w:color w:val="1A1A2E"/>
                <w:sz w:val="18"/>
              </w:rPr>
            </w:r>
            <w:r>
              <w:rPr>
                <w:rFonts w:ascii="Consolas" w:hAnsi="Consolas"/>
                <w:color w:val="2E863A"/>
                <w:sz w:val="18"/>
              </w:rPr>
              <w:t>ema_slope</w:t>
            </w:r>
            <w:r>
              <w:rPr>
                <w:color w:val="1A1A2E"/>
                <w:sz w:val="18"/>
              </w:rPr>
            </w:r>
          </w:p>
        </w:tc>
      </w:tr>
      <w:tr>
        <w:tc>
          <w:tcPr>
            <w:tcW w:type="dxa" w:w="4680"/>
            <w:vAlign w:val="top"/>
          </w:tcPr>
          <w:p>
            <w:r>
              <w:rPr>
                <w:color w:val="1A1A2E"/>
                <w:sz w:val="18"/>
              </w:rPr>
              <w:t>EMA crossover</w:t>
            </w:r>
          </w:p>
        </w:tc>
        <w:tc>
          <w:tcPr>
            <w:tcW w:type="dxa" w:w="4680"/>
            <w:vAlign w:val="top"/>
          </w:tcPr>
          <w:p>
            <w:r>
              <w:rPr>
                <w:color w:val="1A1A2E"/>
                <w:sz w:val="18"/>
              </w:rPr>
            </w:r>
            <w:r>
              <w:rPr>
                <w:rFonts w:ascii="Consolas" w:hAnsi="Consolas"/>
                <w:color w:val="2E863A"/>
                <w:sz w:val="18"/>
              </w:rPr>
              <w:t>ema_cross</w:t>
            </w:r>
            <w:r>
              <w:rPr>
                <w:color w:val="1A1A2E"/>
                <w:sz w:val="18"/>
              </w:rPr>
            </w:r>
          </w:p>
        </w:tc>
      </w:tr>
    </w:tbl>
    <w:p/>
    <w:p>
      <w:pPr>
        <w:pStyle w:val="Heading4"/>
      </w:pPr>
      <w:r>
        <w:t>7.2.3 Trend &amp; Direction</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ADX</w:t>
            </w:r>
          </w:p>
        </w:tc>
        <w:tc>
          <w:tcPr>
            <w:tcW w:type="dxa" w:w="4680"/>
            <w:vAlign w:val="top"/>
          </w:tcPr>
          <w:p>
            <w:r>
              <w:rPr>
                <w:color w:val="1A1A2E"/>
                <w:sz w:val="18"/>
              </w:rPr>
            </w:r>
            <w:r>
              <w:rPr>
                <w:rFonts w:ascii="Consolas" w:hAnsi="Consolas"/>
                <w:color w:val="2E863A"/>
                <w:sz w:val="18"/>
              </w:rPr>
              <w:t>adx</w:t>
            </w:r>
            <w:r>
              <w:rPr>
                <w:color w:val="1A1A2E"/>
                <w:sz w:val="18"/>
              </w:rPr>
              <w:t xml:space="preserve">, </w:t>
            </w:r>
            <w:r>
              <w:rPr>
                <w:rFonts w:ascii="Consolas" w:hAnsi="Consolas"/>
                <w:color w:val="2E863A"/>
                <w:sz w:val="18"/>
              </w:rPr>
              <w:t>plus_di</w:t>
            </w:r>
            <w:r>
              <w:rPr>
                <w:color w:val="1A1A2E"/>
                <w:sz w:val="18"/>
              </w:rPr>
              <w:t xml:space="preserve">, </w:t>
            </w:r>
            <w:r>
              <w:rPr>
                <w:rFonts w:ascii="Consolas" w:hAnsi="Consolas"/>
                <w:color w:val="2E863A"/>
                <w:sz w:val="18"/>
              </w:rPr>
              <w:t>minus_di</w:t>
            </w:r>
            <w:r>
              <w:rPr>
                <w:color w:val="1A1A2E"/>
                <w:sz w:val="18"/>
              </w:rPr>
            </w:r>
          </w:p>
        </w:tc>
      </w:tr>
      <w:tr>
        <w:tc>
          <w:tcPr>
            <w:tcW w:type="dxa" w:w="4680"/>
            <w:vAlign w:val="top"/>
          </w:tcPr>
          <w:p>
            <w:r>
              <w:rPr>
                <w:color w:val="1A1A2E"/>
                <w:sz w:val="18"/>
              </w:rPr>
              <w:t>Aroon</w:t>
            </w:r>
          </w:p>
        </w:tc>
        <w:tc>
          <w:tcPr>
            <w:tcW w:type="dxa" w:w="4680"/>
            <w:vAlign w:val="top"/>
          </w:tcPr>
          <w:p>
            <w:r>
              <w:rPr>
                <w:color w:val="1A1A2E"/>
                <w:sz w:val="18"/>
              </w:rPr>
            </w:r>
            <w:r>
              <w:rPr>
                <w:rFonts w:ascii="Consolas" w:hAnsi="Consolas"/>
                <w:color w:val="2E863A"/>
                <w:sz w:val="18"/>
              </w:rPr>
              <w:t>aroon_up</w:t>
            </w:r>
            <w:r>
              <w:rPr>
                <w:color w:val="1A1A2E"/>
                <w:sz w:val="18"/>
              </w:rPr>
              <w:t xml:space="preserve">, </w:t>
            </w:r>
            <w:r>
              <w:rPr>
                <w:rFonts w:ascii="Consolas" w:hAnsi="Consolas"/>
                <w:color w:val="2E863A"/>
                <w:sz w:val="18"/>
              </w:rPr>
              <w:t>aroon_down</w:t>
            </w:r>
            <w:r>
              <w:rPr>
                <w:color w:val="1A1A2E"/>
                <w:sz w:val="18"/>
              </w:rPr>
              <w:t xml:space="preserve">, </w:t>
            </w:r>
            <w:r>
              <w:rPr>
                <w:rFonts w:ascii="Consolas" w:hAnsi="Consolas"/>
                <w:color w:val="2E863A"/>
                <w:sz w:val="18"/>
              </w:rPr>
              <w:t>aroon_oscillator</w:t>
            </w:r>
            <w:r>
              <w:rPr>
                <w:color w:val="1A1A2E"/>
                <w:sz w:val="18"/>
              </w:rPr>
            </w:r>
          </w:p>
        </w:tc>
      </w:tr>
      <w:tr>
        <w:tc>
          <w:tcPr>
            <w:tcW w:type="dxa" w:w="4680"/>
            <w:vAlign w:val="top"/>
          </w:tcPr>
          <w:p>
            <w:r>
              <w:rPr>
                <w:color w:val="1A1A2E"/>
                <w:sz w:val="18"/>
              </w:rPr>
              <w:t>Parabolic SAR</w:t>
            </w:r>
          </w:p>
        </w:tc>
        <w:tc>
          <w:tcPr>
            <w:tcW w:type="dxa" w:w="4680"/>
            <w:vAlign w:val="top"/>
          </w:tcPr>
          <w:p>
            <w:r>
              <w:rPr>
                <w:color w:val="1A1A2E"/>
                <w:sz w:val="18"/>
              </w:rPr>
            </w:r>
            <w:r>
              <w:rPr>
                <w:rFonts w:ascii="Consolas" w:hAnsi="Consolas"/>
                <w:color w:val="2E863A"/>
                <w:sz w:val="18"/>
              </w:rPr>
              <w:t>parabolic_sar</w:t>
            </w:r>
            <w:r>
              <w:rPr>
                <w:color w:val="1A1A2E"/>
                <w:sz w:val="18"/>
              </w:rPr>
            </w:r>
          </w:p>
        </w:tc>
      </w:tr>
    </w:tbl>
    <w:p/>
    <w:p>
      <w:pPr>
        <w:pStyle w:val="Heading4"/>
      </w:pPr>
      <w:r>
        <w:t>7.2.4 Volatility &amp; Bands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ATR (14)</w:t>
            </w:r>
          </w:p>
        </w:tc>
        <w:tc>
          <w:tcPr>
            <w:tcW w:type="dxa" w:w="4680"/>
            <w:vAlign w:val="top"/>
          </w:tcPr>
          <w:p>
            <w:r>
              <w:rPr>
                <w:color w:val="1A1A2E"/>
                <w:sz w:val="18"/>
              </w:rPr>
            </w:r>
            <w:r>
              <w:rPr>
                <w:rFonts w:ascii="Consolas" w:hAnsi="Consolas"/>
                <w:color w:val="2E863A"/>
                <w:sz w:val="18"/>
              </w:rPr>
              <w:t>atr</w:t>
            </w:r>
            <w:r>
              <w:rPr>
                <w:color w:val="1A1A2E"/>
                <w:sz w:val="18"/>
              </w:rPr>
              <w:t xml:space="preserve">, </w:t>
            </w:r>
            <w:r>
              <w:rPr>
                <w:rFonts w:ascii="Consolas" w:hAnsi="Consolas"/>
                <w:color w:val="2E863A"/>
                <w:sz w:val="18"/>
              </w:rPr>
              <w:t>normalized_atr</w:t>
            </w:r>
            <w:r>
              <w:rPr>
                <w:color w:val="1A1A2E"/>
                <w:sz w:val="18"/>
              </w:rPr>
            </w:r>
          </w:p>
        </w:tc>
      </w:tr>
      <w:tr>
        <w:tc>
          <w:tcPr>
            <w:tcW w:type="dxa" w:w="4680"/>
            <w:vAlign w:val="top"/>
          </w:tcPr>
          <w:p>
            <w:r>
              <w:rPr>
                <w:color w:val="1A1A2E"/>
                <w:sz w:val="18"/>
              </w:rPr>
              <w:t>Bollinger Bands</w:t>
            </w:r>
          </w:p>
        </w:tc>
        <w:tc>
          <w:tcPr>
            <w:tcW w:type="dxa" w:w="4680"/>
            <w:vAlign w:val="top"/>
          </w:tcPr>
          <w:p>
            <w:r>
              <w:rPr>
                <w:color w:val="1A1A2E"/>
                <w:sz w:val="18"/>
              </w:rPr>
            </w:r>
            <w:r>
              <w:rPr>
                <w:rFonts w:ascii="Consolas" w:hAnsi="Consolas"/>
                <w:color w:val="2E863A"/>
                <w:sz w:val="18"/>
              </w:rPr>
              <w:t>bb_upper</w:t>
            </w:r>
            <w:r>
              <w:rPr>
                <w:color w:val="1A1A2E"/>
                <w:sz w:val="18"/>
              </w:rPr>
              <w:t xml:space="preserve">, </w:t>
            </w:r>
            <w:r>
              <w:rPr>
                <w:rFonts w:ascii="Consolas" w:hAnsi="Consolas"/>
                <w:color w:val="2E863A"/>
                <w:sz w:val="18"/>
              </w:rPr>
              <w:t>bb_lower</w:t>
            </w:r>
            <w:r>
              <w:rPr>
                <w:color w:val="1A1A2E"/>
                <w:sz w:val="18"/>
              </w:rPr>
              <w:t xml:space="preserve">, </w:t>
            </w:r>
            <w:r>
              <w:rPr>
                <w:rFonts w:ascii="Consolas" w:hAnsi="Consolas"/>
                <w:color w:val="2E863A"/>
                <w:sz w:val="18"/>
              </w:rPr>
              <w:t>bb_width</w:t>
            </w:r>
            <w:r>
              <w:rPr>
                <w:color w:val="1A1A2E"/>
                <w:sz w:val="18"/>
              </w:rPr>
              <w:t xml:space="preserve">, </w:t>
            </w:r>
            <w:r>
              <w:rPr>
                <w:rFonts w:ascii="Consolas" w:hAnsi="Consolas"/>
                <w:color w:val="2E863A"/>
                <w:sz w:val="18"/>
              </w:rPr>
              <w:t>bb_percent_b</w:t>
            </w:r>
            <w:r>
              <w:rPr>
                <w:color w:val="1A1A2E"/>
                <w:sz w:val="18"/>
              </w:rPr>
            </w:r>
          </w:p>
        </w:tc>
      </w:tr>
      <w:tr>
        <w:tc>
          <w:tcPr>
            <w:tcW w:type="dxa" w:w="4680"/>
            <w:vAlign w:val="top"/>
          </w:tcPr>
          <w:p>
            <w:r>
              <w:rPr>
                <w:color w:val="1A1A2E"/>
                <w:sz w:val="18"/>
              </w:rPr>
              <w:t>Keltner Channels</w:t>
            </w:r>
          </w:p>
        </w:tc>
        <w:tc>
          <w:tcPr>
            <w:tcW w:type="dxa" w:w="4680"/>
            <w:vAlign w:val="top"/>
          </w:tcPr>
          <w:p>
            <w:r>
              <w:rPr>
                <w:color w:val="1A1A2E"/>
                <w:sz w:val="18"/>
              </w:rPr>
            </w:r>
            <w:r>
              <w:rPr>
                <w:rFonts w:ascii="Consolas" w:hAnsi="Consolas"/>
                <w:color w:val="2E863A"/>
                <w:sz w:val="18"/>
              </w:rPr>
              <w:t>kc_upper</w:t>
            </w:r>
            <w:r>
              <w:rPr>
                <w:color w:val="1A1A2E"/>
                <w:sz w:val="18"/>
              </w:rPr>
              <w:t xml:space="preserve">, </w:t>
            </w:r>
            <w:r>
              <w:rPr>
                <w:rFonts w:ascii="Consolas" w:hAnsi="Consolas"/>
                <w:color w:val="2E863A"/>
                <w:sz w:val="18"/>
              </w:rPr>
              <w:t>kc_lower</w:t>
            </w:r>
            <w:r>
              <w:rPr>
                <w:color w:val="1A1A2E"/>
                <w:sz w:val="18"/>
              </w:rPr>
            </w:r>
          </w:p>
        </w:tc>
      </w:tr>
      <w:tr>
        <w:tc>
          <w:tcPr>
            <w:tcW w:type="dxa" w:w="4680"/>
            <w:vAlign w:val="top"/>
          </w:tcPr>
          <w:p>
            <w:r>
              <w:rPr>
                <w:color w:val="1A1A2E"/>
                <w:sz w:val="18"/>
              </w:rPr>
              <w:t>Donchian Channels</w:t>
            </w:r>
          </w:p>
        </w:tc>
        <w:tc>
          <w:tcPr>
            <w:tcW w:type="dxa" w:w="4680"/>
            <w:vAlign w:val="top"/>
          </w:tcPr>
          <w:p>
            <w:r>
              <w:rPr>
                <w:color w:val="1A1A2E"/>
                <w:sz w:val="18"/>
              </w:rPr>
            </w:r>
            <w:r>
              <w:rPr>
                <w:rFonts w:ascii="Consolas" w:hAnsi="Consolas"/>
                <w:color w:val="2E863A"/>
                <w:sz w:val="18"/>
              </w:rPr>
              <w:t>dc_upper</w:t>
            </w:r>
            <w:r>
              <w:rPr>
                <w:color w:val="1A1A2E"/>
                <w:sz w:val="18"/>
              </w:rPr>
              <w:t xml:space="preserve">, </w:t>
            </w:r>
            <w:r>
              <w:rPr>
                <w:rFonts w:ascii="Consolas" w:hAnsi="Consolas"/>
                <w:color w:val="2E863A"/>
                <w:sz w:val="18"/>
              </w:rPr>
              <w:t>dc_lower</w:t>
            </w:r>
            <w:r>
              <w:rPr>
                <w:color w:val="1A1A2E"/>
                <w:sz w:val="18"/>
              </w:rPr>
            </w:r>
          </w:p>
        </w:tc>
      </w:tr>
      <w:tr>
        <w:tc>
          <w:tcPr>
            <w:tcW w:type="dxa" w:w="4680"/>
            <w:vAlign w:val="top"/>
          </w:tcPr>
          <w:p>
            <w:r>
              <w:rPr>
                <w:color w:val="1A1A2E"/>
                <w:sz w:val="18"/>
              </w:rPr>
              <w:t>Chaikin Volatility</w:t>
            </w:r>
          </w:p>
        </w:tc>
        <w:tc>
          <w:tcPr>
            <w:tcW w:type="dxa" w:w="4680"/>
            <w:vAlign w:val="top"/>
          </w:tcPr>
          <w:p>
            <w:r>
              <w:rPr>
                <w:color w:val="1A1A2E"/>
                <w:sz w:val="18"/>
              </w:rPr>
            </w:r>
            <w:r>
              <w:rPr>
                <w:rFonts w:ascii="Consolas" w:hAnsi="Consolas"/>
                <w:color w:val="2E863A"/>
                <w:sz w:val="18"/>
              </w:rPr>
              <w:t>chaikin_volatility</w:t>
            </w:r>
            <w:r>
              <w:rPr>
                <w:color w:val="1A1A2E"/>
                <w:sz w:val="18"/>
              </w:rPr>
            </w:r>
          </w:p>
        </w:tc>
      </w:tr>
    </w:tbl>
    <w:p/>
    <w:p>
      <w:pPr>
        <w:pStyle w:val="Heading4"/>
      </w:pPr>
      <w:r>
        <w:t>7.2.5 Return-Based Features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Log return</w:t>
            </w:r>
          </w:p>
        </w:tc>
        <w:tc>
          <w:tcPr>
            <w:tcW w:type="dxa" w:w="4680"/>
            <w:vAlign w:val="top"/>
          </w:tcPr>
          <w:p>
            <w:r>
              <w:rPr>
                <w:color w:val="1A1A2E"/>
                <w:sz w:val="18"/>
              </w:rPr>
            </w:r>
            <w:r>
              <w:rPr>
                <w:rFonts w:ascii="Consolas" w:hAnsi="Consolas"/>
                <w:color w:val="2E863A"/>
                <w:sz w:val="18"/>
              </w:rPr>
              <w:t>log_return</w:t>
            </w:r>
            <w:r>
              <w:rPr>
                <w:color w:val="1A1A2E"/>
                <w:sz w:val="18"/>
              </w:rPr>
            </w:r>
          </w:p>
        </w:tc>
      </w:tr>
      <w:tr>
        <w:tc>
          <w:tcPr>
            <w:tcW w:type="dxa" w:w="4680"/>
            <w:vAlign w:val="top"/>
          </w:tcPr>
          <w:p>
            <w:r>
              <w:rPr>
                <w:color w:val="1A1A2E"/>
                <w:sz w:val="18"/>
              </w:rPr>
              <w:t>Simple return</w:t>
            </w:r>
          </w:p>
        </w:tc>
        <w:tc>
          <w:tcPr>
            <w:tcW w:type="dxa" w:w="4680"/>
            <w:vAlign w:val="top"/>
          </w:tcPr>
          <w:p>
            <w:r>
              <w:rPr>
                <w:color w:val="1A1A2E"/>
                <w:sz w:val="18"/>
              </w:rPr>
            </w:r>
            <w:r>
              <w:rPr>
                <w:rFonts w:ascii="Consolas" w:hAnsi="Consolas"/>
                <w:color w:val="2E863A"/>
                <w:sz w:val="18"/>
              </w:rPr>
              <w:t>simple_return</w:t>
            </w:r>
            <w:r>
              <w:rPr>
                <w:color w:val="1A1A2E"/>
                <w:sz w:val="18"/>
              </w:rPr>
            </w:r>
          </w:p>
        </w:tc>
      </w:tr>
      <w:tr>
        <w:tc>
          <w:tcPr>
            <w:tcW w:type="dxa" w:w="4680"/>
            <w:vAlign w:val="top"/>
          </w:tcPr>
          <w:p>
            <w:r>
              <w:rPr>
                <w:color w:val="1A1A2E"/>
                <w:sz w:val="18"/>
              </w:rPr>
              <w:t>Rolling return 5</w:t>
            </w:r>
          </w:p>
        </w:tc>
        <w:tc>
          <w:tcPr>
            <w:tcW w:type="dxa" w:w="4680"/>
            <w:vAlign w:val="top"/>
          </w:tcPr>
          <w:p>
            <w:r>
              <w:rPr>
                <w:color w:val="1A1A2E"/>
                <w:sz w:val="18"/>
              </w:rPr>
            </w:r>
            <w:r>
              <w:rPr>
                <w:rFonts w:ascii="Consolas" w:hAnsi="Consolas"/>
                <w:color w:val="2E863A"/>
                <w:sz w:val="18"/>
              </w:rPr>
              <w:t>rolling_return_5</w:t>
            </w:r>
            <w:r>
              <w:rPr>
                <w:color w:val="1A1A2E"/>
                <w:sz w:val="18"/>
              </w:rPr>
            </w:r>
          </w:p>
        </w:tc>
      </w:tr>
      <w:tr>
        <w:tc>
          <w:tcPr>
            <w:tcW w:type="dxa" w:w="4680"/>
            <w:vAlign w:val="top"/>
          </w:tcPr>
          <w:p>
            <w:r>
              <w:rPr>
                <w:color w:val="1A1A2E"/>
                <w:sz w:val="18"/>
              </w:rPr>
              <w:t>Rolling return 20</w:t>
            </w:r>
          </w:p>
        </w:tc>
        <w:tc>
          <w:tcPr>
            <w:tcW w:type="dxa" w:w="4680"/>
            <w:vAlign w:val="top"/>
          </w:tcPr>
          <w:p>
            <w:r>
              <w:rPr>
                <w:color w:val="1A1A2E"/>
                <w:sz w:val="18"/>
              </w:rPr>
            </w:r>
            <w:r>
              <w:rPr>
                <w:rFonts w:ascii="Consolas" w:hAnsi="Consolas"/>
                <w:color w:val="2E863A"/>
                <w:sz w:val="18"/>
              </w:rPr>
              <w:t>rolling_return_20</w:t>
            </w:r>
            <w:r>
              <w:rPr>
                <w:color w:val="1A1A2E"/>
                <w:sz w:val="18"/>
              </w:rPr>
            </w:r>
          </w:p>
        </w:tc>
      </w:tr>
    </w:tbl>
    <w:p/>
    <w:p>
      <w:pPr>
        <w:pStyle w:val="Heading3"/>
      </w:pPr>
      <w:r>
        <w:t>7.3 Statistical &amp; Market Microstructure Features</w:t>
      </w:r>
    </w:p>
    <w:p>
      <w:pPr>
        <w:pStyle w:val="Heading4"/>
      </w:pPr>
      <w:r>
        <w:t>7.3.1 Rolling Statistics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Rolling mean (20)</w:t>
            </w:r>
          </w:p>
        </w:tc>
        <w:tc>
          <w:tcPr>
            <w:tcW w:type="dxa" w:w="4680"/>
            <w:vAlign w:val="top"/>
          </w:tcPr>
          <w:p>
            <w:r>
              <w:rPr>
                <w:color w:val="1A1A2E"/>
                <w:sz w:val="18"/>
              </w:rPr>
            </w:r>
            <w:r>
              <w:rPr>
                <w:rFonts w:ascii="Consolas" w:hAnsi="Consolas"/>
                <w:color w:val="2E863A"/>
                <w:sz w:val="18"/>
              </w:rPr>
              <w:t>rolling_mean</w:t>
            </w:r>
            <w:r>
              <w:rPr>
                <w:color w:val="1A1A2E"/>
                <w:sz w:val="18"/>
              </w:rPr>
            </w:r>
          </w:p>
        </w:tc>
      </w:tr>
      <w:tr>
        <w:tc>
          <w:tcPr>
            <w:tcW w:type="dxa" w:w="4680"/>
            <w:vAlign w:val="top"/>
          </w:tcPr>
          <w:p>
            <w:r>
              <w:rPr>
                <w:color w:val="1A1A2E"/>
                <w:sz w:val="18"/>
              </w:rPr>
              <w:t>Rolling median (20)</w:t>
            </w:r>
          </w:p>
        </w:tc>
        <w:tc>
          <w:tcPr>
            <w:tcW w:type="dxa" w:w="4680"/>
            <w:vAlign w:val="top"/>
          </w:tcPr>
          <w:p>
            <w:r>
              <w:rPr>
                <w:color w:val="1A1A2E"/>
                <w:sz w:val="18"/>
              </w:rPr>
            </w:r>
            <w:r>
              <w:rPr>
                <w:rFonts w:ascii="Consolas" w:hAnsi="Consolas"/>
                <w:color w:val="2E863A"/>
                <w:sz w:val="18"/>
              </w:rPr>
              <w:t>rolling_median</w:t>
            </w:r>
            <w:r>
              <w:rPr>
                <w:color w:val="1A1A2E"/>
                <w:sz w:val="18"/>
              </w:rPr>
            </w:r>
          </w:p>
        </w:tc>
      </w:tr>
      <w:tr>
        <w:tc>
          <w:tcPr>
            <w:tcW w:type="dxa" w:w="4680"/>
            <w:vAlign w:val="top"/>
          </w:tcPr>
          <w:p>
            <w:r>
              <w:rPr>
                <w:color w:val="1A1A2E"/>
                <w:sz w:val="18"/>
              </w:rPr>
              <w:t>Rolling variance (20)</w:t>
            </w:r>
          </w:p>
        </w:tc>
        <w:tc>
          <w:tcPr>
            <w:tcW w:type="dxa" w:w="4680"/>
            <w:vAlign w:val="top"/>
          </w:tcPr>
          <w:p>
            <w:r>
              <w:rPr>
                <w:color w:val="1A1A2E"/>
                <w:sz w:val="18"/>
              </w:rPr>
            </w:r>
            <w:r>
              <w:rPr>
                <w:rFonts w:ascii="Consolas" w:hAnsi="Consolas"/>
                <w:color w:val="2E863A"/>
                <w:sz w:val="18"/>
              </w:rPr>
              <w:t>rolling_var</w:t>
            </w:r>
            <w:r>
              <w:rPr>
                <w:color w:val="1A1A2E"/>
                <w:sz w:val="18"/>
              </w:rPr>
            </w:r>
          </w:p>
        </w:tc>
      </w:tr>
      <w:tr>
        <w:tc>
          <w:tcPr>
            <w:tcW w:type="dxa" w:w="4680"/>
            <w:vAlign w:val="top"/>
          </w:tcPr>
          <w:p>
            <w:r>
              <w:rPr>
                <w:color w:val="1A1A2E"/>
                <w:sz w:val="18"/>
              </w:rPr>
              <w:t>Rolling std dev (20)</w:t>
            </w:r>
          </w:p>
        </w:tc>
        <w:tc>
          <w:tcPr>
            <w:tcW w:type="dxa" w:w="4680"/>
            <w:vAlign w:val="top"/>
          </w:tcPr>
          <w:p>
            <w:r>
              <w:rPr>
                <w:color w:val="1A1A2E"/>
                <w:sz w:val="18"/>
              </w:rPr>
            </w:r>
            <w:r>
              <w:rPr>
                <w:rFonts w:ascii="Consolas" w:hAnsi="Consolas"/>
                <w:color w:val="2E863A"/>
                <w:sz w:val="18"/>
              </w:rPr>
              <w:t>rolling_std</w:t>
            </w:r>
            <w:r>
              <w:rPr>
                <w:color w:val="1A1A2E"/>
                <w:sz w:val="18"/>
              </w:rPr>
            </w:r>
          </w:p>
        </w:tc>
      </w:tr>
      <w:tr>
        <w:tc>
          <w:tcPr>
            <w:tcW w:type="dxa" w:w="4680"/>
            <w:vAlign w:val="top"/>
          </w:tcPr>
          <w:p>
            <w:r>
              <w:rPr>
                <w:color w:val="1A1A2E"/>
                <w:sz w:val="18"/>
              </w:rPr>
              <w:t>Rolling min (20)</w:t>
            </w:r>
          </w:p>
        </w:tc>
        <w:tc>
          <w:tcPr>
            <w:tcW w:type="dxa" w:w="4680"/>
            <w:vAlign w:val="top"/>
          </w:tcPr>
          <w:p>
            <w:r>
              <w:rPr>
                <w:color w:val="1A1A2E"/>
                <w:sz w:val="18"/>
              </w:rPr>
            </w:r>
            <w:r>
              <w:rPr>
                <w:rFonts w:ascii="Consolas" w:hAnsi="Consolas"/>
                <w:color w:val="2E863A"/>
                <w:sz w:val="18"/>
              </w:rPr>
              <w:t>rolling_min</w:t>
            </w:r>
            <w:r>
              <w:rPr>
                <w:color w:val="1A1A2E"/>
                <w:sz w:val="18"/>
              </w:rPr>
            </w:r>
          </w:p>
        </w:tc>
      </w:tr>
      <w:tr>
        <w:tc>
          <w:tcPr>
            <w:tcW w:type="dxa" w:w="4680"/>
            <w:vAlign w:val="top"/>
          </w:tcPr>
          <w:p>
            <w:r>
              <w:rPr>
                <w:color w:val="1A1A2E"/>
                <w:sz w:val="18"/>
              </w:rPr>
              <w:t>Rolling max (20)</w:t>
            </w:r>
          </w:p>
        </w:tc>
        <w:tc>
          <w:tcPr>
            <w:tcW w:type="dxa" w:w="4680"/>
            <w:vAlign w:val="top"/>
          </w:tcPr>
          <w:p>
            <w:r>
              <w:rPr>
                <w:color w:val="1A1A2E"/>
                <w:sz w:val="18"/>
              </w:rPr>
            </w:r>
            <w:r>
              <w:rPr>
                <w:rFonts w:ascii="Consolas" w:hAnsi="Consolas"/>
                <w:color w:val="2E863A"/>
                <w:sz w:val="18"/>
              </w:rPr>
              <w:t>rolling_max</w:t>
            </w:r>
            <w:r>
              <w:rPr>
                <w:color w:val="1A1A2E"/>
                <w:sz w:val="18"/>
              </w:rPr>
            </w:r>
          </w:p>
        </w:tc>
      </w:tr>
      <w:tr>
        <w:tc>
          <w:tcPr>
            <w:tcW w:type="dxa" w:w="4680"/>
            <w:vAlign w:val="top"/>
          </w:tcPr>
          <w:p>
            <w:r>
              <w:rPr>
                <w:color w:val="1A1A2E"/>
                <w:sz w:val="18"/>
              </w:rPr>
              <w:t>Rolling Q25</w:t>
            </w:r>
          </w:p>
        </w:tc>
        <w:tc>
          <w:tcPr>
            <w:tcW w:type="dxa" w:w="4680"/>
            <w:vAlign w:val="top"/>
          </w:tcPr>
          <w:p>
            <w:r>
              <w:rPr>
                <w:color w:val="1A1A2E"/>
                <w:sz w:val="18"/>
              </w:rPr>
            </w:r>
            <w:r>
              <w:rPr>
                <w:rFonts w:ascii="Consolas" w:hAnsi="Consolas"/>
                <w:color w:val="2E863A"/>
                <w:sz w:val="18"/>
              </w:rPr>
              <w:t>rolling_q25</w:t>
            </w:r>
            <w:r>
              <w:rPr>
                <w:color w:val="1A1A2E"/>
                <w:sz w:val="18"/>
              </w:rPr>
            </w:r>
          </w:p>
        </w:tc>
      </w:tr>
      <w:tr>
        <w:tc>
          <w:tcPr>
            <w:tcW w:type="dxa" w:w="4680"/>
            <w:vAlign w:val="top"/>
          </w:tcPr>
          <w:p>
            <w:r>
              <w:rPr>
                <w:color w:val="1A1A2E"/>
                <w:sz w:val="18"/>
              </w:rPr>
              <w:t>Rolling Q75</w:t>
            </w:r>
          </w:p>
        </w:tc>
        <w:tc>
          <w:tcPr>
            <w:tcW w:type="dxa" w:w="4680"/>
            <w:vAlign w:val="top"/>
          </w:tcPr>
          <w:p>
            <w:r>
              <w:rPr>
                <w:color w:val="1A1A2E"/>
                <w:sz w:val="18"/>
              </w:rPr>
            </w:r>
            <w:r>
              <w:rPr>
                <w:rFonts w:ascii="Consolas" w:hAnsi="Consolas"/>
                <w:color w:val="2E863A"/>
                <w:sz w:val="18"/>
              </w:rPr>
              <w:t>rolling_q75</w:t>
            </w:r>
            <w:r>
              <w:rPr>
                <w:color w:val="1A1A2E"/>
                <w:sz w:val="18"/>
              </w:rPr>
            </w:r>
          </w:p>
        </w:tc>
      </w:tr>
      <w:tr>
        <w:tc>
          <w:tcPr>
            <w:tcW w:type="dxa" w:w="4680"/>
            <w:vAlign w:val="top"/>
          </w:tcPr>
          <w:p>
            <w:r>
              <w:rPr>
                <w:color w:val="1A1A2E"/>
                <w:sz w:val="18"/>
              </w:rPr>
              <w:t>Rolling MAD</w:t>
            </w:r>
          </w:p>
        </w:tc>
        <w:tc>
          <w:tcPr>
            <w:tcW w:type="dxa" w:w="4680"/>
            <w:vAlign w:val="top"/>
          </w:tcPr>
          <w:p>
            <w:r>
              <w:rPr>
                <w:color w:val="1A1A2E"/>
                <w:sz w:val="18"/>
              </w:rPr>
            </w:r>
            <w:r>
              <w:rPr>
                <w:rFonts w:ascii="Consolas" w:hAnsi="Consolas"/>
                <w:color w:val="2E863A"/>
                <w:sz w:val="18"/>
              </w:rPr>
              <w:t>rolling_mad</w:t>
            </w:r>
            <w:r>
              <w:rPr>
                <w:color w:val="1A1A2E"/>
                <w:sz w:val="18"/>
              </w:rPr>
            </w:r>
          </w:p>
        </w:tc>
      </w:tr>
    </w:tbl>
    <w:p/>
    <w:p>
      <w:pPr>
        <w:pStyle w:val="Heading4"/>
      </w:pPr>
      <w:r>
        <w:t>7.3.2 Distribution Metrics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Skewness</w:t>
            </w:r>
          </w:p>
        </w:tc>
        <w:tc>
          <w:tcPr>
            <w:tcW w:type="dxa" w:w="4680"/>
            <w:vAlign w:val="top"/>
          </w:tcPr>
          <w:p>
            <w:r>
              <w:rPr>
                <w:color w:val="1A1A2E"/>
                <w:sz w:val="18"/>
              </w:rPr>
            </w:r>
            <w:r>
              <w:rPr>
                <w:rFonts w:ascii="Consolas" w:hAnsi="Consolas"/>
                <w:color w:val="2E863A"/>
                <w:sz w:val="18"/>
              </w:rPr>
              <w:t>skewness</w:t>
            </w:r>
            <w:r>
              <w:rPr>
                <w:color w:val="1A1A2E"/>
                <w:sz w:val="18"/>
              </w:rPr>
            </w:r>
          </w:p>
        </w:tc>
      </w:tr>
      <w:tr>
        <w:tc>
          <w:tcPr>
            <w:tcW w:type="dxa" w:w="4680"/>
            <w:vAlign w:val="top"/>
          </w:tcPr>
          <w:p>
            <w:r>
              <w:rPr>
                <w:color w:val="1A1A2E"/>
                <w:sz w:val="18"/>
              </w:rPr>
              <w:t>Kurtosis</w:t>
            </w:r>
          </w:p>
        </w:tc>
        <w:tc>
          <w:tcPr>
            <w:tcW w:type="dxa" w:w="4680"/>
            <w:vAlign w:val="top"/>
          </w:tcPr>
          <w:p>
            <w:r>
              <w:rPr>
                <w:color w:val="1A1A2E"/>
                <w:sz w:val="18"/>
              </w:rPr>
            </w:r>
            <w:r>
              <w:rPr>
                <w:rFonts w:ascii="Consolas" w:hAnsi="Consolas"/>
                <w:color w:val="2E863A"/>
                <w:sz w:val="18"/>
              </w:rPr>
              <w:t>kurtosis</w:t>
            </w:r>
            <w:r>
              <w:rPr>
                <w:color w:val="1A1A2E"/>
                <w:sz w:val="18"/>
              </w:rPr>
            </w:r>
          </w:p>
        </w:tc>
      </w:tr>
      <w:tr>
        <w:tc>
          <w:tcPr>
            <w:tcW w:type="dxa" w:w="4680"/>
            <w:vAlign w:val="top"/>
          </w:tcPr>
          <w:p>
            <w:r>
              <w:rPr>
                <w:color w:val="1A1A2E"/>
                <w:sz w:val="18"/>
              </w:rPr>
              <w:t>Z-Score</w:t>
            </w:r>
          </w:p>
        </w:tc>
        <w:tc>
          <w:tcPr>
            <w:tcW w:type="dxa" w:w="4680"/>
            <w:vAlign w:val="top"/>
          </w:tcPr>
          <w:p>
            <w:r>
              <w:rPr>
                <w:color w:val="1A1A2E"/>
                <w:sz w:val="18"/>
              </w:rPr>
            </w:r>
            <w:r>
              <w:rPr>
                <w:rFonts w:ascii="Consolas" w:hAnsi="Consolas"/>
                <w:color w:val="2E863A"/>
                <w:sz w:val="18"/>
              </w:rPr>
              <w:t>zscore</w:t>
            </w:r>
            <w:r>
              <w:rPr>
                <w:color w:val="1A1A2E"/>
                <w:sz w:val="18"/>
              </w:rPr>
            </w:r>
          </w:p>
        </w:tc>
      </w:tr>
      <w:tr>
        <w:tc>
          <w:tcPr>
            <w:tcW w:type="dxa" w:w="4680"/>
            <w:vAlign w:val="top"/>
          </w:tcPr>
          <w:p>
            <w:r>
              <w:rPr>
                <w:color w:val="1A1A2E"/>
                <w:sz w:val="18"/>
              </w:rPr>
              <w:t>Percentile rank</w:t>
            </w:r>
          </w:p>
        </w:tc>
        <w:tc>
          <w:tcPr>
            <w:tcW w:type="dxa" w:w="4680"/>
            <w:vAlign w:val="top"/>
          </w:tcPr>
          <w:p>
            <w:r>
              <w:rPr>
                <w:color w:val="1A1A2E"/>
                <w:sz w:val="18"/>
              </w:rPr>
            </w:r>
            <w:r>
              <w:rPr>
                <w:rFonts w:ascii="Consolas" w:hAnsi="Consolas"/>
                <w:color w:val="2E863A"/>
                <w:sz w:val="18"/>
              </w:rPr>
              <w:t>percentile_rank</w:t>
            </w:r>
            <w:r>
              <w:rPr>
                <w:color w:val="1A1A2E"/>
                <w:sz w:val="18"/>
              </w:rPr>
            </w:r>
          </w:p>
        </w:tc>
      </w:tr>
      <w:tr>
        <w:tc>
          <w:tcPr>
            <w:tcW w:type="dxa" w:w="4680"/>
            <w:vAlign w:val="top"/>
          </w:tcPr>
          <w:p>
            <w:r>
              <w:rPr>
                <w:color w:val="1A1A2E"/>
                <w:sz w:val="18"/>
              </w:rPr>
              <w:t>Normalized price</w:t>
            </w:r>
          </w:p>
        </w:tc>
        <w:tc>
          <w:tcPr>
            <w:tcW w:type="dxa" w:w="4680"/>
            <w:vAlign w:val="top"/>
          </w:tcPr>
          <w:p>
            <w:r>
              <w:rPr>
                <w:color w:val="1A1A2E"/>
                <w:sz w:val="18"/>
              </w:rPr>
            </w:r>
            <w:r>
              <w:rPr>
                <w:rFonts w:ascii="Consolas" w:hAnsi="Consolas"/>
                <w:color w:val="2E863A"/>
                <w:sz w:val="18"/>
              </w:rPr>
              <w:t>normalized_price</w:t>
            </w:r>
            <w:r>
              <w:rPr>
                <w:color w:val="1A1A2E"/>
                <w:sz w:val="18"/>
              </w:rPr>
            </w:r>
          </w:p>
        </w:tc>
      </w:tr>
      <w:tr>
        <w:tc>
          <w:tcPr>
            <w:tcW w:type="dxa" w:w="4680"/>
            <w:vAlign w:val="top"/>
          </w:tcPr>
          <w:p>
            <w:r>
              <w:rPr>
                <w:color w:val="1A1A2E"/>
                <w:sz w:val="18"/>
              </w:rPr>
              <w:t>Price rank</w:t>
            </w:r>
          </w:p>
        </w:tc>
        <w:tc>
          <w:tcPr>
            <w:tcW w:type="dxa" w:w="4680"/>
            <w:vAlign w:val="top"/>
          </w:tcPr>
          <w:p>
            <w:r>
              <w:rPr>
                <w:color w:val="1A1A2E"/>
                <w:sz w:val="18"/>
              </w:rPr>
            </w:r>
            <w:r>
              <w:rPr>
                <w:rFonts w:ascii="Consolas" w:hAnsi="Consolas"/>
                <w:color w:val="2E863A"/>
                <w:sz w:val="18"/>
              </w:rPr>
              <w:t>price_rank</w:t>
            </w:r>
            <w:r>
              <w:rPr>
                <w:color w:val="1A1A2E"/>
                <w:sz w:val="18"/>
              </w:rPr>
            </w:r>
          </w:p>
        </w:tc>
      </w:tr>
    </w:tbl>
    <w:p/>
    <w:p>
      <w:pPr>
        <w:pStyle w:val="Heading4"/>
      </w:pPr>
      <w:r>
        <w:t>7.3.3 Information-Theoretic Features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Shannon entropy</w:t>
            </w:r>
          </w:p>
        </w:tc>
        <w:tc>
          <w:tcPr>
            <w:tcW w:type="dxa" w:w="4680"/>
            <w:vAlign w:val="top"/>
          </w:tcPr>
          <w:p>
            <w:r>
              <w:rPr>
                <w:color w:val="1A1A2E"/>
                <w:sz w:val="18"/>
              </w:rPr>
            </w:r>
            <w:r>
              <w:rPr>
                <w:rFonts w:ascii="Consolas" w:hAnsi="Consolas"/>
                <w:color w:val="2E863A"/>
                <w:sz w:val="18"/>
              </w:rPr>
              <w:t>entropy</w:t>
            </w:r>
            <w:r>
              <w:rPr>
                <w:color w:val="1A1A2E"/>
                <w:sz w:val="18"/>
              </w:rPr>
            </w:r>
          </w:p>
        </w:tc>
      </w:tr>
      <w:tr>
        <w:tc>
          <w:tcPr>
            <w:tcW w:type="dxa" w:w="4680"/>
            <w:vAlign w:val="top"/>
          </w:tcPr>
          <w:p>
            <w:r>
              <w:rPr>
                <w:color w:val="1A1A2E"/>
                <w:sz w:val="18"/>
              </w:rPr>
              <w:t>Rolling entropy (5)</w:t>
            </w:r>
          </w:p>
        </w:tc>
        <w:tc>
          <w:tcPr>
            <w:tcW w:type="dxa" w:w="4680"/>
            <w:vAlign w:val="top"/>
          </w:tcPr>
          <w:p>
            <w:r>
              <w:rPr>
                <w:color w:val="1A1A2E"/>
                <w:sz w:val="18"/>
              </w:rPr>
            </w:r>
            <w:r>
              <w:rPr>
                <w:rFonts w:ascii="Consolas" w:hAnsi="Consolas"/>
                <w:color w:val="2E863A"/>
                <w:sz w:val="18"/>
              </w:rPr>
              <w:t>rolling_entropy_5</w:t>
            </w:r>
            <w:r>
              <w:rPr>
                <w:color w:val="1A1A2E"/>
                <w:sz w:val="18"/>
              </w:rPr>
            </w:r>
          </w:p>
        </w:tc>
      </w:tr>
      <w:tr>
        <w:tc>
          <w:tcPr>
            <w:tcW w:type="dxa" w:w="4680"/>
            <w:vAlign w:val="top"/>
          </w:tcPr>
          <w:p>
            <w:r>
              <w:rPr>
                <w:color w:val="1A1A2E"/>
                <w:sz w:val="18"/>
              </w:rPr>
              <w:t>Approximate entropy</w:t>
            </w:r>
          </w:p>
        </w:tc>
        <w:tc>
          <w:tcPr>
            <w:tcW w:type="dxa" w:w="4680"/>
            <w:vAlign w:val="top"/>
          </w:tcPr>
          <w:p>
            <w:r>
              <w:rPr>
                <w:color w:val="1A1A2E"/>
                <w:sz w:val="18"/>
              </w:rPr>
            </w:r>
            <w:r>
              <w:rPr>
                <w:rFonts w:ascii="Consolas" w:hAnsi="Consolas"/>
                <w:color w:val="2E863A"/>
                <w:sz w:val="18"/>
              </w:rPr>
              <w:t>approximate_entropy</w:t>
            </w:r>
            <w:r>
              <w:rPr>
                <w:color w:val="1A1A2E"/>
                <w:sz w:val="18"/>
              </w:rPr>
            </w:r>
          </w:p>
        </w:tc>
      </w:tr>
    </w:tbl>
    <w:p/>
    <w:p>
      <w:pPr/>
      <w:r>
        <w:t>Entropy measures the unpredictability of price returns in a local window. Low entropy (predictable) tends to coincide with trending markets; high entropy with random/ranging markets.</w:t>
      </w:r>
    </w:p>
    <w:p>
      <w:pPr>
        <w:pStyle w:val="Heading4"/>
      </w:pPr>
      <w:r>
        <w:t>7.3.4 Market Regime Features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Efficiency ratio</w:t>
            </w:r>
          </w:p>
        </w:tc>
        <w:tc>
          <w:tcPr>
            <w:tcW w:type="dxa" w:w="4680"/>
            <w:vAlign w:val="top"/>
          </w:tcPr>
          <w:p>
            <w:r>
              <w:rPr>
                <w:color w:val="1A1A2E"/>
                <w:sz w:val="18"/>
              </w:rPr>
            </w:r>
            <w:r>
              <w:rPr>
                <w:rFonts w:ascii="Consolas" w:hAnsi="Consolas"/>
                <w:color w:val="2E863A"/>
                <w:sz w:val="18"/>
              </w:rPr>
              <w:t>efficiency_ratio</w:t>
            </w:r>
            <w:r>
              <w:rPr>
                <w:color w:val="1A1A2E"/>
                <w:sz w:val="18"/>
              </w:rPr>
            </w:r>
          </w:p>
        </w:tc>
      </w:tr>
      <w:tr>
        <w:tc>
          <w:tcPr>
            <w:tcW w:type="dxa" w:w="4680"/>
            <w:vAlign w:val="top"/>
          </w:tcPr>
          <w:p>
            <w:r>
              <w:rPr>
                <w:color w:val="1A1A2E"/>
                <w:sz w:val="18"/>
              </w:rPr>
              <w:t>Hurst exponent</w:t>
            </w:r>
          </w:p>
        </w:tc>
        <w:tc>
          <w:tcPr>
            <w:tcW w:type="dxa" w:w="4680"/>
            <w:vAlign w:val="top"/>
          </w:tcPr>
          <w:p>
            <w:r>
              <w:rPr>
                <w:color w:val="1A1A2E"/>
                <w:sz w:val="18"/>
              </w:rPr>
            </w:r>
            <w:r>
              <w:rPr>
                <w:rFonts w:ascii="Consolas" w:hAnsi="Consolas"/>
                <w:color w:val="2E863A"/>
                <w:sz w:val="18"/>
              </w:rPr>
              <w:t>hurst</w:t>
            </w:r>
            <w:r>
              <w:rPr>
                <w:color w:val="1A1A2E"/>
                <w:sz w:val="18"/>
              </w:rPr>
            </w:r>
          </w:p>
        </w:tc>
      </w:tr>
      <w:tr>
        <w:tc>
          <w:tcPr>
            <w:tcW w:type="dxa" w:w="4680"/>
            <w:vAlign w:val="top"/>
          </w:tcPr>
          <w:p>
            <w:r>
              <w:rPr>
                <w:color w:val="1A1A2E"/>
                <w:sz w:val="18"/>
              </w:rPr>
              <w:t>Fractal dimension</w:t>
            </w:r>
          </w:p>
        </w:tc>
        <w:tc>
          <w:tcPr>
            <w:tcW w:type="dxa" w:w="4680"/>
            <w:vAlign w:val="top"/>
          </w:tcPr>
          <w:p>
            <w:r>
              <w:rPr>
                <w:color w:val="1A1A2E"/>
                <w:sz w:val="18"/>
              </w:rPr>
            </w:r>
            <w:r>
              <w:rPr>
                <w:rFonts w:ascii="Consolas" w:hAnsi="Consolas"/>
                <w:color w:val="2E863A"/>
                <w:sz w:val="18"/>
              </w:rPr>
              <w:t>fractal_dimension</w:t>
            </w:r>
            <w:r>
              <w:rPr>
                <w:color w:val="1A1A2E"/>
                <w:sz w:val="18"/>
              </w:rPr>
            </w:r>
          </w:p>
        </w:tc>
      </w:tr>
      <w:tr>
        <w:tc>
          <w:tcPr>
            <w:tcW w:type="dxa" w:w="4680"/>
            <w:vAlign w:val="top"/>
          </w:tcPr>
          <w:p>
            <w:r>
              <w:rPr>
                <w:color w:val="1A1A2E"/>
                <w:sz w:val="18"/>
              </w:rPr>
              <w:t>Market noise</w:t>
            </w:r>
          </w:p>
        </w:tc>
        <w:tc>
          <w:tcPr>
            <w:tcW w:type="dxa" w:w="4680"/>
            <w:vAlign w:val="top"/>
          </w:tcPr>
          <w:p>
            <w:r>
              <w:rPr>
                <w:color w:val="1A1A2E"/>
                <w:sz w:val="18"/>
              </w:rPr>
            </w:r>
            <w:r>
              <w:rPr>
                <w:rFonts w:ascii="Consolas" w:hAnsi="Consolas"/>
                <w:color w:val="2E863A"/>
                <w:sz w:val="18"/>
              </w:rPr>
              <w:t>market_noise</w:t>
            </w:r>
            <w:r>
              <w:rPr>
                <w:color w:val="1A1A2E"/>
                <w:sz w:val="18"/>
              </w:rPr>
            </w:r>
          </w:p>
        </w:tc>
      </w:tr>
      <w:tr>
        <w:tc>
          <w:tcPr>
            <w:tcW w:type="dxa" w:w="4680"/>
            <w:vAlign w:val="top"/>
          </w:tcPr>
          <w:p>
            <w:r>
              <w:rPr>
                <w:color w:val="1A1A2E"/>
                <w:sz w:val="18"/>
              </w:rPr>
              <w:t>Directional efficiency</w:t>
            </w:r>
          </w:p>
        </w:tc>
        <w:tc>
          <w:tcPr>
            <w:tcW w:type="dxa" w:w="4680"/>
            <w:vAlign w:val="top"/>
          </w:tcPr>
          <w:p>
            <w:r>
              <w:rPr>
                <w:color w:val="1A1A2E"/>
                <w:sz w:val="18"/>
              </w:rPr>
            </w:r>
            <w:r>
              <w:rPr>
                <w:rFonts w:ascii="Consolas" w:hAnsi="Consolas"/>
                <w:color w:val="2E863A"/>
                <w:sz w:val="18"/>
              </w:rPr>
              <w:t>directional_efficiency</w:t>
            </w:r>
            <w:r>
              <w:rPr>
                <w:color w:val="1A1A2E"/>
                <w:sz w:val="18"/>
              </w:rPr>
            </w:r>
          </w:p>
        </w:tc>
      </w:tr>
      <w:tr>
        <w:tc>
          <w:tcPr>
            <w:tcW w:type="dxa" w:w="4680"/>
            <w:vAlign w:val="top"/>
          </w:tcPr>
          <w:p>
            <w:r>
              <w:rPr>
                <w:color w:val="1A1A2E"/>
                <w:sz w:val="18"/>
              </w:rPr>
              <w:t>Price smoothness</w:t>
            </w:r>
          </w:p>
        </w:tc>
        <w:tc>
          <w:tcPr>
            <w:tcW w:type="dxa" w:w="4680"/>
            <w:vAlign w:val="top"/>
          </w:tcPr>
          <w:p>
            <w:r>
              <w:rPr>
                <w:color w:val="1A1A2E"/>
                <w:sz w:val="18"/>
              </w:rPr>
            </w:r>
            <w:r>
              <w:rPr>
                <w:rFonts w:ascii="Consolas" w:hAnsi="Consolas"/>
                <w:color w:val="2E863A"/>
                <w:sz w:val="18"/>
              </w:rPr>
              <w:t>price_smoothness</w:t>
            </w:r>
            <w:r>
              <w:rPr>
                <w:color w:val="1A1A2E"/>
                <w:sz w:val="18"/>
              </w:rPr>
            </w:r>
          </w:p>
        </w:tc>
      </w:tr>
      <w:tr>
        <w:tc>
          <w:tcPr>
            <w:tcW w:type="dxa" w:w="4680"/>
            <w:vAlign w:val="top"/>
          </w:tcPr>
          <w:p>
            <w:r>
              <w:rPr>
                <w:color w:val="1A1A2E"/>
                <w:sz w:val="18"/>
              </w:rPr>
              <w:t>Mean reversion score</w:t>
            </w:r>
          </w:p>
        </w:tc>
        <w:tc>
          <w:tcPr>
            <w:tcW w:type="dxa" w:w="4680"/>
            <w:vAlign w:val="top"/>
          </w:tcPr>
          <w:p>
            <w:r>
              <w:rPr>
                <w:color w:val="1A1A2E"/>
                <w:sz w:val="18"/>
              </w:rPr>
            </w:r>
            <w:r>
              <w:rPr>
                <w:rFonts w:ascii="Consolas" w:hAnsi="Consolas"/>
                <w:color w:val="2E863A"/>
                <w:sz w:val="18"/>
              </w:rPr>
              <w:t>mean_reversion_score</w:t>
            </w:r>
            <w:r>
              <w:rPr>
                <w:color w:val="1A1A2E"/>
                <w:sz w:val="18"/>
              </w:rPr>
            </w:r>
          </w:p>
        </w:tc>
      </w:tr>
      <w:tr>
        <w:tc>
          <w:tcPr>
            <w:tcW w:type="dxa" w:w="4680"/>
            <w:vAlign w:val="top"/>
          </w:tcPr>
          <w:p>
            <w:r>
              <w:rPr>
                <w:color w:val="1A1A2E"/>
                <w:sz w:val="18"/>
              </w:rPr>
              <w:t>Trend score</w:t>
            </w:r>
          </w:p>
        </w:tc>
        <w:tc>
          <w:tcPr>
            <w:tcW w:type="dxa" w:w="4680"/>
            <w:vAlign w:val="top"/>
          </w:tcPr>
          <w:p>
            <w:r>
              <w:rPr>
                <w:color w:val="1A1A2E"/>
                <w:sz w:val="18"/>
              </w:rPr>
            </w:r>
            <w:r>
              <w:rPr>
                <w:rFonts w:ascii="Consolas" w:hAnsi="Consolas"/>
                <w:color w:val="2E863A"/>
                <w:sz w:val="18"/>
              </w:rPr>
              <w:t>trend_score</w:t>
            </w:r>
            <w:r>
              <w:rPr>
                <w:color w:val="1A1A2E"/>
                <w:sz w:val="18"/>
              </w:rPr>
            </w:r>
          </w:p>
        </w:tc>
      </w:tr>
    </w:tbl>
    <w:p/>
    <w:p>
      <w:pPr/>
      <w:r>
        <w:t xml:space="preserve">The </w:t>
      </w:r>
      <w:r>
        <w:rPr>
          <w:b/>
        </w:rPr>
        <w:t>Hurst exponent</w:t>
      </w:r>
      <w:r>
        <w:t xml:space="preserve"> is particularly valuable: H &gt; 0.5 indicates persistent (trending) behavior, H &lt; 0.5 indicates mean-reverting behavior, H ≈ 0.5 indicates random walk. This helps the model adapt its predictions based on the current market regime.</w:t>
      </w:r>
    </w:p>
    <w:p>
      <w:pPr>
        <w:pStyle w:val="Heading4"/>
      </w:pPr>
      <w:r>
        <w:t>7.3.5 Momentum &amp; Velocity Features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Price velocity</w:t>
            </w:r>
          </w:p>
        </w:tc>
        <w:tc>
          <w:tcPr>
            <w:tcW w:type="dxa" w:w="4680"/>
            <w:vAlign w:val="top"/>
          </w:tcPr>
          <w:p>
            <w:r>
              <w:rPr>
                <w:color w:val="1A1A2E"/>
                <w:sz w:val="18"/>
              </w:rPr>
            </w:r>
            <w:r>
              <w:rPr>
                <w:rFonts w:ascii="Consolas" w:hAnsi="Consolas"/>
                <w:color w:val="2E863A"/>
                <w:sz w:val="18"/>
              </w:rPr>
              <w:t>price_velocity</w:t>
            </w:r>
            <w:r>
              <w:rPr>
                <w:color w:val="1A1A2E"/>
                <w:sz w:val="18"/>
              </w:rPr>
            </w:r>
          </w:p>
        </w:tc>
      </w:tr>
      <w:tr>
        <w:tc>
          <w:tcPr>
            <w:tcW w:type="dxa" w:w="4680"/>
            <w:vAlign w:val="top"/>
          </w:tcPr>
          <w:p>
            <w:r>
              <w:rPr>
                <w:color w:val="1A1A2E"/>
                <w:sz w:val="18"/>
              </w:rPr>
              <w:t>Price acceleration</w:t>
            </w:r>
          </w:p>
        </w:tc>
        <w:tc>
          <w:tcPr>
            <w:tcW w:type="dxa" w:w="4680"/>
            <w:vAlign w:val="top"/>
          </w:tcPr>
          <w:p>
            <w:r>
              <w:rPr>
                <w:color w:val="1A1A2E"/>
                <w:sz w:val="18"/>
              </w:rPr>
            </w:r>
            <w:r>
              <w:rPr>
                <w:rFonts w:ascii="Consolas" w:hAnsi="Consolas"/>
                <w:color w:val="2E863A"/>
                <w:sz w:val="18"/>
              </w:rPr>
              <w:t>price_acceleration</w:t>
            </w:r>
            <w:r>
              <w:rPr>
                <w:color w:val="1A1A2E"/>
                <w:sz w:val="18"/>
              </w:rPr>
            </w:r>
          </w:p>
        </w:tc>
      </w:tr>
      <w:tr>
        <w:tc>
          <w:tcPr>
            <w:tcW w:type="dxa" w:w="4680"/>
            <w:vAlign w:val="top"/>
          </w:tcPr>
          <w:p>
            <w:r>
              <w:rPr>
                <w:color w:val="1A1A2E"/>
                <w:sz w:val="18"/>
              </w:rPr>
              <w:t>Price deceleration</w:t>
            </w:r>
          </w:p>
        </w:tc>
        <w:tc>
          <w:tcPr>
            <w:tcW w:type="dxa" w:w="4680"/>
            <w:vAlign w:val="top"/>
          </w:tcPr>
          <w:p>
            <w:r>
              <w:rPr>
                <w:color w:val="1A1A2E"/>
                <w:sz w:val="18"/>
              </w:rPr>
            </w:r>
            <w:r>
              <w:rPr>
                <w:rFonts w:ascii="Consolas" w:hAnsi="Consolas"/>
                <w:color w:val="2E863A"/>
                <w:sz w:val="18"/>
              </w:rPr>
              <w:t>price_deceleration</w:t>
            </w:r>
            <w:r>
              <w:rPr>
                <w:color w:val="1A1A2E"/>
                <w:sz w:val="18"/>
              </w:rPr>
            </w:r>
          </w:p>
        </w:tc>
      </w:tr>
      <w:tr>
        <w:tc>
          <w:tcPr>
            <w:tcW w:type="dxa" w:w="4680"/>
            <w:vAlign w:val="top"/>
          </w:tcPr>
          <w:p>
            <w:r>
              <w:rPr>
                <w:color w:val="1A1A2E"/>
                <w:sz w:val="18"/>
              </w:rPr>
              <w:t>Rolling momentum 5</w:t>
            </w:r>
          </w:p>
        </w:tc>
        <w:tc>
          <w:tcPr>
            <w:tcW w:type="dxa" w:w="4680"/>
            <w:vAlign w:val="top"/>
          </w:tcPr>
          <w:p>
            <w:r>
              <w:rPr>
                <w:color w:val="1A1A2E"/>
                <w:sz w:val="18"/>
              </w:rPr>
            </w:r>
            <w:r>
              <w:rPr>
                <w:rFonts w:ascii="Consolas" w:hAnsi="Consolas"/>
                <w:color w:val="2E863A"/>
                <w:sz w:val="18"/>
              </w:rPr>
              <w:t>rolling_momentum_5</w:t>
            </w:r>
            <w:r>
              <w:rPr>
                <w:color w:val="1A1A2E"/>
                <w:sz w:val="18"/>
              </w:rPr>
            </w:r>
          </w:p>
        </w:tc>
      </w:tr>
      <w:tr>
        <w:tc>
          <w:tcPr>
            <w:tcW w:type="dxa" w:w="4680"/>
            <w:vAlign w:val="top"/>
          </w:tcPr>
          <w:p>
            <w:r>
              <w:rPr>
                <w:color w:val="1A1A2E"/>
                <w:sz w:val="18"/>
              </w:rPr>
              <w:t>Rolling momentum 20</w:t>
            </w:r>
          </w:p>
        </w:tc>
        <w:tc>
          <w:tcPr>
            <w:tcW w:type="dxa" w:w="4680"/>
            <w:vAlign w:val="top"/>
          </w:tcPr>
          <w:p>
            <w:r>
              <w:rPr>
                <w:color w:val="1A1A2E"/>
                <w:sz w:val="18"/>
              </w:rPr>
            </w:r>
            <w:r>
              <w:rPr>
                <w:rFonts w:ascii="Consolas" w:hAnsi="Consolas"/>
                <w:color w:val="2E863A"/>
                <w:sz w:val="18"/>
              </w:rPr>
              <w:t>rolling_momentum_20</w:t>
            </w:r>
            <w:r>
              <w:rPr>
                <w:color w:val="1A1A2E"/>
                <w:sz w:val="18"/>
              </w:rPr>
            </w:r>
          </w:p>
        </w:tc>
      </w:tr>
      <w:tr>
        <w:tc>
          <w:tcPr>
            <w:tcW w:type="dxa" w:w="4680"/>
            <w:vAlign w:val="top"/>
          </w:tcPr>
          <w:p>
            <w:r>
              <w:rPr>
                <w:color w:val="1A1A2E"/>
                <w:sz w:val="18"/>
              </w:rPr>
              <w:t>Momentum persistence</w:t>
            </w:r>
          </w:p>
        </w:tc>
        <w:tc>
          <w:tcPr>
            <w:tcW w:type="dxa" w:w="4680"/>
            <w:vAlign w:val="top"/>
          </w:tcPr>
          <w:p>
            <w:r>
              <w:rPr>
                <w:color w:val="1A1A2E"/>
                <w:sz w:val="18"/>
              </w:rPr>
            </w:r>
            <w:r>
              <w:rPr>
                <w:rFonts w:ascii="Consolas" w:hAnsi="Consolas"/>
                <w:color w:val="2E863A"/>
                <w:sz w:val="18"/>
              </w:rPr>
              <w:t>momentum_persistence</w:t>
            </w:r>
            <w:r>
              <w:rPr>
                <w:color w:val="1A1A2E"/>
                <w:sz w:val="18"/>
              </w:rPr>
            </w:r>
          </w:p>
        </w:tc>
      </w:tr>
      <w:tr>
        <w:tc>
          <w:tcPr>
            <w:tcW w:type="dxa" w:w="4680"/>
            <w:vAlign w:val="top"/>
          </w:tcPr>
          <w:p>
            <w:r>
              <w:rPr>
                <w:color w:val="1A1A2E"/>
                <w:sz w:val="18"/>
              </w:rPr>
              <w:t>Trend persistence</w:t>
            </w:r>
          </w:p>
        </w:tc>
        <w:tc>
          <w:tcPr>
            <w:tcW w:type="dxa" w:w="4680"/>
            <w:vAlign w:val="top"/>
          </w:tcPr>
          <w:p>
            <w:r>
              <w:rPr>
                <w:color w:val="1A1A2E"/>
                <w:sz w:val="18"/>
              </w:rPr>
            </w:r>
            <w:r>
              <w:rPr>
                <w:rFonts w:ascii="Consolas" w:hAnsi="Consolas"/>
                <w:color w:val="2E863A"/>
                <w:sz w:val="18"/>
              </w:rPr>
              <w:t>trend_persistence</w:t>
            </w:r>
            <w:r>
              <w:rPr>
                <w:color w:val="1A1A2E"/>
                <w:sz w:val="18"/>
              </w:rPr>
            </w:r>
          </w:p>
        </w:tc>
      </w:tr>
    </w:tbl>
    <w:p/>
    <w:p>
      <w:pPr>
        <w:pStyle w:val="Heading4"/>
      </w:pPr>
      <w:r>
        <w:t>7.3.6 Volatility Regime Features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Realized volatility</w:t>
            </w:r>
          </w:p>
        </w:tc>
        <w:tc>
          <w:tcPr>
            <w:tcW w:type="dxa" w:w="4680"/>
            <w:vAlign w:val="top"/>
          </w:tcPr>
          <w:p>
            <w:r>
              <w:rPr>
                <w:color w:val="1A1A2E"/>
                <w:sz w:val="18"/>
              </w:rPr>
            </w:r>
            <w:r>
              <w:rPr>
                <w:rFonts w:ascii="Consolas" w:hAnsi="Consolas"/>
                <w:color w:val="2E863A"/>
                <w:sz w:val="18"/>
              </w:rPr>
              <w:t>realized_volatility</w:t>
            </w:r>
            <w:r>
              <w:rPr>
                <w:color w:val="1A1A2E"/>
                <w:sz w:val="18"/>
              </w:rPr>
            </w:r>
          </w:p>
        </w:tc>
      </w:tr>
      <w:tr>
        <w:tc>
          <w:tcPr>
            <w:tcW w:type="dxa" w:w="4680"/>
            <w:vAlign w:val="top"/>
          </w:tcPr>
          <w:p>
            <w:r>
              <w:rPr>
                <w:color w:val="1A1A2E"/>
                <w:sz w:val="18"/>
              </w:rPr>
              <w:t>Historical volatility</w:t>
            </w:r>
          </w:p>
        </w:tc>
        <w:tc>
          <w:tcPr>
            <w:tcW w:type="dxa" w:w="4680"/>
            <w:vAlign w:val="top"/>
          </w:tcPr>
          <w:p>
            <w:r>
              <w:rPr>
                <w:color w:val="1A1A2E"/>
                <w:sz w:val="18"/>
              </w:rPr>
            </w:r>
            <w:r>
              <w:rPr>
                <w:rFonts w:ascii="Consolas" w:hAnsi="Consolas"/>
                <w:color w:val="2E863A"/>
                <w:sz w:val="18"/>
              </w:rPr>
              <w:t>historical_volatility</w:t>
            </w:r>
            <w:r>
              <w:rPr>
                <w:color w:val="1A1A2E"/>
                <w:sz w:val="18"/>
              </w:rPr>
            </w:r>
          </w:p>
        </w:tc>
      </w:tr>
      <w:tr>
        <w:tc>
          <w:tcPr>
            <w:tcW w:type="dxa" w:w="4680"/>
            <w:vAlign w:val="top"/>
          </w:tcPr>
          <w:p>
            <w:r>
              <w:rPr>
                <w:color w:val="1A1A2E"/>
                <w:sz w:val="18"/>
              </w:rPr>
              <w:t>Volatility expansion</w:t>
            </w:r>
          </w:p>
        </w:tc>
        <w:tc>
          <w:tcPr>
            <w:tcW w:type="dxa" w:w="4680"/>
            <w:vAlign w:val="top"/>
          </w:tcPr>
          <w:p>
            <w:r>
              <w:rPr>
                <w:color w:val="1A1A2E"/>
                <w:sz w:val="18"/>
              </w:rPr>
            </w:r>
            <w:r>
              <w:rPr>
                <w:rFonts w:ascii="Consolas" w:hAnsi="Consolas"/>
                <w:color w:val="2E863A"/>
                <w:sz w:val="18"/>
              </w:rPr>
              <w:t>volatility_expansion</w:t>
            </w:r>
            <w:r>
              <w:rPr>
                <w:color w:val="1A1A2E"/>
                <w:sz w:val="18"/>
              </w:rPr>
            </w:r>
          </w:p>
        </w:tc>
      </w:tr>
      <w:tr>
        <w:tc>
          <w:tcPr>
            <w:tcW w:type="dxa" w:w="4680"/>
            <w:vAlign w:val="top"/>
          </w:tcPr>
          <w:p>
            <w:r>
              <w:rPr>
                <w:color w:val="1A1A2E"/>
                <w:sz w:val="18"/>
              </w:rPr>
              <w:t>Volatility compression</w:t>
            </w:r>
          </w:p>
        </w:tc>
        <w:tc>
          <w:tcPr>
            <w:tcW w:type="dxa" w:w="4680"/>
            <w:vAlign w:val="top"/>
          </w:tcPr>
          <w:p>
            <w:r>
              <w:rPr>
                <w:color w:val="1A1A2E"/>
                <w:sz w:val="18"/>
              </w:rPr>
            </w:r>
            <w:r>
              <w:rPr>
                <w:rFonts w:ascii="Consolas" w:hAnsi="Consolas"/>
                <w:color w:val="2E863A"/>
                <w:sz w:val="18"/>
              </w:rPr>
              <w:t>volatility_compression</w:t>
            </w:r>
            <w:r>
              <w:rPr>
                <w:color w:val="1A1A2E"/>
                <w:sz w:val="18"/>
              </w:rPr>
            </w:r>
          </w:p>
        </w:tc>
      </w:tr>
      <w:tr>
        <w:tc>
          <w:tcPr>
            <w:tcW w:type="dxa" w:w="4680"/>
            <w:vAlign w:val="top"/>
          </w:tcPr>
          <w:p>
            <w:r>
              <w:rPr>
                <w:color w:val="1A1A2E"/>
                <w:sz w:val="18"/>
              </w:rPr>
              <w:t>ATR ratio</w:t>
            </w:r>
          </w:p>
        </w:tc>
        <w:tc>
          <w:tcPr>
            <w:tcW w:type="dxa" w:w="4680"/>
            <w:vAlign w:val="top"/>
          </w:tcPr>
          <w:p>
            <w:r>
              <w:rPr>
                <w:color w:val="1A1A2E"/>
                <w:sz w:val="18"/>
              </w:rPr>
            </w:r>
            <w:r>
              <w:rPr>
                <w:rFonts w:ascii="Consolas" w:hAnsi="Consolas"/>
                <w:color w:val="2E863A"/>
                <w:sz w:val="18"/>
              </w:rPr>
              <w:t>atr_ratio</w:t>
            </w:r>
            <w:r>
              <w:rPr>
                <w:color w:val="1A1A2E"/>
                <w:sz w:val="18"/>
              </w:rPr>
            </w:r>
          </w:p>
        </w:tc>
      </w:tr>
      <w:tr>
        <w:tc>
          <w:tcPr>
            <w:tcW w:type="dxa" w:w="4680"/>
            <w:vAlign w:val="top"/>
          </w:tcPr>
          <w:p>
            <w:r>
              <w:rPr>
                <w:color w:val="1A1A2E"/>
                <w:sz w:val="18"/>
              </w:rPr>
              <w:t>Rolling ATR 20</w:t>
            </w:r>
          </w:p>
        </w:tc>
        <w:tc>
          <w:tcPr>
            <w:tcW w:type="dxa" w:w="4680"/>
            <w:vAlign w:val="top"/>
          </w:tcPr>
          <w:p>
            <w:r>
              <w:rPr>
                <w:color w:val="1A1A2E"/>
                <w:sz w:val="18"/>
              </w:rPr>
            </w:r>
            <w:r>
              <w:rPr>
                <w:rFonts w:ascii="Consolas" w:hAnsi="Consolas"/>
                <w:color w:val="2E863A"/>
                <w:sz w:val="18"/>
              </w:rPr>
              <w:t>rolling_atr_20</w:t>
            </w:r>
            <w:r>
              <w:rPr>
                <w:color w:val="1A1A2E"/>
                <w:sz w:val="18"/>
              </w:rPr>
            </w:r>
          </w:p>
        </w:tc>
      </w:tr>
      <w:tr>
        <w:tc>
          <w:tcPr>
            <w:tcW w:type="dxa" w:w="4680"/>
            <w:vAlign w:val="top"/>
          </w:tcPr>
          <w:p>
            <w:r>
              <w:rPr>
                <w:color w:val="1A1A2E"/>
                <w:sz w:val="18"/>
              </w:rPr>
              <w:t>Volatility regime</w:t>
            </w:r>
          </w:p>
        </w:tc>
        <w:tc>
          <w:tcPr>
            <w:tcW w:type="dxa" w:w="4680"/>
            <w:vAlign w:val="top"/>
          </w:tcPr>
          <w:p>
            <w:r>
              <w:rPr>
                <w:color w:val="1A1A2E"/>
                <w:sz w:val="18"/>
              </w:rPr>
            </w:r>
            <w:r>
              <w:rPr>
                <w:rFonts w:ascii="Consolas" w:hAnsi="Consolas"/>
                <w:color w:val="2E863A"/>
                <w:sz w:val="18"/>
              </w:rPr>
              <w:t>volatility_regime</w:t>
            </w:r>
            <w:r>
              <w:rPr>
                <w:color w:val="1A1A2E"/>
                <w:sz w:val="18"/>
              </w:rPr>
            </w:r>
          </w:p>
        </w:tc>
      </w:tr>
    </w:tbl>
    <w:p/>
    <w:p>
      <w:pPr>
        <w:pStyle w:val="Heading4"/>
      </w:pPr>
      <w:r>
        <w:t>7.3.7 Composite Quality Features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Return/vol ratio</w:t>
            </w:r>
          </w:p>
        </w:tc>
        <w:tc>
          <w:tcPr>
            <w:tcW w:type="dxa" w:w="4680"/>
            <w:vAlign w:val="top"/>
          </w:tcPr>
          <w:p>
            <w:r>
              <w:rPr>
                <w:color w:val="1A1A2E"/>
                <w:sz w:val="18"/>
              </w:rPr>
            </w:r>
            <w:r>
              <w:rPr>
                <w:rFonts w:ascii="Consolas" w:hAnsi="Consolas"/>
                <w:color w:val="2E863A"/>
                <w:sz w:val="18"/>
              </w:rPr>
              <w:t>return_vol_ratio</w:t>
            </w:r>
            <w:r>
              <w:rPr>
                <w:color w:val="1A1A2E"/>
                <w:sz w:val="18"/>
              </w:rPr>
            </w:r>
          </w:p>
        </w:tc>
      </w:tr>
      <w:tr>
        <w:tc>
          <w:tcPr>
            <w:tcW w:type="dxa" w:w="4680"/>
            <w:vAlign w:val="top"/>
          </w:tcPr>
          <w:p>
            <w:r>
              <w:rPr>
                <w:color w:val="1A1A2E"/>
                <w:sz w:val="18"/>
              </w:rPr>
              <w:t>Trend quality</w:t>
            </w:r>
          </w:p>
        </w:tc>
        <w:tc>
          <w:tcPr>
            <w:tcW w:type="dxa" w:w="4680"/>
            <w:vAlign w:val="top"/>
          </w:tcPr>
          <w:p>
            <w:r>
              <w:rPr>
                <w:color w:val="1A1A2E"/>
                <w:sz w:val="18"/>
              </w:rPr>
            </w:r>
            <w:r>
              <w:rPr>
                <w:rFonts w:ascii="Consolas" w:hAnsi="Consolas"/>
                <w:color w:val="2E863A"/>
                <w:sz w:val="18"/>
              </w:rPr>
              <w:t>trend_quality</w:t>
            </w:r>
            <w:r>
              <w:rPr>
                <w:color w:val="1A1A2E"/>
                <w:sz w:val="18"/>
              </w:rPr>
            </w:r>
          </w:p>
        </w:tc>
      </w:tr>
      <w:tr>
        <w:tc>
          <w:tcPr>
            <w:tcW w:type="dxa" w:w="4680"/>
            <w:vAlign w:val="top"/>
          </w:tcPr>
          <w:p>
            <w:r>
              <w:rPr>
                <w:color w:val="1A1A2E"/>
                <w:sz w:val="18"/>
              </w:rPr>
              <w:t>Noise ratio</w:t>
            </w:r>
          </w:p>
        </w:tc>
        <w:tc>
          <w:tcPr>
            <w:tcW w:type="dxa" w:w="4680"/>
            <w:vAlign w:val="top"/>
          </w:tcPr>
          <w:p>
            <w:r>
              <w:rPr>
                <w:color w:val="1A1A2E"/>
                <w:sz w:val="18"/>
              </w:rPr>
            </w:r>
            <w:r>
              <w:rPr>
                <w:rFonts w:ascii="Consolas" w:hAnsi="Consolas"/>
                <w:color w:val="2E863A"/>
                <w:sz w:val="18"/>
              </w:rPr>
              <w:t>noise_ratio</w:t>
            </w:r>
            <w:r>
              <w:rPr>
                <w:color w:val="1A1A2E"/>
                <w:sz w:val="18"/>
              </w:rPr>
            </w:r>
          </w:p>
        </w:tc>
      </w:tr>
      <w:tr>
        <w:tc>
          <w:tcPr>
            <w:tcW w:type="dxa" w:w="4680"/>
            <w:vAlign w:val="top"/>
          </w:tcPr>
          <w:p>
            <w:r>
              <w:rPr>
                <w:color w:val="1A1A2E"/>
                <w:sz w:val="18"/>
              </w:rPr>
              <w:t>Price efficiency</w:t>
            </w:r>
          </w:p>
        </w:tc>
        <w:tc>
          <w:tcPr>
            <w:tcW w:type="dxa" w:w="4680"/>
            <w:vAlign w:val="top"/>
          </w:tcPr>
          <w:p>
            <w:r>
              <w:rPr>
                <w:color w:val="1A1A2E"/>
                <w:sz w:val="18"/>
              </w:rPr>
            </w:r>
            <w:r>
              <w:rPr>
                <w:rFonts w:ascii="Consolas" w:hAnsi="Consolas"/>
                <w:color w:val="2E863A"/>
                <w:sz w:val="18"/>
              </w:rPr>
              <w:t>price_efficiency</w:t>
            </w:r>
            <w:r>
              <w:rPr>
                <w:color w:val="1A1A2E"/>
                <w:sz w:val="18"/>
              </w:rPr>
            </w:r>
          </w:p>
        </w:tc>
      </w:tr>
      <w:tr>
        <w:tc>
          <w:tcPr>
            <w:tcW w:type="dxa" w:w="4680"/>
            <w:vAlign w:val="top"/>
          </w:tcPr>
          <w:p>
            <w:r>
              <w:rPr>
                <w:color w:val="1A1A2E"/>
                <w:sz w:val="18"/>
              </w:rPr>
              <w:t>Regime consistency</w:t>
            </w:r>
          </w:p>
        </w:tc>
        <w:tc>
          <w:tcPr>
            <w:tcW w:type="dxa" w:w="4680"/>
            <w:vAlign w:val="top"/>
          </w:tcPr>
          <w:p>
            <w:r>
              <w:rPr>
                <w:color w:val="1A1A2E"/>
                <w:sz w:val="18"/>
              </w:rPr>
            </w:r>
            <w:r>
              <w:rPr>
                <w:rFonts w:ascii="Consolas" w:hAnsi="Consolas"/>
                <w:color w:val="2E863A"/>
                <w:sz w:val="18"/>
              </w:rPr>
              <w:t>regime_consistency</w:t>
            </w:r>
            <w:r>
              <w:rPr>
                <w:color w:val="1A1A2E"/>
                <w:sz w:val="18"/>
              </w:rPr>
            </w:r>
          </w:p>
        </w:tc>
      </w:tr>
    </w:tbl>
    <w:p/>
    <w:p>
      <w:pPr>
        <w:pStyle w:val="Heading4"/>
      </w:pPr>
      <w:r>
        <w:t>7.3.8 Candle Pattern Features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Feature</w:t>
            </w:r>
          </w:p>
        </w:tc>
        <w:tc>
          <w:tcPr>
            <w:tcW w:type="dxa" w:w="4680"/>
            <w:vAlign w:val="top"/>
            <w:shd w:val="clear" w:color="auto" w:fill="1C2128"/>
          </w:tcPr>
          <w:p>
            <w:r>
              <w:rPr>
                <w:b/>
                <w:color w:val="FFFFFF"/>
                <w:sz w:val="18"/>
              </w:rPr>
              <w:t>Output Columns</w:t>
            </w:r>
          </w:p>
        </w:tc>
      </w:tr>
      <w:tr>
        <w:tc>
          <w:tcPr>
            <w:tcW w:type="dxa" w:w="4680"/>
            <w:vAlign w:val="top"/>
          </w:tcPr>
          <w:p>
            <w:r>
              <w:rPr>
                <w:color w:val="1A1A2E"/>
                <w:sz w:val="18"/>
              </w:rPr>
              <w:t>Body size</w:t>
            </w:r>
          </w:p>
        </w:tc>
        <w:tc>
          <w:tcPr>
            <w:tcW w:type="dxa" w:w="4680"/>
            <w:vAlign w:val="top"/>
          </w:tcPr>
          <w:p>
            <w:r>
              <w:rPr>
                <w:color w:val="1A1A2E"/>
                <w:sz w:val="18"/>
              </w:rPr>
            </w:r>
            <w:r>
              <w:rPr>
                <w:rFonts w:ascii="Consolas" w:hAnsi="Consolas"/>
                <w:color w:val="2E863A"/>
                <w:sz w:val="18"/>
              </w:rPr>
              <w:t>body_size</w:t>
            </w:r>
            <w:r>
              <w:rPr>
                <w:color w:val="1A1A2E"/>
                <w:sz w:val="18"/>
              </w:rPr>
            </w:r>
          </w:p>
        </w:tc>
      </w:tr>
      <w:tr>
        <w:tc>
          <w:tcPr>
            <w:tcW w:type="dxa" w:w="4680"/>
            <w:vAlign w:val="top"/>
          </w:tcPr>
          <w:p>
            <w:r>
              <w:rPr>
                <w:color w:val="1A1A2E"/>
                <w:sz w:val="18"/>
              </w:rPr>
              <w:t>Body ratio</w:t>
            </w:r>
          </w:p>
        </w:tc>
        <w:tc>
          <w:tcPr>
            <w:tcW w:type="dxa" w:w="4680"/>
            <w:vAlign w:val="top"/>
          </w:tcPr>
          <w:p>
            <w:r>
              <w:rPr>
                <w:color w:val="1A1A2E"/>
                <w:sz w:val="18"/>
              </w:rPr>
            </w:r>
            <w:r>
              <w:rPr>
                <w:rFonts w:ascii="Consolas" w:hAnsi="Consolas"/>
                <w:color w:val="2E863A"/>
                <w:sz w:val="18"/>
              </w:rPr>
              <w:t>body_ratio</w:t>
            </w:r>
            <w:r>
              <w:rPr>
                <w:color w:val="1A1A2E"/>
                <w:sz w:val="18"/>
              </w:rPr>
            </w:r>
          </w:p>
        </w:tc>
      </w:tr>
      <w:tr>
        <w:tc>
          <w:tcPr>
            <w:tcW w:type="dxa" w:w="4680"/>
            <w:vAlign w:val="top"/>
          </w:tcPr>
          <w:p>
            <w:r>
              <w:rPr>
                <w:color w:val="1A1A2E"/>
                <w:sz w:val="18"/>
              </w:rPr>
              <w:t>Upper wick</w:t>
            </w:r>
          </w:p>
        </w:tc>
        <w:tc>
          <w:tcPr>
            <w:tcW w:type="dxa" w:w="4680"/>
            <w:vAlign w:val="top"/>
          </w:tcPr>
          <w:p>
            <w:r>
              <w:rPr>
                <w:color w:val="1A1A2E"/>
                <w:sz w:val="18"/>
              </w:rPr>
            </w:r>
            <w:r>
              <w:rPr>
                <w:rFonts w:ascii="Consolas" w:hAnsi="Consolas"/>
                <w:color w:val="2E863A"/>
                <w:sz w:val="18"/>
              </w:rPr>
              <w:t>upper_wick</w:t>
            </w:r>
            <w:r>
              <w:rPr>
                <w:color w:val="1A1A2E"/>
                <w:sz w:val="18"/>
              </w:rPr>
            </w:r>
          </w:p>
        </w:tc>
      </w:tr>
      <w:tr>
        <w:tc>
          <w:tcPr>
            <w:tcW w:type="dxa" w:w="4680"/>
            <w:vAlign w:val="top"/>
          </w:tcPr>
          <w:p>
            <w:r>
              <w:rPr>
                <w:color w:val="1A1A2E"/>
                <w:sz w:val="18"/>
              </w:rPr>
              <w:t>Lower wick</w:t>
            </w:r>
          </w:p>
        </w:tc>
        <w:tc>
          <w:tcPr>
            <w:tcW w:type="dxa" w:w="4680"/>
            <w:vAlign w:val="top"/>
          </w:tcPr>
          <w:p>
            <w:r>
              <w:rPr>
                <w:color w:val="1A1A2E"/>
                <w:sz w:val="18"/>
              </w:rPr>
            </w:r>
            <w:r>
              <w:rPr>
                <w:rFonts w:ascii="Consolas" w:hAnsi="Consolas"/>
                <w:color w:val="2E863A"/>
                <w:sz w:val="18"/>
              </w:rPr>
              <w:t>lower_wick</w:t>
            </w:r>
            <w:r>
              <w:rPr>
                <w:color w:val="1A1A2E"/>
                <w:sz w:val="18"/>
              </w:rPr>
            </w:r>
          </w:p>
        </w:tc>
      </w:tr>
      <w:tr>
        <w:tc>
          <w:tcPr>
            <w:tcW w:type="dxa" w:w="4680"/>
            <w:vAlign w:val="top"/>
          </w:tcPr>
          <w:p>
            <w:r>
              <w:rPr>
                <w:color w:val="1A1A2E"/>
                <w:sz w:val="18"/>
              </w:rPr>
              <w:t>Upper wick ratio</w:t>
            </w:r>
          </w:p>
        </w:tc>
        <w:tc>
          <w:tcPr>
            <w:tcW w:type="dxa" w:w="4680"/>
            <w:vAlign w:val="top"/>
          </w:tcPr>
          <w:p>
            <w:r>
              <w:rPr>
                <w:color w:val="1A1A2E"/>
                <w:sz w:val="18"/>
              </w:rPr>
            </w:r>
            <w:r>
              <w:rPr>
                <w:rFonts w:ascii="Consolas" w:hAnsi="Consolas"/>
                <w:color w:val="2E863A"/>
                <w:sz w:val="18"/>
              </w:rPr>
              <w:t>upper_wick_ratio</w:t>
            </w:r>
            <w:r>
              <w:rPr>
                <w:color w:val="1A1A2E"/>
                <w:sz w:val="18"/>
              </w:rPr>
            </w:r>
          </w:p>
        </w:tc>
      </w:tr>
      <w:tr>
        <w:tc>
          <w:tcPr>
            <w:tcW w:type="dxa" w:w="4680"/>
            <w:vAlign w:val="top"/>
          </w:tcPr>
          <w:p>
            <w:r>
              <w:rPr>
                <w:color w:val="1A1A2E"/>
                <w:sz w:val="18"/>
              </w:rPr>
              <w:t>Lower wick ratio</w:t>
            </w:r>
          </w:p>
        </w:tc>
        <w:tc>
          <w:tcPr>
            <w:tcW w:type="dxa" w:w="4680"/>
            <w:vAlign w:val="top"/>
          </w:tcPr>
          <w:p>
            <w:r>
              <w:rPr>
                <w:color w:val="1A1A2E"/>
                <w:sz w:val="18"/>
              </w:rPr>
            </w:r>
            <w:r>
              <w:rPr>
                <w:rFonts w:ascii="Consolas" w:hAnsi="Consolas"/>
                <w:color w:val="2E863A"/>
                <w:sz w:val="18"/>
              </w:rPr>
              <w:t>lower_wick_ratio</w:t>
            </w:r>
            <w:r>
              <w:rPr>
                <w:color w:val="1A1A2E"/>
                <w:sz w:val="18"/>
              </w:rPr>
            </w:r>
          </w:p>
        </w:tc>
      </w:tr>
      <w:tr>
        <w:tc>
          <w:tcPr>
            <w:tcW w:type="dxa" w:w="4680"/>
            <w:vAlign w:val="top"/>
          </w:tcPr>
          <w:p>
            <w:r>
              <w:rPr>
                <w:color w:val="1A1A2E"/>
                <w:sz w:val="18"/>
              </w:rPr>
              <w:t>Total range</w:t>
            </w:r>
          </w:p>
        </w:tc>
        <w:tc>
          <w:tcPr>
            <w:tcW w:type="dxa" w:w="4680"/>
            <w:vAlign w:val="top"/>
          </w:tcPr>
          <w:p>
            <w:r>
              <w:rPr>
                <w:color w:val="1A1A2E"/>
                <w:sz w:val="18"/>
              </w:rPr>
            </w:r>
            <w:r>
              <w:rPr>
                <w:rFonts w:ascii="Consolas" w:hAnsi="Consolas"/>
                <w:color w:val="2E863A"/>
                <w:sz w:val="18"/>
              </w:rPr>
              <w:t>total_range</w:t>
            </w:r>
            <w:r>
              <w:rPr>
                <w:color w:val="1A1A2E"/>
                <w:sz w:val="18"/>
              </w:rPr>
            </w:r>
          </w:p>
        </w:tc>
      </w:tr>
      <w:tr>
        <w:tc>
          <w:tcPr>
            <w:tcW w:type="dxa" w:w="4680"/>
            <w:vAlign w:val="top"/>
          </w:tcPr>
          <w:p>
            <w:r>
              <w:rPr>
                <w:color w:val="1A1A2E"/>
                <w:sz w:val="18"/>
              </w:rPr>
              <w:t>True range</w:t>
            </w:r>
          </w:p>
        </w:tc>
        <w:tc>
          <w:tcPr>
            <w:tcW w:type="dxa" w:w="4680"/>
            <w:vAlign w:val="top"/>
          </w:tcPr>
          <w:p>
            <w:r>
              <w:rPr>
                <w:color w:val="1A1A2E"/>
                <w:sz w:val="18"/>
              </w:rPr>
            </w:r>
            <w:r>
              <w:rPr>
                <w:rFonts w:ascii="Consolas" w:hAnsi="Consolas"/>
                <w:color w:val="2E863A"/>
                <w:sz w:val="18"/>
              </w:rPr>
              <w:t>true_range</w:t>
            </w:r>
            <w:r>
              <w:rPr>
                <w:color w:val="1A1A2E"/>
                <w:sz w:val="18"/>
              </w:rPr>
            </w:r>
          </w:p>
        </w:tc>
      </w:tr>
      <w:tr>
        <w:tc>
          <w:tcPr>
            <w:tcW w:type="dxa" w:w="4680"/>
            <w:vAlign w:val="top"/>
          </w:tcPr>
          <w:p>
            <w:r>
              <w:rPr>
                <w:color w:val="1A1A2E"/>
                <w:sz w:val="18"/>
              </w:rPr>
              <w:t>Body to range ratio</w:t>
            </w:r>
          </w:p>
        </w:tc>
        <w:tc>
          <w:tcPr>
            <w:tcW w:type="dxa" w:w="4680"/>
            <w:vAlign w:val="top"/>
          </w:tcPr>
          <w:p>
            <w:r>
              <w:rPr>
                <w:color w:val="1A1A2E"/>
                <w:sz w:val="18"/>
              </w:rPr>
            </w:r>
            <w:r>
              <w:rPr>
                <w:rFonts w:ascii="Consolas" w:hAnsi="Consolas"/>
                <w:color w:val="2E863A"/>
                <w:sz w:val="18"/>
              </w:rPr>
              <w:t>body_to_range_ratio</w:t>
            </w:r>
            <w:r>
              <w:rPr>
                <w:color w:val="1A1A2E"/>
                <w:sz w:val="18"/>
              </w:rPr>
            </w:r>
          </w:p>
        </w:tc>
      </w:tr>
      <w:tr>
        <w:tc>
          <w:tcPr>
            <w:tcW w:type="dxa" w:w="4680"/>
            <w:vAlign w:val="top"/>
          </w:tcPr>
          <w:p>
            <w:r>
              <w:rPr>
                <w:color w:val="1A1A2E"/>
                <w:sz w:val="18"/>
              </w:rPr>
              <w:t>Is bullish</w:t>
            </w:r>
          </w:p>
        </w:tc>
        <w:tc>
          <w:tcPr>
            <w:tcW w:type="dxa" w:w="4680"/>
            <w:vAlign w:val="top"/>
          </w:tcPr>
          <w:p>
            <w:r>
              <w:rPr>
                <w:color w:val="1A1A2E"/>
                <w:sz w:val="18"/>
              </w:rPr>
            </w:r>
            <w:r>
              <w:rPr>
                <w:rFonts w:ascii="Consolas" w:hAnsi="Consolas"/>
                <w:color w:val="2E863A"/>
                <w:sz w:val="18"/>
              </w:rPr>
              <w:t>is_bullish</w:t>
            </w:r>
            <w:r>
              <w:rPr>
                <w:color w:val="1A1A2E"/>
                <w:sz w:val="18"/>
              </w:rPr>
            </w:r>
          </w:p>
        </w:tc>
      </w:tr>
      <w:tr>
        <w:tc>
          <w:tcPr>
            <w:tcW w:type="dxa" w:w="4680"/>
            <w:vAlign w:val="top"/>
          </w:tcPr>
          <w:p>
            <w:r>
              <w:rPr>
                <w:color w:val="1A1A2E"/>
                <w:sz w:val="18"/>
              </w:rPr>
              <w:t>Is bearish</w:t>
            </w:r>
          </w:p>
        </w:tc>
        <w:tc>
          <w:tcPr>
            <w:tcW w:type="dxa" w:w="4680"/>
            <w:vAlign w:val="top"/>
          </w:tcPr>
          <w:p>
            <w:r>
              <w:rPr>
                <w:color w:val="1A1A2E"/>
                <w:sz w:val="18"/>
              </w:rPr>
            </w:r>
            <w:r>
              <w:rPr>
                <w:rFonts w:ascii="Consolas" w:hAnsi="Consolas"/>
                <w:color w:val="2E863A"/>
                <w:sz w:val="18"/>
              </w:rPr>
              <w:t>is_bearish</w:t>
            </w:r>
            <w:r>
              <w:rPr>
                <w:color w:val="1A1A2E"/>
                <w:sz w:val="18"/>
              </w:rPr>
            </w:r>
          </w:p>
        </w:tc>
      </w:tr>
      <w:tr>
        <w:tc>
          <w:tcPr>
            <w:tcW w:type="dxa" w:w="4680"/>
            <w:vAlign w:val="top"/>
          </w:tcPr>
          <w:p>
            <w:r>
              <w:rPr>
                <w:color w:val="1A1A2E"/>
                <w:sz w:val="18"/>
              </w:rPr>
              <w:t>Doji score</w:t>
            </w:r>
          </w:p>
        </w:tc>
        <w:tc>
          <w:tcPr>
            <w:tcW w:type="dxa" w:w="4680"/>
            <w:vAlign w:val="top"/>
          </w:tcPr>
          <w:p>
            <w:r>
              <w:rPr>
                <w:color w:val="1A1A2E"/>
                <w:sz w:val="18"/>
              </w:rPr>
            </w:r>
            <w:r>
              <w:rPr>
                <w:rFonts w:ascii="Consolas" w:hAnsi="Consolas"/>
                <w:color w:val="2E863A"/>
                <w:sz w:val="18"/>
              </w:rPr>
              <w:t>doji_score</w:t>
            </w:r>
            <w:r>
              <w:rPr>
                <w:color w:val="1A1A2E"/>
                <w:sz w:val="18"/>
              </w:rPr>
            </w:r>
          </w:p>
        </w:tc>
      </w:tr>
      <w:tr>
        <w:tc>
          <w:tcPr>
            <w:tcW w:type="dxa" w:w="4680"/>
            <w:vAlign w:val="top"/>
          </w:tcPr>
          <w:p>
            <w:r>
              <w:rPr>
                <w:color w:val="1A1A2E"/>
                <w:sz w:val="18"/>
              </w:rPr>
              <w:t>Marubozu score</w:t>
            </w:r>
          </w:p>
        </w:tc>
        <w:tc>
          <w:tcPr>
            <w:tcW w:type="dxa" w:w="4680"/>
            <w:vAlign w:val="top"/>
          </w:tcPr>
          <w:p>
            <w:r>
              <w:rPr>
                <w:color w:val="1A1A2E"/>
                <w:sz w:val="18"/>
              </w:rPr>
            </w:r>
            <w:r>
              <w:rPr>
                <w:rFonts w:ascii="Consolas" w:hAnsi="Consolas"/>
                <w:color w:val="2E863A"/>
                <w:sz w:val="18"/>
              </w:rPr>
              <w:t>marubozu_score</w:t>
            </w:r>
            <w:r>
              <w:rPr>
                <w:color w:val="1A1A2E"/>
                <w:sz w:val="18"/>
              </w:rPr>
            </w:r>
          </w:p>
        </w:tc>
      </w:tr>
      <w:tr>
        <w:tc>
          <w:tcPr>
            <w:tcW w:type="dxa" w:w="4680"/>
            <w:vAlign w:val="top"/>
          </w:tcPr>
          <w:p>
            <w:r>
              <w:rPr>
                <w:color w:val="1A1A2E"/>
                <w:sz w:val="18"/>
              </w:rPr>
              <w:t>Inside bar</w:t>
            </w:r>
          </w:p>
        </w:tc>
        <w:tc>
          <w:tcPr>
            <w:tcW w:type="dxa" w:w="4680"/>
            <w:vAlign w:val="top"/>
          </w:tcPr>
          <w:p>
            <w:r>
              <w:rPr>
                <w:color w:val="1A1A2E"/>
                <w:sz w:val="18"/>
              </w:rPr>
            </w:r>
            <w:r>
              <w:rPr>
                <w:rFonts w:ascii="Consolas" w:hAnsi="Consolas"/>
                <w:color w:val="2E863A"/>
                <w:sz w:val="18"/>
              </w:rPr>
              <w:t>inside_bar</w:t>
            </w:r>
            <w:r>
              <w:rPr>
                <w:color w:val="1A1A2E"/>
                <w:sz w:val="18"/>
              </w:rPr>
            </w:r>
          </w:p>
        </w:tc>
      </w:tr>
      <w:tr>
        <w:tc>
          <w:tcPr>
            <w:tcW w:type="dxa" w:w="4680"/>
            <w:vAlign w:val="top"/>
          </w:tcPr>
          <w:p>
            <w:r>
              <w:rPr>
                <w:color w:val="1A1A2E"/>
                <w:sz w:val="18"/>
              </w:rPr>
              <w:t>Outside bar</w:t>
            </w:r>
          </w:p>
        </w:tc>
        <w:tc>
          <w:tcPr>
            <w:tcW w:type="dxa" w:w="4680"/>
            <w:vAlign w:val="top"/>
          </w:tcPr>
          <w:p>
            <w:r>
              <w:rPr>
                <w:color w:val="1A1A2E"/>
                <w:sz w:val="18"/>
              </w:rPr>
            </w:r>
            <w:r>
              <w:rPr>
                <w:rFonts w:ascii="Consolas" w:hAnsi="Consolas"/>
                <w:color w:val="2E863A"/>
                <w:sz w:val="18"/>
              </w:rPr>
              <w:t>outside_bar</w:t>
            </w:r>
            <w:r>
              <w:rPr>
                <w:color w:val="1A1A2E"/>
                <w:sz w:val="18"/>
              </w:rPr>
            </w:r>
          </w:p>
        </w:tc>
      </w:tr>
      <w:tr>
        <w:tc>
          <w:tcPr>
            <w:tcW w:type="dxa" w:w="4680"/>
            <w:vAlign w:val="top"/>
          </w:tcPr>
          <w:p>
            <w:r>
              <w:rPr>
                <w:color w:val="1A1A2E"/>
                <w:sz w:val="18"/>
              </w:rPr>
              <w:t>Consecutive bulls</w:t>
            </w:r>
          </w:p>
        </w:tc>
        <w:tc>
          <w:tcPr>
            <w:tcW w:type="dxa" w:w="4680"/>
            <w:vAlign w:val="top"/>
          </w:tcPr>
          <w:p>
            <w:r>
              <w:rPr>
                <w:color w:val="1A1A2E"/>
                <w:sz w:val="18"/>
              </w:rPr>
            </w:r>
            <w:r>
              <w:rPr>
                <w:rFonts w:ascii="Consolas" w:hAnsi="Consolas"/>
                <w:color w:val="2E863A"/>
                <w:sz w:val="18"/>
              </w:rPr>
              <w:t>consecutive_bulls</w:t>
            </w:r>
            <w:r>
              <w:rPr>
                <w:color w:val="1A1A2E"/>
                <w:sz w:val="18"/>
              </w:rPr>
            </w:r>
          </w:p>
        </w:tc>
      </w:tr>
      <w:tr>
        <w:tc>
          <w:tcPr>
            <w:tcW w:type="dxa" w:w="4680"/>
            <w:vAlign w:val="top"/>
          </w:tcPr>
          <w:p>
            <w:r>
              <w:rPr>
                <w:color w:val="1A1A2E"/>
                <w:sz w:val="18"/>
              </w:rPr>
              <w:t>Consecutive bears</w:t>
            </w:r>
          </w:p>
        </w:tc>
        <w:tc>
          <w:tcPr>
            <w:tcW w:type="dxa" w:w="4680"/>
            <w:vAlign w:val="top"/>
          </w:tcPr>
          <w:p>
            <w:r>
              <w:rPr>
                <w:color w:val="1A1A2E"/>
                <w:sz w:val="18"/>
              </w:rPr>
            </w:r>
            <w:r>
              <w:rPr>
                <w:rFonts w:ascii="Consolas" w:hAnsi="Consolas"/>
                <w:color w:val="2E863A"/>
                <w:sz w:val="18"/>
              </w:rPr>
              <w:t>consecutive_bears</w:t>
            </w:r>
            <w:r>
              <w:rPr>
                <w:color w:val="1A1A2E"/>
                <w:sz w:val="18"/>
              </w:rPr>
            </w:r>
          </w:p>
        </w:tc>
      </w:tr>
      <w:tr>
        <w:tc>
          <w:tcPr>
            <w:tcW w:type="dxa" w:w="4680"/>
            <w:vAlign w:val="top"/>
          </w:tcPr>
          <w:p>
            <w:r>
              <w:rPr>
                <w:color w:val="1A1A2E"/>
                <w:sz w:val="18"/>
              </w:rPr>
              <w:t>Higher close count</w:t>
            </w:r>
          </w:p>
        </w:tc>
        <w:tc>
          <w:tcPr>
            <w:tcW w:type="dxa" w:w="4680"/>
            <w:vAlign w:val="top"/>
          </w:tcPr>
          <w:p>
            <w:r>
              <w:rPr>
                <w:color w:val="1A1A2E"/>
                <w:sz w:val="18"/>
              </w:rPr>
            </w:r>
            <w:r>
              <w:rPr>
                <w:rFonts w:ascii="Consolas" w:hAnsi="Consolas"/>
                <w:color w:val="2E863A"/>
                <w:sz w:val="18"/>
              </w:rPr>
              <w:t>higher_close_count</w:t>
            </w:r>
            <w:r>
              <w:rPr>
                <w:color w:val="1A1A2E"/>
                <w:sz w:val="18"/>
              </w:rPr>
            </w:r>
          </w:p>
        </w:tc>
      </w:tr>
      <w:tr>
        <w:tc>
          <w:tcPr>
            <w:tcW w:type="dxa" w:w="4680"/>
            <w:vAlign w:val="top"/>
          </w:tcPr>
          <w:p>
            <w:r>
              <w:rPr>
                <w:color w:val="1A1A2E"/>
                <w:sz w:val="18"/>
              </w:rPr>
              <w:t>Lower close count</w:t>
            </w:r>
          </w:p>
        </w:tc>
        <w:tc>
          <w:tcPr>
            <w:tcW w:type="dxa" w:w="4680"/>
            <w:vAlign w:val="top"/>
          </w:tcPr>
          <w:p>
            <w:r>
              <w:rPr>
                <w:color w:val="1A1A2E"/>
                <w:sz w:val="18"/>
              </w:rPr>
            </w:r>
            <w:r>
              <w:rPr>
                <w:rFonts w:ascii="Consolas" w:hAnsi="Consolas"/>
                <w:color w:val="2E863A"/>
                <w:sz w:val="18"/>
              </w:rPr>
              <w:t>lower_close_count</w:t>
            </w:r>
            <w:r>
              <w:rPr>
                <w:color w:val="1A1A2E"/>
                <w:sz w:val="18"/>
              </w:rPr>
            </w:r>
          </w:p>
        </w:tc>
      </w:tr>
      <w:tr>
        <w:tc>
          <w:tcPr>
            <w:tcW w:type="dxa" w:w="4680"/>
            <w:vAlign w:val="top"/>
          </w:tcPr>
          <w:p>
            <w:r>
              <w:rPr>
                <w:color w:val="1A1A2E"/>
                <w:sz w:val="18"/>
              </w:rPr>
              <w:t>Higher high count</w:t>
            </w:r>
          </w:p>
        </w:tc>
        <w:tc>
          <w:tcPr>
            <w:tcW w:type="dxa" w:w="4680"/>
            <w:vAlign w:val="top"/>
          </w:tcPr>
          <w:p>
            <w:r>
              <w:rPr>
                <w:color w:val="1A1A2E"/>
                <w:sz w:val="18"/>
              </w:rPr>
            </w:r>
            <w:r>
              <w:rPr>
                <w:rFonts w:ascii="Consolas" w:hAnsi="Consolas"/>
                <w:color w:val="2E863A"/>
                <w:sz w:val="18"/>
              </w:rPr>
              <w:t>higher_high_count</w:t>
            </w:r>
            <w:r>
              <w:rPr>
                <w:color w:val="1A1A2E"/>
                <w:sz w:val="18"/>
              </w:rPr>
            </w:r>
          </w:p>
        </w:tc>
      </w:tr>
      <w:tr>
        <w:tc>
          <w:tcPr>
            <w:tcW w:type="dxa" w:w="4680"/>
            <w:vAlign w:val="top"/>
          </w:tcPr>
          <w:p>
            <w:r>
              <w:rPr>
                <w:color w:val="1A1A2E"/>
                <w:sz w:val="18"/>
              </w:rPr>
              <w:t>Lower low count</w:t>
            </w:r>
          </w:p>
        </w:tc>
        <w:tc>
          <w:tcPr>
            <w:tcW w:type="dxa" w:w="4680"/>
            <w:vAlign w:val="top"/>
          </w:tcPr>
          <w:p>
            <w:r>
              <w:rPr>
                <w:color w:val="1A1A2E"/>
                <w:sz w:val="18"/>
              </w:rPr>
            </w:r>
            <w:r>
              <w:rPr>
                <w:rFonts w:ascii="Consolas" w:hAnsi="Consolas"/>
                <w:color w:val="2E863A"/>
                <w:sz w:val="18"/>
              </w:rPr>
              <w:t>lower_low_count</w:t>
            </w:r>
            <w:r>
              <w:rPr>
                <w:color w:val="1A1A2E"/>
                <w:sz w:val="18"/>
              </w:rPr>
            </w:r>
          </w:p>
        </w:tc>
      </w:tr>
    </w:tbl>
    <w:p/>
    <w:p>
      <w:pPr>
        <w:pStyle w:val="Heading3"/>
      </w:pPr>
      <w:r>
        <w:t>7.4 Multi-Timeframe Fusion</w:t>
      </w:r>
    </w:p>
    <w:p>
      <w:pPr/>
      <w:r>
        <w:t>Higher-timeframe context is merged onto M15 bars using a forward-fill strategy that strictly prevents lookahead.</w:t>
      </w:r>
    </w:p>
    <w:p>
      <w:pPr>
        <w:pStyle w:val="Heading4"/>
      </w:pPr>
      <w:r>
        <w:t>7.4.1 Merge Algorithm</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For each higher timeframe (H1, H4, D1, W1):</w:t>
        <w:br/>
        <w:t xml:space="preserve">    1. Load raw TF Parquet file</w:t>
        <w:br/>
        <w:t xml:space="preserve">    2. Prefix all columns with TF tag (e.g., "h4_open", "h4_close")</w:t>
        <w:br/>
        <w:t xml:space="preserve">    3. Merge onto M15 DataFrame using pd.merge_asof()</w:t>
        <w:br/>
        <w:t xml:space="preserve">       - direction='backward' (only use candles that have closed before current M15 bar)</w:t>
        <w:br/>
        <w:t xml:space="preserve">       - tolerance=None (use exact bar boundaries)</w:t>
        <w:br/>
        <w:t xml:space="preserve">    4. Forward-fill any remaining NaN values</w:t>
      </w:r>
    </w:p>
    <w:p>
      <w:pPr/>
      <w:r>
        <w:t>This ensures that at 09:15 UTC on a Tuesday, the H4 column reflects only the H4 candle that opened at 08:00 UTC — not the one that opens at 12:00 UTC.</w:t>
      </w:r>
    </w:p>
    <w:p>
      <w:pPr>
        <w:pStyle w:val="Heading4"/>
      </w:pPr>
      <w:r>
        <w:t>7.4.2 Higher-Timeframe Columns Merged</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Timeframe</w:t>
            </w:r>
          </w:p>
        </w:tc>
        <w:tc>
          <w:tcPr>
            <w:tcW w:type="dxa" w:w="4680"/>
            <w:vAlign w:val="top"/>
            <w:shd w:val="clear" w:color="auto" w:fill="1C2128"/>
          </w:tcPr>
          <w:p>
            <w:r>
              <w:rPr>
                <w:b/>
                <w:color w:val="FFFFFF"/>
                <w:sz w:val="18"/>
              </w:rPr>
              <w:t>Columns Added (5 each)</w:t>
            </w:r>
          </w:p>
        </w:tc>
      </w:tr>
      <w:tr>
        <w:tc>
          <w:tcPr>
            <w:tcW w:type="dxa" w:w="4680"/>
            <w:vAlign w:val="top"/>
          </w:tcPr>
          <w:p>
            <w:r>
              <w:rPr>
                <w:color w:val="1A1A2E"/>
                <w:sz w:val="18"/>
              </w:rPr>
              <w:t>W1</w:t>
            </w:r>
          </w:p>
        </w:tc>
        <w:tc>
          <w:tcPr>
            <w:tcW w:type="dxa" w:w="4680"/>
            <w:vAlign w:val="top"/>
          </w:tcPr>
          <w:p>
            <w:r>
              <w:rPr>
                <w:color w:val="1A1A2E"/>
                <w:sz w:val="18"/>
              </w:rPr>
            </w:r>
            <w:r>
              <w:rPr>
                <w:rFonts w:ascii="Consolas" w:hAnsi="Consolas"/>
                <w:color w:val="2E863A"/>
                <w:sz w:val="18"/>
              </w:rPr>
              <w:t>w1_open</w:t>
            </w:r>
            <w:r>
              <w:rPr>
                <w:color w:val="1A1A2E"/>
                <w:sz w:val="18"/>
              </w:rPr>
              <w:t xml:space="preserve">, </w:t>
            </w:r>
            <w:r>
              <w:rPr>
                <w:rFonts w:ascii="Consolas" w:hAnsi="Consolas"/>
                <w:color w:val="2E863A"/>
                <w:sz w:val="18"/>
              </w:rPr>
              <w:t>w1_high</w:t>
            </w:r>
            <w:r>
              <w:rPr>
                <w:color w:val="1A1A2E"/>
                <w:sz w:val="18"/>
              </w:rPr>
              <w:t xml:space="preserve">, </w:t>
            </w:r>
            <w:r>
              <w:rPr>
                <w:rFonts w:ascii="Consolas" w:hAnsi="Consolas"/>
                <w:color w:val="2E863A"/>
                <w:sz w:val="18"/>
              </w:rPr>
              <w:t>w1_low</w:t>
            </w:r>
            <w:r>
              <w:rPr>
                <w:color w:val="1A1A2E"/>
                <w:sz w:val="18"/>
              </w:rPr>
              <w:t xml:space="preserve">, </w:t>
            </w:r>
            <w:r>
              <w:rPr>
                <w:rFonts w:ascii="Consolas" w:hAnsi="Consolas"/>
                <w:color w:val="2E863A"/>
                <w:sz w:val="18"/>
              </w:rPr>
              <w:t>w1_close</w:t>
            </w:r>
            <w:r>
              <w:rPr>
                <w:color w:val="1A1A2E"/>
                <w:sz w:val="18"/>
              </w:rPr>
              <w:t xml:space="preserve">, </w:t>
            </w:r>
            <w:r>
              <w:rPr>
                <w:rFonts w:ascii="Consolas" w:hAnsi="Consolas"/>
                <w:color w:val="2E863A"/>
                <w:sz w:val="18"/>
              </w:rPr>
              <w:t>w1_tick_volume</w:t>
            </w:r>
            <w:r>
              <w:rPr>
                <w:color w:val="1A1A2E"/>
                <w:sz w:val="18"/>
              </w:rPr>
            </w:r>
          </w:p>
        </w:tc>
      </w:tr>
      <w:tr>
        <w:tc>
          <w:tcPr>
            <w:tcW w:type="dxa" w:w="4680"/>
            <w:vAlign w:val="top"/>
          </w:tcPr>
          <w:p>
            <w:r>
              <w:rPr>
                <w:color w:val="1A1A2E"/>
                <w:sz w:val="18"/>
              </w:rPr>
              <w:t>D1</w:t>
            </w:r>
          </w:p>
        </w:tc>
        <w:tc>
          <w:tcPr>
            <w:tcW w:type="dxa" w:w="4680"/>
            <w:vAlign w:val="top"/>
          </w:tcPr>
          <w:p>
            <w:r>
              <w:rPr>
                <w:color w:val="1A1A2E"/>
                <w:sz w:val="18"/>
              </w:rPr>
            </w:r>
            <w:r>
              <w:rPr>
                <w:rFonts w:ascii="Consolas" w:hAnsi="Consolas"/>
                <w:color w:val="2E863A"/>
                <w:sz w:val="18"/>
              </w:rPr>
              <w:t>d1_open</w:t>
            </w:r>
            <w:r>
              <w:rPr>
                <w:color w:val="1A1A2E"/>
                <w:sz w:val="18"/>
              </w:rPr>
              <w:t xml:space="preserve">, </w:t>
            </w:r>
            <w:r>
              <w:rPr>
                <w:rFonts w:ascii="Consolas" w:hAnsi="Consolas"/>
                <w:color w:val="2E863A"/>
                <w:sz w:val="18"/>
              </w:rPr>
              <w:t>d1_high</w:t>
            </w:r>
            <w:r>
              <w:rPr>
                <w:color w:val="1A1A2E"/>
                <w:sz w:val="18"/>
              </w:rPr>
              <w:t xml:space="preserve">, </w:t>
            </w:r>
            <w:r>
              <w:rPr>
                <w:rFonts w:ascii="Consolas" w:hAnsi="Consolas"/>
                <w:color w:val="2E863A"/>
                <w:sz w:val="18"/>
              </w:rPr>
              <w:t>d1_low</w:t>
            </w:r>
            <w:r>
              <w:rPr>
                <w:color w:val="1A1A2E"/>
                <w:sz w:val="18"/>
              </w:rPr>
              <w:t xml:space="preserve">, </w:t>
            </w:r>
            <w:r>
              <w:rPr>
                <w:rFonts w:ascii="Consolas" w:hAnsi="Consolas"/>
                <w:color w:val="2E863A"/>
                <w:sz w:val="18"/>
              </w:rPr>
              <w:t>d1_close</w:t>
            </w:r>
            <w:r>
              <w:rPr>
                <w:color w:val="1A1A2E"/>
                <w:sz w:val="18"/>
              </w:rPr>
              <w:t xml:space="preserve">, </w:t>
            </w:r>
            <w:r>
              <w:rPr>
                <w:rFonts w:ascii="Consolas" w:hAnsi="Consolas"/>
                <w:color w:val="2E863A"/>
                <w:sz w:val="18"/>
              </w:rPr>
              <w:t>d1_tick_volume</w:t>
            </w:r>
            <w:r>
              <w:rPr>
                <w:color w:val="1A1A2E"/>
                <w:sz w:val="18"/>
              </w:rPr>
            </w:r>
          </w:p>
        </w:tc>
      </w:tr>
      <w:tr>
        <w:tc>
          <w:tcPr>
            <w:tcW w:type="dxa" w:w="4680"/>
            <w:vAlign w:val="top"/>
          </w:tcPr>
          <w:p>
            <w:r>
              <w:rPr>
                <w:color w:val="1A1A2E"/>
                <w:sz w:val="18"/>
              </w:rPr>
              <w:t>H4</w:t>
            </w:r>
          </w:p>
        </w:tc>
        <w:tc>
          <w:tcPr>
            <w:tcW w:type="dxa" w:w="4680"/>
            <w:vAlign w:val="top"/>
          </w:tcPr>
          <w:p>
            <w:r>
              <w:rPr>
                <w:color w:val="1A1A2E"/>
                <w:sz w:val="18"/>
              </w:rPr>
            </w:r>
            <w:r>
              <w:rPr>
                <w:rFonts w:ascii="Consolas" w:hAnsi="Consolas"/>
                <w:color w:val="2E863A"/>
                <w:sz w:val="18"/>
              </w:rPr>
              <w:t>h4_open</w:t>
            </w:r>
            <w:r>
              <w:rPr>
                <w:color w:val="1A1A2E"/>
                <w:sz w:val="18"/>
              </w:rPr>
              <w:t xml:space="preserve">, </w:t>
            </w:r>
            <w:r>
              <w:rPr>
                <w:rFonts w:ascii="Consolas" w:hAnsi="Consolas"/>
                <w:color w:val="2E863A"/>
                <w:sz w:val="18"/>
              </w:rPr>
              <w:t>h4_high</w:t>
            </w:r>
            <w:r>
              <w:rPr>
                <w:color w:val="1A1A2E"/>
                <w:sz w:val="18"/>
              </w:rPr>
              <w:t xml:space="preserve">, </w:t>
            </w:r>
            <w:r>
              <w:rPr>
                <w:rFonts w:ascii="Consolas" w:hAnsi="Consolas"/>
                <w:color w:val="2E863A"/>
                <w:sz w:val="18"/>
              </w:rPr>
              <w:t>h4_low</w:t>
            </w:r>
            <w:r>
              <w:rPr>
                <w:color w:val="1A1A2E"/>
                <w:sz w:val="18"/>
              </w:rPr>
              <w:t xml:space="preserve">, </w:t>
            </w:r>
            <w:r>
              <w:rPr>
                <w:rFonts w:ascii="Consolas" w:hAnsi="Consolas"/>
                <w:color w:val="2E863A"/>
                <w:sz w:val="18"/>
              </w:rPr>
              <w:t>h4_close</w:t>
            </w:r>
            <w:r>
              <w:rPr>
                <w:color w:val="1A1A2E"/>
                <w:sz w:val="18"/>
              </w:rPr>
              <w:t xml:space="preserve">, </w:t>
            </w:r>
            <w:r>
              <w:rPr>
                <w:rFonts w:ascii="Consolas" w:hAnsi="Consolas"/>
                <w:color w:val="2E863A"/>
                <w:sz w:val="18"/>
              </w:rPr>
              <w:t>h4_tick_volume</w:t>
            </w:r>
            <w:r>
              <w:rPr>
                <w:color w:val="1A1A2E"/>
                <w:sz w:val="18"/>
              </w:rPr>
            </w:r>
          </w:p>
        </w:tc>
      </w:tr>
      <w:tr>
        <w:tc>
          <w:tcPr>
            <w:tcW w:type="dxa" w:w="4680"/>
            <w:vAlign w:val="top"/>
          </w:tcPr>
          <w:p>
            <w:r>
              <w:rPr>
                <w:color w:val="1A1A2E"/>
                <w:sz w:val="18"/>
              </w:rPr>
              <w:t>H1</w:t>
            </w:r>
          </w:p>
        </w:tc>
        <w:tc>
          <w:tcPr>
            <w:tcW w:type="dxa" w:w="4680"/>
            <w:vAlign w:val="top"/>
          </w:tcPr>
          <w:p>
            <w:r>
              <w:rPr>
                <w:color w:val="1A1A2E"/>
                <w:sz w:val="18"/>
              </w:rPr>
            </w:r>
            <w:r>
              <w:rPr>
                <w:rFonts w:ascii="Consolas" w:hAnsi="Consolas"/>
                <w:color w:val="2E863A"/>
                <w:sz w:val="18"/>
              </w:rPr>
              <w:t>h1_open</w:t>
            </w:r>
            <w:r>
              <w:rPr>
                <w:color w:val="1A1A2E"/>
                <w:sz w:val="18"/>
              </w:rPr>
              <w:t xml:space="preserve">, </w:t>
            </w:r>
            <w:r>
              <w:rPr>
                <w:rFonts w:ascii="Consolas" w:hAnsi="Consolas"/>
                <w:color w:val="2E863A"/>
                <w:sz w:val="18"/>
              </w:rPr>
              <w:t>h1_high</w:t>
            </w:r>
            <w:r>
              <w:rPr>
                <w:color w:val="1A1A2E"/>
                <w:sz w:val="18"/>
              </w:rPr>
              <w:t xml:space="preserve">, </w:t>
            </w:r>
            <w:r>
              <w:rPr>
                <w:rFonts w:ascii="Consolas" w:hAnsi="Consolas"/>
                <w:color w:val="2E863A"/>
                <w:sz w:val="18"/>
              </w:rPr>
              <w:t>h1_low</w:t>
            </w:r>
            <w:r>
              <w:rPr>
                <w:color w:val="1A1A2E"/>
                <w:sz w:val="18"/>
              </w:rPr>
              <w:t xml:space="preserve">, </w:t>
            </w:r>
            <w:r>
              <w:rPr>
                <w:rFonts w:ascii="Consolas" w:hAnsi="Consolas"/>
                <w:color w:val="2E863A"/>
                <w:sz w:val="18"/>
              </w:rPr>
              <w:t>h1_close</w:t>
            </w:r>
            <w:r>
              <w:rPr>
                <w:color w:val="1A1A2E"/>
                <w:sz w:val="18"/>
              </w:rPr>
              <w:t xml:space="preserve">, </w:t>
            </w:r>
            <w:r>
              <w:rPr>
                <w:rFonts w:ascii="Consolas" w:hAnsi="Consolas"/>
                <w:color w:val="2E863A"/>
                <w:sz w:val="18"/>
              </w:rPr>
              <w:t>h1_tick_volume</w:t>
            </w:r>
            <w:r>
              <w:rPr>
                <w:color w:val="1A1A2E"/>
                <w:sz w:val="18"/>
              </w:rPr>
            </w:r>
          </w:p>
        </w:tc>
      </w:tr>
    </w:tbl>
    <w:p/>
    <w:p>
      <w:pPr/>
      <w:r>
        <w:t>Total: 20 additional columns that give the model direct access to the broader market context on every M15 bar.</w:t>
      </w:r>
    </w:p>
    <w:p>
      <w:pPr>
        <w:pStyle w:val="Heading3"/>
      </w:pPr>
      <w:r>
        <w:t>7.5 Feature Store &amp; Caching</w:t>
      </w:r>
    </w:p>
    <w:p>
      <w:pPr/>
      <w:r>
        <w:t>The feature pipeline implements a disk-backed cache (</w:t>
      </w:r>
      <w:r>
        <w:rPr>
          <w:rFonts w:ascii="Consolas" w:hAnsi="Consolas"/>
          <w:color w:val="2E863A"/>
          <w:sz w:val="19"/>
        </w:rPr>
        <w:t>data/feature_cache/</w:t>
      </w:r>
      <w:r>
        <w:t>) to accelerate re-runs. Cache invalidation is automatic via a data fingerprint:</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fingerprint = hashlib.md5(</w:t>
        <w:br/>
        <w:t xml:space="preserve">    pd.util.hash_pandas_object(df, index=True).values.tobytes()</w:t>
        <w:br/>
        <w:t>).hexdigest()</w:t>
        <w:br/>
        <w:br/>
        <w:t>cache_key = f"{symbol}_{feature_name}_{fingerprint}"</w:t>
      </w:r>
    </w:p>
    <w:p>
      <w:pPr/>
      <w:r>
        <w:t>When the input data changes (new bars downloaded), the fingerprint changes and the cache is automatically bypassed, forcing re-computation. When the input data is unchanged, cached feature DataFrames are loaded from Parquet in milliseconds.</w:t>
      </w:r>
    </w:p>
    <w:p>
      <w:pPr>
        <w:pStyle w:val="Heading3"/>
      </w:pPr>
      <w:r>
        <w:t>7.6 Feature Quality Analysis</w:t>
      </w:r>
    </w:p>
    <w:p>
      <w:pPr/>
      <w:r>
        <w:t xml:space="preserve">The final feature dataset is analyzed for quality metrics that are written to </w:t>
      </w:r>
      <w:r>
        <w:rPr>
          <w:rFonts w:ascii="Consolas" w:hAnsi="Consolas"/>
          <w:color w:val="2E863A"/>
          <w:sz w:val="19"/>
        </w:rPr>
        <w:t>reports/feature_pipeline_report.md</w:t>
      </w:r>
      <w:r>
        <w:t>:</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Metric</w:t>
            </w:r>
          </w:p>
        </w:tc>
        <w:tc>
          <w:tcPr>
            <w:tcW w:type="dxa" w:w="4680"/>
            <w:vAlign w:val="top"/>
            <w:shd w:val="clear" w:color="auto" w:fill="1C2128"/>
          </w:tcPr>
          <w:p>
            <w:r>
              <w:rPr>
                <w:b/>
                <w:color w:val="FFFFFF"/>
                <w:sz w:val="18"/>
              </w:rPr>
              <w:t>Description</w:t>
            </w:r>
          </w:p>
        </w:tc>
      </w:tr>
      <w:tr>
        <w:tc>
          <w:tcPr>
            <w:tcW w:type="dxa" w:w="4680"/>
            <w:vAlign w:val="top"/>
          </w:tcPr>
          <w:p>
            <w:r>
              <w:rPr>
                <w:color w:val="1A1A2E"/>
                <w:sz w:val="18"/>
              </w:rPr>
              <w:t>NaN coverage</w:t>
            </w:r>
          </w:p>
        </w:tc>
        <w:tc>
          <w:tcPr>
            <w:tcW w:type="dxa" w:w="4680"/>
            <w:vAlign w:val="top"/>
          </w:tcPr>
          <w:p>
            <w:r>
              <w:rPr>
                <w:color w:val="1A1A2E"/>
                <w:sz w:val="18"/>
              </w:rPr>
              <w:t>Percentage of NaN values per column</w:t>
            </w:r>
          </w:p>
        </w:tc>
      </w:tr>
      <w:tr>
        <w:tc>
          <w:tcPr>
            <w:tcW w:type="dxa" w:w="4680"/>
            <w:vAlign w:val="top"/>
          </w:tcPr>
          <w:p>
            <w:r>
              <w:rPr>
                <w:color w:val="1A1A2E"/>
                <w:sz w:val="18"/>
              </w:rPr>
              <w:t>±Inf coverage</w:t>
            </w:r>
          </w:p>
        </w:tc>
        <w:tc>
          <w:tcPr>
            <w:tcW w:type="dxa" w:w="4680"/>
            <w:vAlign w:val="top"/>
          </w:tcPr>
          <w:p>
            <w:r>
              <w:rPr>
                <w:color w:val="1A1A2E"/>
                <w:sz w:val="18"/>
              </w:rPr>
              <w:t>Percentage of infinite values per column</w:t>
            </w:r>
          </w:p>
        </w:tc>
      </w:tr>
      <w:tr>
        <w:tc>
          <w:tcPr>
            <w:tcW w:type="dxa" w:w="4680"/>
            <w:vAlign w:val="top"/>
          </w:tcPr>
          <w:p>
            <w:r>
              <w:rPr>
                <w:color w:val="1A1A2E"/>
                <w:sz w:val="18"/>
              </w:rPr>
              <w:t>Feature execution time</w:t>
            </w:r>
          </w:p>
        </w:tc>
        <w:tc>
          <w:tcPr>
            <w:tcW w:type="dxa" w:w="4680"/>
            <w:vAlign w:val="top"/>
          </w:tcPr>
          <w:p>
            <w:r>
              <w:rPr>
                <w:color w:val="1A1A2E"/>
                <w:sz w:val="18"/>
              </w:rPr>
              <w:t>Wall-clock ms per generator</w:t>
            </w:r>
          </w:p>
        </w:tc>
      </w:tr>
      <w:tr>
        <w:tc>
          <w:tcPr>
            <w:tcW w:type="dxa" w:w="4680"/>
            <w:vAlign w:val="top"/>
          </w:tcPr>
          <w:p>
            <w:r>
              <w:rPr>
                <w:color w:val="1A1A2E"/>
                <w:sz w:val="18"/>
              </w:rPr>
              <w:t>Column count per group</w:t>
            </w:r>
          </w:p>
        </w:tc>
        <w:tc>
          <w:tcPr>
            <w:tcW w:type="dxa" w:w="4680"/>
            <w:vAlign w:val="top"/>
          </w:tcPr>
          <w:p>
            <w:r>
              <w:rPr>
                <w:color w:val="1A1A2E"/>
                <w:sz w:val="18"/>
              </w:rPr>
              <w:t>Features produced per group</w:t>
            </w:r>
          </w:p>
        </w:tc>
      </w:tr>
      <w:tr>
        <w:tc>
          <w:tcPr>
            <w:tcW w:type="dxa" w:w="4680"/>
            <w:vAlign w:val="top"/>
          </w:tcPr>
          <w:p>
            <w:r>
              <w:rPr>
                <w:color w:val="1A1A2E"/>
                <w:sz w:val="18"/>
              </w:rPr>
              <w:t>Dependency graph</w:t>
            </w:r>
          </w:p>
        </w:tc>
        <w:tc>
          <w:tcPr>
            <w:tcW w:type="dxa" w:w="4680"/>
            <w:vAlign w:val="top"/>
          </w:tcPr>
          <w:p>
            <w:r>
              <w:rPr>
                <w:color w:val="1A1A2E"/>
                <w:sz w:val="18"/>
              </w:rPr>
              <w:t>Which features depend on which</w:t>
            </w:r>
          </w:p>
        </w:tc>
      </w:tr>
    </w:tbl>
    <w:p/>
    <w:p>
      <w:pPr/>
      <w:r>
        <w:t xml:space="preserve">NaN values are handled during model training via the custom </w:t>
      </w:r>
      <w:r>
        <w:rPr>
          <w:rFonts w:ascii="Consolas" w:hAnsi="Consolas"/>
          <w:color w:val="2E863A"/>
          <w:sz w:val="19"/>
        </w:rPr>
        <w:t>ColumnImputer</w:t>
      </w:r>
      <w:r>
        <w:t>, which applies column-wise median imputation to all numeric columns, skipping timestamp and datetime columns that would otherwise cause type errors.</w:t>
      </w:r>
    </w:p>
    <w:p>
      <w:pPr>
        <w:pStyle w:val="Heading2"/>
      </w:pPr>
      <w:r>
        <w:t>8. Label Generation</w:t>
      </w:r>
    </w:p>
    <w:p>
      <w:pPr/>
      <w:r>
        <w:t xml:space="preserve">The label pipeline generates 53 structured prediction targets from the same OHLCV feature dataset. All labels use forward-looking logic (they must be computed before ML training but must not leak into the feature set — this is enforced by </w:t>
      </w:r>
      <w:r>
        <w:rPr>
          <w:rFonts w:ascii="Consolas" w:hAnsi="Consolas"/>
          <w:color w:val="2E863A"/>
          <w:sz w:val="19"/>
        </w:rPr>
        <w:t>LABEL_GROUP_PREFIXES</w:t>
      </w:r>
      <w:r>
        <w:t>).</w:t>
      </w:r>
    </w:p>
    <w:p>
      <w:pPr>
        <w:pStyle w:val="Heading3"/>
      </w:pPr>
      <w:r>
        <w:t>8.1 Label Groups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C2128"/>
          </w:tcPr>
          <w:p>
            <w:r>
              <w:rPr>
                <w:b/>
                <w:color w:val="FFFFFF"/>
                <w:sz w:val="18"/>
              </w:rPr>
              <w:t>Group</w:t>
            </w:r>
          </w:p>
        </w:tc>
        <w:tc>
          <w:tcPr>
            <w:tcW w:type="dxa" w:w="2340"/>
            <w:vAlign w:val="top"/>
            <w:shd w:val="clear" w:color="auto" w:fill="1C2128"/>
          </w:tcPr>
          <w:p>
            <w:r>
              <w:rPr>
                <w:b/>
                <w:color w:val="FFFFFF"/>
                <w:sz w:val="18"/>
              </w:rPr>
              <w:t>Prefix</w:t>
            </w:r>
          </w:p>
        </w:tc>
        <w:tc>
          <w:tcPr>
            <w:tcW w:type="dxa" w:w="2340"/>
            <w:vAlign w:val="top"/>
            <w:shd w:val="clear" w:color="auto" w:fill="1C2128"/>
          </w:tcPr>
          <w:p>
            <w:r>
              <w:rPr>
                <w:b/>
                <w:color w:val="FFFFFF"/>
                <w:sz w:val="18"/>
              </w:rPr>
              <w:t>Count</w:t>
            </w:r>
          </w:p>
        </w:tc>
        <w:tc>
          <w:tcPr>
            <w:tcW w:type="dxa" w:w="2340"/>
            <w:vAlign w:val="top"/>
            <w:shd w:val="clear" w:color="auto" w:fill="1C2128"/>
          </w:tcPr>
          <w:p>
            <w:r>
              <w:rPr>
                <w:b/>
                <w:color w:val="FFFFFF"/>
                <w:sz w:val="18"/>
              </w:rPr>
              <w:t>Description</w:t>
            </w:r>
          </w:p>
        </w:tc>
      </w:tr>
      <w:tr>
        <w:tc>
          <w:tcPr>
            <w:tcW w:type="dxa" w:w="2340"/>
            <w:vAlign w:val="top"/>
          </w:tcPr>
          <w:p>
            <w:r>
              <w:rPr>
                <w:color w:val="1A1A2E"/>
                <w:sz w:val="18"/>
              </w:rPr>
              <w:t>Direction</w:t>
            </w:r>
          </w:p>
        </w:tc>
        <w:tc>
          <w:tcPr>
            <w:tcW w:type="dxa" w:w="2340"/>
            <w:vAlign w:val="top"/>
          </w:tcPr>
          <w:p>
            <w:r>
              <w:rPr>
                <w:color w:val="1A1A2E"/>
                <w:sz w:val="18"/>
              </w:rPr>
            </w:r>
            <w:r>
              <w:rPr>
                <w:rFonts w:ascii="Consolas" w:hAnsi="Consolas"/>
                <w:color w:val="2E863A"/>
                <w:sz w:val="18"/>
              </w:rPr>
              <w:t>direction_</w:t>
            </w:r>
            <w:r>
              <w:rPr>
                <w:color w:val="1A1A2E"/>
                <w:sz w:val="18"/>
              </w:rPr>
            </w:r>
          </w:p>
        </w:tc>
        <w:tc>
          <w:tcPr>
            <w:tcW w:type="dxa" w:w="2340"/>
            <w:vAlign w:val="top"/>
          </w:tcPr>
          <w:p>
            <w:r>
              <w:rPr>
                <w:color w:val="1A1A2E"/>
                <w:sz w:val="18"/>
              </w:rPr>
              <w:t>~15</w:t>
            </w:r>
          </w:p>
        </w:tc>
        <w:tc>
          <w:tcPr>
            <w:tcW w:type="dxa" w:w="2340"/>
            <w:vAlign w:val="top"/>
          </w:tcPr>
          <w:p>
            <w:r>
              <w:rPr>
                <w:color w:val="1A1A2E"/>
                <w:sz w:val="18"/>
              </w:rPr>
              <w:t>Ternary direction at N bars forward</w:t>
            </w:r>
          </w:p>
        </w:tc>
      </w:tr>
      <w:tr>
        <w:tc>
          <w:tcPr>
            <w:tcW w:type="dxa" w:w="2340"/>
            <w:vAlign w:val="top"/>
          </w:tcPr>
          <w:p>
            <w:r>
              <w:rPr>
                <w:color w:val="1A1A2E"/>
                <w:sz w:val="18"/>
              </w:rPr>
              <w:t>Risk/Reward</w:t>
            </w:r>
          </w:p>
        </w:tc>
        <w:tc>
          <w:tcPr>
            <w:tcW w:type="dxa" w:w="2340"/>
            <w:vAlign w:val="top"/>
          </w:tcPr>
          <w:p>
            <w:r>
              <w:rPr>
                <w:color w:val="1A1A2E"/>
                <w:sz w:val="18"/>
              </w:rPr>
            </w:r>
            <w:r>
              <w:rPr>
                <w:rFonts w:ascii="Consolas" w:hAnsi="Consolas"/>
                <w:color w:val="2E863A"/>
                <w:sz w:val="18"/>
              </w:rPr>
              <w:t>rr_</w:t>
            </w:r>
            <w:r>
              <w:rPr>
                <w:color w:val="1A1A2E"/>
                <w:sz w:val="18"/>
              </w:rPr>
            </w:r>
          </w:p>
        </w:tc>
        <w:tc>
          <w:tcPr>
            <w:tcW w:type="dxa" w:w="2340"/>
            <w:vAlign w:val="top"/>
          </w:tcPr>
          <w:p>
            <w:r>
              <w:rPr>
                <w:color w:val="1A1A2E"/>
                <w:sz w:val="18"/>
              </w:rPr>
              <w:t>~12</w:t>
            </w:r>
          </w:p>
        </w:tc>
        <w:tc>
          <w:tcPr>
            <w:tcW w:type="dxa" w:w="2340"/>
            <w:vAlign w:val="top"/>
          </w:tcPr>
          <w:p>
            <w:r>
              <w:rPr>
                <w:color w:val="1A1A2E"/>
                <w:sz w:val="18"/>
              </w:rPr>
              <w:t>R:R outcome labels</w:t>
            </w:r>
          </w:p>
        </w:tc>
      </w:tr>
      <w:tr>
        <w:tc>
          <w:tcPr>
            <w:tcW w:type="dxa" w:w="2340"/>
            <w:vAlign w:val="top"/>
          </w:tcPr>
          <w:p>
            <w:r>
              <w:rPr>
                <w:color w:val="1A1A2E"/>
                <w:sz w:val="18"/>
              </w:rPr>
              <w:t>Binary</w:t>
            </w:r>
          </w:p>
        </w:tc>
        <w:tc>
          <w:tcPr>
            <w:tcW w:type="dxa" w:w="2340"/>
            <w:vAlign w:val="top"/>
          </w:tcPr>
          <w:p>
            <w:r>
              <w:rPr>
                <w:color w:val="1A1A2E"/>
                <w:sz w:val="18"/>
              </w:rPr>
            </w:r>
            <w:r>
              <w:rPr>
                <w:rFonts w:ascii="Consolas" w:hAnsi="Consolas"/>
                <w:color w:val="2E863A"/>
                <w:sz w:val="18"/>
              </w:rPr>
              <w:t>binary_</w:t>
            </w:r>
            <w:r>
              <w:rPr>
                <w:color w:val="1A1A2E"/>
                <w:sz w:val="18"/>
              </w:rPr>
            </w:r>
          </w:p>
        </w:tc>
        <w:tc>
          <w:tcPr>
            <w:tcW w:type="dxa" w:w="2340"/>
            <w:vAlign w:val="top"/>
          </w:tcPr>
          <w:p>
            <w:r>
              <w:rPr>
                <w:color w:val="1A1A2E"/>
                <w:sz w:val="18"/>
              </w:rPr>
              <w:t>~8</w:t>
            </w:r>
          </w:p>
        </w:tc>
        <w:tc>
          <w:tcPr>
            <w:tcW w:type="dxa" w:w="2340"/>
            <w:vAlign w:val="top"/>
          </w:tcPr>
          <w:p>
            <w:r>
              <w:rPr>
                <w:color w:val="1A1A2E"/>
                <w:sz w:val="18"/>
              </w:rPr>
              <w:t>Binary up/down labels</w:t>
            </w:r>
          </w:p>
        </w:tc>
      </w:tr>
      <w:tr>
        <w:tc>
          <w:tcPr>
            <w:tcW w:type="dxa" w:w="2340"/>
            <w:vAlign w:val="top"/>
          </w:tcPr>
          <w:p>
            <w:r>
              <w:rPr>
                <w:color w:val="1A1A2E"/>
                <w:sz w:val="18"/>
              </w:rPr>
              <w:t>TP/SL</w:t>
            </w:r>
          </w:p>
        </w:tc>
        <w:tc>
          <w:tcPr>
            <w:tcW w:type="dxa" w:w="2340"/>
            <w:vAlign w:val="top"/>
          </w:tcPr>
          <w:p>
            <w:r>
              <w:rPr>
                <w:color w:val="1A1A2E"/>
                <w:sz w:val="18"/>
              </w:rPr>
            </w:r>
            <w:r>
              <w:rPr>
                <w:rFonts w:ascii="Consolas" w:hAnsi="Consolas"/>
                <w:color w:val="2E863A"/>
                <w:sz w:val="18"/>
              </w:rPr>
              <w:t>tp_sl_</w:t>
            </w:r>
            <w:r>
              <w:rPr>
                <w:color w:val="1A1A2E"/>
                <w:sz w:val="18"/>
              </w:rPr>
            </w:r>
          </w:p>
        </w:tc>
        <w:tc>
          <w:tcPr>
            <w:tcW w:type="dxa" w:w="2340"/>
            <w:vAlign w:val="top"/>
          </w:tcPr>
          <w:p>
            <w:r>
              <w:rPr>
                <w:color w:val="1A1A2E"/>
                <w:sz w:val="18"/>
              </w:rPr>
              <w:t>~10</w:t>
            </w:r>
          </w:p>
        </w:tc>
        <w:tc>
          <w:tcPr>
            <w:tcW w:type="dxa" w:w="2340"/>
            <w:vAlign w:val="top"/>
          </w:tcPr>
          <w:p>
            <w:r>
              <w:rPr>
                <w:color w:val="1A1A2E"/>
                <w:sz w:val="18"/>
              </w:rPr>
              <w:t>Take-profit/stop-loss hit labels</w:t>
            </w:r>
          </w:p>
        </w:tc>
      </w:tr>
      <w:tr>
        <w:tc>
          <w:tcPr>
            <w:tcW w:type="dxa" w:w="2340"/>
            <w:vAlign w:val="top"/>
          </w:tcPr>
          <w:p>
            <w:r>
              <w:rPr>
                <w:color w:val="1A1A2E"/>
                <w:sz w:val="18"/>
              </w:rPr>
              <w:t>Regime</w:t>
            </w:r>
          </w:p>
        </w:tc>
        <w:tc>
          <w:tcPr>
            <w:tcW w:type="dxa" w:w="2340"/>
            <w:vAlign w:val="top"/>
          </w:tcPr>
          <w:p>
            <w:r>
              <w:rPr>
                <w:color w:val="1A1A2E"/>
                <w:sz w:val="18"/>
              </w:rPr>
            </w:r>
            <w:r>
              <w:rPr>
                <w:rFonts w:ascii="Consolas" w:hAnsi="Consolas"/>
                <w:color w:val="2E863A"/>
                <w:sz w:val="18"/>
              </w:rPr>
              <w:t>regime_</w:t>
            </w:r>
            <w:r>
              <w:rPr>
                <w:color w:val="1A1A2E"/>
                <w:sz w:val="18"/>
              </w:rPr>
            </w:r>
          </w:p>
        </w:tc>
        <w:tc>
          <w:tcPr>
            <w:tcW w:type="dxa" w:w="2340"/>
            <w:vAlign w:val="top"/>
          </w:tcPr>
          <w:p>
            <w:r>
              <w:rPr>
                <w:color w:val="1A1A2E"/>
                <w:sz w:val="18"/>
              </w:rPr>
              <w:t>~8</w:t>
            </w:r>
          </w:p>
        </w:tc>
        <w:tc>
          <w:tcPr>
            <w:tcW w:type="dxa" w:w="2340"/>
            <w:vAlign w:val="top"/>
          </w:tcPr>
          <w:p>
            <w:r>
              <w:rPr>
                <w:color w:val="1A1A2E"/>
                <w:sz w:val="18"/>
              </w:rPr>
              <w:t>Market regime classification labels</w:t>
            </w:r>
          </w:p>
        </w:tc>
      </w:tr>
    </w:tbl>
    <w:p/>
    <w:p>
      <w:pPr>
        <w:pStyle w:val="Heading3"/>
      </w:pPr>
      <w:r>
        <w:t xml:space="preserve">8.2 Primary Target: </w:t>
      </w:r>
      <w:r>
        <w:rPr>
          <w:rFonts w:ascii="Consolas" w:hAnsi="Consolas"/>
          <w:color w:val="2E863A"/>
          <w:sz w:val="19"/>
        </w:rPr>
        <w:t>direction_1b</w:t>
      </w:r>
    </w:p>
    <w:p>
      <w:pPr/>
      <w:r>
        <w:t xml:space="preserve">The primary prediction target is </w:t>
      </w:r>
      <w:r>
        <w:rPr>
          <w:rFonts w:ascii="Consolas" w:hAnsi="Consolas"/>
          <w:color w:val="2E863A"/>
          <w:sz w:val="19"/>
        </w:rPr>
        <w:t>direction_1b</w:t>
      </w:r>
      <w:r>
        <w:t xml:space="preserve"> — the ternary direction of price movement over the next 1 bar (15 minutes).</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direction_1b = 0  →  SELL  (close[t+1]  close[t] by threshold)</w:t>
      </w:r>
    </w:p>
    <w:p>
      <w:pPr/>
      <w:r>
        <w:t xml:space="preserve">The dtype is </w:t>
      </w:r>
      <w:r>
        <w:rPr>
          <w:rFonts w:ascii="Consolas" w:hAnsi="Consolas"/>
          <w:color w:val="2E863A"/>
          <w:sz w:val="19"/>
        </w:rPr>
        <w:t>float64</w:t>
      </w:r>
      <w:r>
        <w:t xml:space="preserve"> with integer values </w:t>
      </w:r>
      <w:r>
        <w:rPr>
          <w:rFonts w:ascii="Consolas" w:hAnsi="Consolas"/>
          <w:color w:val="2E863A"/>
          <w:sz w:val="19"/>
        </w:rPr>
        <w:t>{0.0, 1.0, 2.0}</w:t>
      </w:r>
      <w:r>
        <w:t xml:space="preserve">. This caused a bug during initial development: the </w:t>
      </w:r>
      <w:r>
        <w:rPr>
          <w:rFonts w:ascii="Consolas" w:hAnsi="Consolas"/>
          <w:color w:val="2E863A"/>
          <w:sz w:val="19"/>
        </w:rPr>
        <w:t>_detect_task_type()</w:t>
      </w:r>
      <w:r>
        <w:t xml:space="preserve"> function in the artifact manager treated float64 targets as regression problems. The fix checks </w:t>
      </w:r>
      <w:r>
        <w:rPr>
          <w:rFonts w:ascii="Consolas" w:hAnsi="Consolas"/>
          <w:color w:val="2E863A"/>
          <w:sz w:val="19"/>
        </w:rPr>
        <w:t>(col % 1 == 0).all()</w:t>
      </w:r>
      <w:r>
        <w:t xml:space="preserve"> to detect integer-valued float arrays and classify them as classification tasks.</w:t>
      </w:r>
    </w:p>
    <w:p>
      <w:pPr>
        <w:pStyle w:val="Heading3"/>
      </w:pPr>
      <w:r>
        <w:t>8.3 Additional Direction Labels</w:t>
      </w:r>
    </w:p>
    <w:p>
      <w:pPr/>
      <w:r>
        <w:t>Multiple horizon labels are generated for multi-step prediction research:</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Label</w:t>
            </w:r>
          </w:p>
        </w:tc>
        <w:tc>
          <w:tcPr>
            <w:tcW w:type="dxa" w:w="3120"/>
            <w:vAlign w:val="top"/>
            <w:shd w:val="clear" w:color="auto" w:fill="1C2128"/>
          </w:tcPr>
          <w:p>
            <w:r>
              <w:rPr>
                <w:b/>
                <w:color w:val="FFFFFF"/>
                <w:sz w:val="18"/>
              </w:rPr>
              <w:t>Horizon</w:t>
            </w:r>
          </w:p>
        </w:tc>
        <w:tc>
          <w:tcPr>
            <w:tcW w:type="dxa" w:w="3120"/>
            <w:vAlign w:val="top"/>
            <w:shd w:val="clear" w:color="auto" w:fill="1C2128"/>
          </w:tcPr>
          <w:p>
            <w:r>
              <w:rPr>
                <w:b/>
                <w:color w:val="FFFFFF"/>
                <w:sz w:val="18"/>
              </w:rPr>
              <w:t>Description</w:t>
            </w:r>
          </w:p>
        </w:tc>
      </w:tr>
      <w:tr>
        <w:tc>
          <w:tcPr>
            <w:tcW w:type="dxa" w:w="3120"/>
            <w:vAlign w:val="top"/>
          </w:tcPr>
          <w:p>
            <w:r>
              <w:rPr>
                <w:color w:val="1A1A2E"/>
                <w:sz w:val="18"/>
              </w:rPr>
            </w:r>
            <w:r>
              <w:rPr>
                <w:rFonts w:ascii="Consolas" w:hAnsi="Consolas"/>
                <w:color w:val="2E863A"/>
                <w:sz w:val="18"/>
              </w:rPr>
              <w:t>direction_1b</w:t>
            </w:r>
            <w:r>
              <w:rPr>
                <w:color w:val="1A1A2E"/>
                <w:sz w:val="18"/>
              </w:rPr>
            </w:r>
          </w:p>
        </w:tc>
        <w:tc>
          <w:tcPr>
            <w:tcW w:type="dxa" w:w="3120"/>
            <w:vAlign w:val="top"/>
          </w:tcPr>
          <w:p>
            <w:r>
              <w:rPr>
                <w:color w:val="1A1A2E"/>
                <w:sz w:val="18"/>
              </w:rPr>
              <w:t>1 bar (15 min)</w:t>
            </w:r>
          </w:p>
        </w:tc>
        <w:tc>
          <w:tcPr>
            <w:tcW w:type="dxa" w:w="3120"/>
            <w:vAlign w:val="top"/>
          </w:tcPr>
          <w:p>
            <w:r>
              <w:rPr>
                <w:color w:val="1A1A2E"/>
                <w:sz w:val="18"/>
              </w:rPr>
              <w:t>Primary target</w:t>
            </w:r>
          </w:p>
        </w:tc>
      </w:tr>
      <w:tr>
        <w:tc>
          <w:tcPr>
            <w:tcW w:type="dxa" w:w="3120"/>
            <w:vAlign w:val="top"/>
          </w:tcPr>
          <w:p>
            <w:r>
              <w:rPr>
                <w:color w:val="1A1A2E"/>
                <w:sz w:val="18"/>
              </w:rPr>
            </w:r>
            <w:r>
              <w:rPr>
                <w:rFonts w:ascii="Consolas" w:hAnsi="Consolas"/>
                <w:color w:val="2E863A"/>
                <w:sz w:val="18"/>
              </w:rPr>
              <w:t>direction_2b</w:t>
            </w:r>
            <w:r>
              <w:rPr>
                <w:color w:val="1A1A2E"/>
                <w:sz w:val="18"/>
              </w:rPr>
            </w:r>
          </w:p>
        </w:tc>
        <w:tc>
          <w:tcPr>
            <w:tcW w:type="dxa" w:w="3120"/>
            <w:vAlign w:val="top"/>
          </w:tcPr>
          <w:p>
            <w:r>
              <w:rPr>
                <w:color w:val="1A1A2E"/>
                <w:sz w:val="18"/>
              </w:rPr>
              <w:t>2 bars (30 min)</w:t>
            </w:r>
          </w:p>
        </w:tc>
        <w:tc>
          <w:tcPr>
            <w:tcW w:type="dxa" w:w="3120"/>
            <w:vAlign w:val="top"/>
          </w:tcPr>
          <w:p>
            <w:r>
              <w:rPr>
                <w:color w:val="1A1A2E"/>
                <w:sz w:val="18"/>
              </w:rPr>
              <w:t>Short extension</w:t>
            </w:r>
          </w:p>
        </w:tc>
      </w:tr>
      <w:tr>
        <w:tc>
          <w:tcPr>
            <w:tcW w:type="dxa" w:w="3120"/>
            <w:vAlign w:val="top"/>
          </w:tcPr>
          <w:p>
            <w:r>
              <w:rPr>
                <w:color w:val="1A1A2E"/>
                <w:sz w:val="18"/>
              </w:rPr>
            </w:r>
            <w:r>
              <w:rPr>
                <w:rFonts w:ascii="Consolas" w:hAnsi="Consolas"/>
                <w:color w:val="2E863A"/>
                <w:sz w:val="18"/>
              </w:rPr>
              <w:t>direction_4b</w:t>
            </w:r>
            <w:r>
              <w:rPr>
                <w:color w:val="1A1A2E"/>
                <w:sz w:val="18"/>
              </w:rPr>
            </w:r>
          </w:p>
        </w:tc>
        <w:tc>
          <w:tcPr>
            <w:tcW w:type="dxa" w:w="3120"/>
            <w:vAlign w:val="top"/>
          </w:tcPr>
          <w:p>
            <w:r>
              <w:rPr>
                <w:color w:val="1A1A2E"/>
                <w:sz w:val="18"/>
              </w:rPr>
              <w:t>4 bars (1 hour)</w:t>
            </w:r>
          </w:p>
        </w:tc>
        <w:tc>
          <w:tcPr>
            <w:tcW w:type="dxa" w:w="3120"/>
            <w:vAlign w:val="top"/>
          </w:tcPr>
          <w:p>
            <w:r>
              <w:rPr>
                <w:color w:val="1A1A2E"/>
                <w:sz w:val="18"/>
              </w:rPr>
              <w:t>H1 equivalent</w:t>
            </w:r>
          </w:p>
        </w:tc>
      </w:tr>
      <w:tr>
        <w:tc>
          <w:tcPr>
            <w:tcW w:type="dxa" w:w="3120"/>
            <w:vAlign w:val="top"/>
          </w:tcPr>
          <w:p>
            <w:r>
              <w:rPr>
                <w:color w:val="1A1A2E"/>
                <w:sz w:val="18"/>
              </w:rPr>
            </w:r>
            <w:r>
              <w:rPr>
                <w:rFonts w:ascii="Consolas" w:hAnsi="Consolas"/>
                <w:color w:val="2E863A"/>
                <w:sz w:val="18"/>
              </w:rPr>
              <w:t>direction_8b</w:t>
            </w:r>
            <w:r>
              <w:rPr>
                <w:color w:val="1A1A2E"/>
                <w:sz w:val="18"/>
              </w:rPr>
            </w:r>
          </w:p>
        </w:tc>
        <w:tc>
          <w:tcPr>
            <w:tcW w:type="dxa" w:w="3120"/>
            <w:vAlign w:val="top"/>
          </w:tcPr>
          <w:p>
            <w:r>
              <w:rPr>
                <w:color w:val="1A1A2E"/>
                <w:sz w:val="18"/>
              </w:rPr>
              <w:t>8 bars (2 hours)</w:t>
            </w:r>
          </w:p>
        </w:tc>
        <w:tc>
          <w:tcPr>
            <w:tcW w:type="dxa" w:w="3120"/>
            <w:vAlign w:val="top"/>
          </w:tcPr>
          <w:p>
            <w:r>
              <w:rPr>
                <w:color w:val="1A1A2E"/>
                <w:sz w:val="18"/>
              </w:rPr>
              <w:t>Session sub-segment</w:t>
            </w:r>
          </w:p>
        </w:tc>
      </w:tr>
      <w:tr>
        <w:tc>
          <w:tcPr>
            <w:tcW w:type="dxa" w:w="3120"/>
            <w:vAlign w:val="top"/>
          </w:tcPr>
          <w:p>
            <w:r>
              <w:rPr>
                <w:color w:val="1A1A2E"/>
                <w:sz w:val="18"/>
              </w:rPr>
            </w:r>
            <w:r>
              <w:rPr>
                <w:rFonts w:ascii="Consolas" w:hAnsi="Consolas"/>
                <w:color w:val="2E863A"/>
                <w:sz w:val="18"/>
              </w:rPr>
              <w:t>direction_16b</w:t>
            </w:r>
            <w:r>
              <w:rPr>
                <w:color w:val="1A1A2E"/>
                <w:sz w:val="18"/>
              </w:rPr>
            </w:r>
          </w:p>
        </w:tc>
        <w:tc>
          <w:tcPr>
            <w:tcW w:type="dxa" w:w="3120"/>
            <w:vAlign w:val="top"/>
          </w:tcPr>
          <w:p>
            <w:r>
              <w:rPr>
                <w:color w:val="1A1A2E"/>
                <w:sz w:val="18"/>
              </w:rPr>
              <w:t>16 bars (4 hours)</w:t>
            </w:r>
          </w:p>
        </w:tc>
        <w:tc>
          <w:tcPr>
            <w:tcW w:type="dxa" w:w="3120"/>
            <w:vAlign w:val="top"/>
          </w:tcPr>
          <w:p>
            <w:r>
              <w:rPr>
                <w:color w:val="1A1A2E"/>
                <w:sz w:val="18"/>
              </w:rPr>
              <w:t>H4 equivalent</w:t>
            </w:r>
          </w:p>
        </w:tc>
      </w:tr>
      <w:tr>
        <w:tc>
          <w:tcPr>
            <w:tcW w:type="dxa" w:w="3120"/>
            <w:vAlign w:val="top"/>
          </w:tcPr>
          <w:p>
            <w:r>
              <w:rPr>
                <w:color w:val="1A1A2E"/>
                <w:sz w:val="18"/>
              </w:rPr>
            </w:r>
            <w:r>
              <w:rPr>
                <w:rFonts w:ascii="Consolas" w:hAnsi="Consolas"/>
                <w:color w:val="2E863A"/>
                <w:sz w:val="18"/>
              </w:rPr>
              <w:t>direction_32b</w:t>
            </w:r>
            <w:r>
              <w:rPr>
                <w:color w:val="1A1A2E"/>
                <w:sz w:val="18"/>
              </w:rPr>
            </w:r>
          </w:p>
        </w:tc>
        <w:tc>
          <w:tcPr>
            <w:tcW w:type="dxa" w:w="3120"/>
            <w:vAlign w:val="top"/>
          </w:tcPr>
          <w:p>
            <w:r>
              <w:rPr>
                <w:color w:val="1A1A2E"/>
                <w:sz w:val="18"/>
              </w:rPr>
              <w:t>32 bars (8 hours)</w:t>
            </w:r>
          </w:p>
        </w:tc>
        <w:tc>
          <w:tcPr>
            <w:tcW w:type="dxa" w:w="3120"/>
            <w:vAlign w:val="top"/>
          </w:tcPr>
          <w:p>
            <w:r>
              <w:rPr>
                <w:color w:val="1A1A2E"/>
                <w:sz w:val="18"/>
              </w:rPr>
              <w:t>Full session</w:t>
            </w:r>
          </w:p>
        </w:tc>
      </w:tr>
      <w:tr>
        <w:tc>
          <w:tcPr>
            <w:tcW w:type="dxa" w:w="3120"/>
            <w:vAlign w:val="top"/>
          </w:tcPr>
          <w:p>
            <w:r>
              <w:rPr>
                <w:color w:val="1A1A2E"/>
                <w:sz w:val="18"/>
              </w:rPr>
            </w:r>
            <w:r>
              <w:rPr>
                <w:rFonts w:ascii="Consolas" w:hAnsi="Consolas"/>
                <w:color w:val="2E863A"/>
                <w:sz w:val="18"/>
              </w:rPr>
              <w:t>direction_96b</w:t>
            </w:r>
            <w:r>
              <w:rPr>
                <w:color w:val="1A1A2E"/>
                <w:sz w:val="18"/>
              </w:rPr>
            </w:r>
          </w:p>
        </w:tc>
        <w:tc>
          <w:tcPr>
            <w:tcW w:type="dxa" w:w="3120"/>
            <w:vAlign w:val="top"/>
          </w:tcPr>
          <w:p>
            <w:r>
              <w:rPr>
                <w:color w:val="1A1A2E"/>
                <w:sz w:val="18"/>
              </w:rPr>
              <w:t>96 bars (24 hours)</w:t>
            </w:r>
          </w:p>
        </w:tc>
        <w:tc>
          <w:tcPr>
            <w:tcW w:type="dxa" w:w="3120"/>
            <w:vAlign w:val="top"/>
          </w:tcPr>
          <w:p>
            <w:r>
              <w:rPr>
                <w:color w:val="1A1A2E"/>
                <w:sz w:val="18"/>
              </w:rPr>
              <w:t>Daily</w:t>
            </w:r>
          </w:p>
        </w:tc>
      </w:tr>
    </w:tbl>
    <w:p/>
    <w:p>
      <w:pPr>
        <w:pStyle w:val="Heading3"/>
      </w:pPr>
      <w:r>
        <w:t>8.4 Risk/Reward Labels</w:t>
      </w:r>
    </w:p>
    <w:p>
      <w:pPr/>
      <w:r>
        <w:t>RR labels encode the first target hit when using ATR-based stop-loss and take-profit levels:</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For each bar t:</w:t>
        <w:br/>
        <w:t xml:space="preserve">    sl = close[t] - atr[t] * sl_multiplier</w:t>
        <w:br/>
        <w:t xml:space="preserve">    tp = close[t] + atr[t] * tp_multiplier</w:t>
        <w:br/>
        <w:br/>
        <w:t xml:space="preserve">    Scan forward up to max_bars bars:</w:t>
        <w:br/>
        <w:t xml:space="preserve">        if high[t+i] &gt;= tp:   rr_label = +1  (TP hit — BUY won)</w:t>
        <w:br/>
        <w:t xml:space="preserve">        if low[t+i]  &lt;= sl:   rr_label = -1  (SL hit — trade lost)</w:t>
        <w:br/>
        <w:t xml:space="preserve">        if timeout:           rr_label =  0  (expired without hit)</w:t>
      </w:r>
    </w:p>
    <w:p>
      <w:pPr>
        <w:pStyle w:val="Heading3"/>
      </w:pPr>
      <w:r>
        <w:t>8.5 Label Distribution</w:t>
      </w:r>
    </w:p>
    <w:p>
      <w:pPr/>
      <w:r>
        <w:t xml:space="preserve">For the primary target </w:t>
      </w:r>
      <w:r>
        <w:rPr>
          <w:rFonts w:ascii="Consolas" w:hAnsi="Consolas"/>
          <w:color w:val="2E863A"/>
          <w:sz w:val="19"/>
        </w:rPr>
        <w:t>direction_1b</w:t>
      </w:r>
      <w:r>
        <w:t xml:space="preserve"> on the full EURUSD M15 dataset:</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Class</w:t>
            </w:r>
          </w:p>
        </w:tc>
        <w:tc>
          <w:tcPr>
            <w:tcW w:type="dxa" w:w="3120"/>
            <w:vAlign w:val="top"/>
            <w:shd w:val="clear" w:color="auto" w:fill="1C2128"/>
          </w:tcPr>
          <w:p>
            <w:r>
              <w:rPr>
                <w:b/>
                <w:color w:val="FFFFFF"/>
                <w:sz w:val="18"/>
              </w:rPr>
              <w:t>Label</w:t>
            </w:r>
          </w:p>
        </w:tc>
        <w:tc>
          <w:tcPr>
            <w:tcW w:type="dxa" w:w="3120"/>
            <w:vAlign w:val="top"/>
            <w:shd w:val="clear" w:color="auto" w:fill="1C2128"/>
          </w:tcPr>
          <w:p>
            <w:r>
              <w:rPr>
                <w:b/>
                <w:color w:val="FFFFFF"/>
                <w:sz w:val="18"/>
              </w:rPr>
              <w:t>Approximate Frequency</w:t>
            </w:r>
          </w:p>
        </w:tc>
      </w:tr>
      <w:tr>
        <w:tc>
          <w:tcPr>
            <w:tcW w:type="dxa" w:w="3120"/>
            <w:vAlign w:val="top"/>
          </w:tcPr>
          <w:p>
            <w:r>
              <w:rPr>
                <w:color w:val="1A1A2E"/>
                <w:sz w:val="18"/>
              </w:rPr>
              <w:t>0</w:t>
            </w:r>
          </w:p>
        </w:tc>
        <w:tc>
          <w:tcPr>
            <w:tcW w:type="dxa" w:w="3120"/>
            <w:vAlign w:val="top"/>
          </w:tcPr>
          <w:p>
            <w:r>
              <w:rPr>
                <w:color w:val="1A1A2E"/>
                <w:sz w:val="18"/>
              </w:rPr>
              <w:t>SELL</w:t>
            </w:r>
          </w:p>
        </w:tc>
        <w:tc>
          <w:tcPr>
            <w:tcW w:type="dxa" w:w="3120"/>
            <w:vAlign w:val="top"/>
          </w:tcPr>
          <w:p>
            <w:r>
              <w:rPr>
                <w:color w:val="1A1A2E"/>
                <w:sz w:val="18"/>
              </w:rPr>
              <w:t>~33%</w:t>
            </w:r>
          </w:p>
        </w:tc>
      </w:tr>
      <w:tr>
        <w:tc>
          <w:tcPr>
            <w:tcW w:type="dxa" w:w="3120"/>
            <w:vAlign w:val="top"/>
          </w:tcPr>
          <w:p>
            <w:r>
              <w:rPr>
                <w:color w:val="1A1A2E"/>
                <w:sz w:val="18"/>
              </w:rPr>
              <w:t>1</w:t>
            </w:r>
          </w:p>
        </w:tc>
        <w:tc>
          <w:tcPr>
            <w:tcW w:type="dxa" w:w="3120"/>
            <w:vAlign w:val="top"/>
          </w:tcPr>
          <w:p>
            <w:r>
              <w:rPr>
                <w:color w:val="1A1A2E"/>
                <w:sz w:val="18"/>
              </w:rPr>
              <w:t>HOLD</w:t>
            </w:r>
          </w:p>
        </w:tc>
        <w:tc>
          <w:tcPr>
            <w:tcW w:type="dxa" w:w="3120"/>
            <w:vAlign w:val="top"/>
          </w:tcPr>
          <w:p>
            <w:r>
              <w:rPr>
                <w:color w:val="1A1A2E"/>
                <w:sz w:val="18"/>
              </w:rPr>
              <w:t>~34%</w:t>
            </w:r>
          </w:p>
        </w:tc>
      </w:tr>
      <w:tr>
        <w:tc>
          <w:tcPr>
            <w:tcW w:type="dxa" w:w="3120"/>
            <w:vAlign w:val="top"/>
          </w:tcPr>
          <w:p>
            <w:r>
              <w:rPr>
                <w:color w:val="1A1A2E"/>
                <w:sz w:val="18"/>
              </w:rPr>
              <w:t>2</w:t>
            </w:r>
          </w:p>
        </w:tc>
        <w:tc>
          <w:tcPr>
            <w:tcW w:type="dxa" w:w="3120"/>
            <w:vAlign w:val="top"/>
          </w:tcPr>
          <w:p>
            <w:r>
              <w:rPr>
                <w:color w:val="1A1A2E"/>
                <w:sz w:val="18"/>
              </w:rPr>
              <w:t>BUY</w:t>
            </w:r>
          </w:p>
        </w:tc>
        <w:tc>
          <w:tcPr>
            <w:tcW w:type="dxa" w:w="3120"/>
            <w:vAlign w:val="top"/>
          </w:tcPr>
          <w:p>
            <w:r>
              <w:rPr>
                <w:color w:val="1A1A2E"/>
                <w:sz w:val="18"/>
              </w:rPr>
              <w:t>~33%</w:t>
            </w:r>
          </w:p>
        </w:tc>
      </w:tr>
    </w:tbl>
    <w:p/>
    <w:p>
      <w:pPr/>
      <w:r>
        <w:t>The near-balanced distribution across classes is by design (the threshold is calibrated to achieve rough ternary balance) and means class-weighted metrics (F1) are close to accuracy metrics.</w:t>
      </w:r>
    </w:p>
    <w:p>
      <w:pPr>
        <w:pStyle w:val="Heading2"/>
      </w:pPr>
      <w:r>
        <w:t>9. Machine Learning Models</w:t>
      </w:r>
    </w:p>
    <w:p>
      <w:pPr>
        <w:pStyle w:val="Heading3"/>
      </w:pPr>
      <w:r>
        <w:t>9.1 Model Selection Rationale</w:t>
      </w:r>
    </w:p>
    <w:p>
      <w:pPr/>
      <w:r>
        <w:t>Four ensemble tree models were selected based on their suitability for tabular financial data:</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Model</w:t>
            </w:r>
          </w:p>
        </w:tc>
        <w:tc>
          <w:tcPr>
            <w:tcW w:type="dxa" w:w="3120"/>
            <w:vAlign w:val="top"/>
            <w:shd w:val="clear" w:color="auto" w:fill="1C2128"/>
          </w:tcPr>
          <w:p>
            <w:r>
              <w:rPr>
                <w:b/>
                <w:color w:val="FFFFFF"/>
                <w:sz w:val="18"/>
              </w:rPr>
              <w:t>Class</w:t>
            </w:r>
          </w:p>
        </w:tc>
        <w:tc>
          <w:tcPr>
            <w:tcW w:type="dxa" w:w="3120"/>
            <w:vAlign w:val="top"/>
            <w:shd w:val="clear" w:color="auto" w:fill="1C2128"/>
          </w:tcPr>
          <w:p>
            <w:r>
              <w:rPr>
                <w:b/>
                <w:color w:val="FFFFFF"/>
                <w:sz w:val="18"/>
              </w:rPr>
              <w:t>Key Properties</w:t>
            </w:r>
          </w:p>
        </w:tc>
      </w:tr>
      <w:tr>
        <w:tc>
          <w:tcPr>
            <w:tcW w:type="dxa" w:w="3120"/>
            <w:vAlign w:val="top"/>
          </w:tcPr>
          <w:p>
            <w:r>
              <w:rPr>
                <w:color w:val="1A1A2E"/>
                <w:sz w:val="18"/>
              </w:rPr>
              <w:t>XGBoost</w:t>
            </w:r>
          </w:p>
        </w:tc>
        <w:tc>
          <w:tcPr>
            <w:tcW w:type="dxa" w:w="3120"/>
            <w:vAlign w:val="top"/>
          </w:tcPr>
          <w:p>
            <w:r>
              <w:rPr>
                <w:color w:val="1A1A2E"/>
                <w:sz w:val="18"/>
              </w:rPr>
              <w:t>Gradient Boosted Trees</w:t>
            </w:r>
          </w:p>
        </w:tc>
        <w:tc>
          <w:tcPr>
            <w:tcW w:type="dxa" w:w="3120"/>
            <w:vAlign w:val="top"/>
          </w:tcPr>
          <w:p>
            <w:r>
              <w:rPr>
                <w:color w:val="1A1A2E"/>
                <w:sz w:val="18"/>
              </w:rPr>
              <w:t>Best for tabular data; feature importance; handles NaN natively</w:t>
            </w:r>
          </w:p>
        </w:tc>
      </w:tr>
      <w:tr>
        <w:tc>
          <w:tcPr>
            <w:tcW w:type="dxa" w:w="3120"/>
            <w:vAlign w:val="top"/>
          </w:tcPr>
          <w:p>
            <w:r>
              <w:rPr>
                <w:color w:val="1A1A2E"/>
                <w:sz w:val="18"/>
              </w:rPr>
              <w:t>LightGBM</w:t>
            </w:r>
          </w:p>
        </w:tc>
        <w:tc>
          <w:tcPr>
            <w:tcW w:type="dxa" w:w="3120"/>
            <w:vAlign w:val="top"/>
          </w:tcPr>
          <w:p>
            <w:r>
              <w:rPr>
                <w:color w:val="1A1A2E"/>
                <w:sz w:val="18"/>
              </w:rPr>
              <w:t>Gradient Boosted Trees</w:t>
            </w:r>
          </w:p>
        </w:tc>
        <w:tc>
          <w:tcPr>
            <w:tcW w:type="dxa" w:w="3120"/>
            <w:vAlign w:val="top"/>
          </w:tcPr>
          <w:p>
            <w:r>
              <w:rPr>
                <w:color w:val="1A1A2E"/>
                <w:sz w:val="18"/>
              </w:rPr>
              <w:t>Fastest training; leaf-wise growth; efficient on large datasets</w:t>
            </w:r>
          </w:p>
        </w:tc>
      </w:tr>
      <w:tr>
        <w:tc>
          <w:tcPr>
            <w:tcW w:type="dxa" w:w="3120"/>
            <w:vAlign w:val="top"/>
          </w:tcPr>
          <w:p>
            <w:r>
              <w:rPr>
                <w:color w:val="1A1A2E"/>
                <w:sz w:val="18"/>
              </w:rPr>
              <w:t>Random Forest</w:t>
            </w:r>
          </w:p>
        </w:tc>
        <w:tc>
          <w:tcPr>
            <w:tcW w:type="dxa" w:w="3120"/>
            <w:vAlign w:val="top"/>
          </w:tcPr>
          <w:p>
            <w:r>
              <w:rPr>
                <w:color w:val="1A1A2E"/>
                <w:sz w:val="18"/>
              </w:rPr>
              <w:t>Bagging Ensemble</w:t>
            </w:r>
          </w:p>
        </w:tc>
        <w:tc>
          <w:tcPr>
            <w:tcW w:type="dxa" w:w="3120"/>
            <w:vAlign w:val="top"/>
          </w:tcPr>
          <w:p>
            <w:r>
              <w:rPr>
                <w:color w:val="1A1A2E"/>
                <w:sz w:val="18"/>
              </w:rPr>
              <w:t>Low variance; naturally handles feature importance; no scaling needed</w:t>
            </w:r>
          </w:p>
        </w:tc>
      </w:tr>
      <w:tr>
        <w:tc>
          <w:tcPr>
            <w:tcW w:type="dxa" w:w="3120"/>
            <w:vAlign w:val="top"/>
          </w:tcPr>
          <w:p>
            <w:r>
              <w:rPr>
                <w:color w:val="1A1A2E"/>
                <w:sz w:val="18"/>
              </w:rPr>
              <w:t>Extra Trees</w:t>
            </w:r>
          </w:p>
        </w:tc>
        <w:tc>
          <w:tcPr>
            <w:tcW w:type="dxa" w:w="3120"/>
            <w:vAlign w:val="top"/>
          </w:tcPr>
          <w:p>
            <w:r>
              <w:rPr>
                <w:color w:val="1A1A2E"/>
                <w:sz w:val="18"/>
              </w:rPr>
              <w:t>Bagging Ensemble</w:t>
            </w:r>
          </w:p>
        </w:tc>
        <w:tc>
          <w:tcPr>
            <w:tcW w:type="dxa" w:w="3120"/>
            <w:vAlign w:val="top"/>
          </w:tcPr>
          <w:p>
            <w:r>
              <w:rPr>
                <w:color w:val="1A1A2E"/>
                <w:sz w:val="18"/>
              </w:rPr>
              <w:t>Highest randomization; fastest among bagging methods; good regularization</w:t>
            </w:r>
          </w:p>
        </w:tc>
      </w:tr>
    </w:tbl>
    <w:p/>
    <w:p>
      <w:pPr/>
      <w:r>
        <w:t>Deep learning models (LSTM, Transformer) were explicitly excluded from this research phase. The rationale: tree-based models are interpretable, have no scaling requirements, handle mixed feature types well, require no gradient normalization, and have proven superior on tabular data benchmarks (e.g., Kaggle tabular competitions). A future improvement item exists for neural network comparison.</w:t>
      </w:r>
    </w:p>
    <w:p>
      <w:pPr>
        <w:pStyle w:val="Heading3"/>
      </w:pPr>
      <w:r>
        <w:t>9.2 Model Wrappers</w:t>
      </w:r>
    </w:p>
    <w:p>
      <w:pPr/>
      <w:r>
        <w:t>All models are wrapped in a unified scikit-learn compatible interface that:</w:t>
      </w:r>
    </w:p>
    <w:p>
      <w:pPr>
        <w:ind w:left="360"/>
      </w:pPr>
      <w:r>
        <w:t>• Accepts 247 numeric features</w:t>
      </w:r>
    </w:p>
    <w:p>
      <w:pPr>
        <w:ind w:left="360"/>
      </w:pPr>
      <w:r>
        <w:t xml:space="preserve">• Outputs class probabilities via </w:t>
      </w:r>
      <w:r>
        <w:rPr>
          <w:rFonts w:ascii="Consolas" w:hAnsi="Consolas"/>
          <w:color w:val="2E863A"/>
          <w:sz w:val="19"/>
        </w:rPr>
        <w:t>predict_proba()</w:t>
      </w:r>
    </w:p>
    <w:p>
      <w:pPr>
        <w:ind w:left="360"/>
      </w:pPr>
      <w:r>
        <w:t xml:space="preserve">• Returns class labels {0, 1, 2} via </w:t>
      </w:r>
      <w:r>
        <w:rPr>
          <w:rFonts w:ascii="Consolas" w:hAnsi="Consolas"/>
          <w:color w:val="2E863A"/>
          <w:sz w:val="19"/>
        </w:rPr>
        <w:t>predict()</w:t>
      </w:r>
    </w:p>
    <w:p>
      <w:pPr>
        <w:ind w:left="360"/>
      </w:pPr>
      <w:r>
        <w:t>• Stores training metadata (n_estimators, hyperparameters, feature importances)</w:t>
      </w:r>
    </w:p>
    <w:p>
      <w:pPr>
        <w:pStyle w:val="Heading3"/>
      </w:pPr>
      <w:r>
        <w:t>9.3 XGBoost — Best Model</w:t>
      </w:r>
    </w:p>
    <w:p>
      <w:pPr/>
      <w:r>
        <w:t xml:space="preserve">XGBoost (eXtreme Gradient Boosting) was selected as the best model with a walk-forward ranking score of </w:t>
      </w:r>
      <w:r>
        <w:rPr>
          <w:b/>
        </w:rPr>
        <w:t>0.7802</w:t>
      </w:r>
      <w:r>
        <w:t>.</w:t>
      </w:r>
    </w:p>
    <w:p>
      <w:pPr/>
      <w:r>
        <w:rPr>
          <w:b/>
        </w:rPr>
        <w:t>Architecture in production (best bundle):</w:t>
      </w:r>
    </w:p>
    <w:p>
      <w:pPr>
        <w:ind w:left="360"/>
      </w:pPr>
      <w:r>
        <w:t xml:space="preserve">• Algorithm: </w:t>
      </w:r>
      <w:r>
        <w:rPr>
          <w:rFonts w:ascii="Consolas" w:hAnsi="Consolas"/>
          <w:color w:val="2E863A"/>
          <w:sz w:val="19"/>
        </w:rPr>
        <w:t>gbtree</w:t>
      </w:r>
      <w:r>
        <w:t xml:space="preserve"> (gradient boosted trees)</w:t>
      </w:r>
    </w:p>
    <w:p>
      <w:pPr>
        <w:ind w:left="360"/>
      </w:pPr>
      <w:r>
        <w:t xml:space="preserve">• Objective: </w:t>
      </w:r>
      <w:r>
        <w:rPr>
          <w:rFonts w:ascii="Consolas" w:hAnsi="Consolas"/>
          <w:color w:val="2E863A"/>
          <w:sz w:val="19"/>
        </w:rPr>
        <w:t>multi:softprob</w:t>
      </w:r>
      <w:r>
        <w:t xml:space="preserve"> (multi-class with probabilities)</w:t>
      </w:r>
    </w:p>
    <w:p>
      <w:pPr>
        <w:ind w:left="360"/>
      </w:pPr>
      <w:r>
        <w:t>• Number of trees: 414 (n_estimators × 1 boosting round per tree)</w:t>
      </w:r>
    </w:p>
    <w:p>
      <w:pPr>
        <w:ind w:left="360"/>
      </w:pPr>
      <w:r>
        <w:t>• Max depth: Optimized by Optuna</w:t>
      </w:r>
    </w:p>
    <w:p>
      <w:pPr>
        <w:ind w:left="360"/>
      </w:pPr>
      <w:r>
        <w:t>• Learning rate (eta): Optimized by Optuna</w:t>
      </w:r>
    </w:p>
    <w:p>
      <w:pPr>
        <w:ind w:left="360"/>
      </w:pPr>
      <w:r>
        <w:t>• Column sample by tree: Optimized by Optuna</w:t>
      </w:r>
    </w:p>
    <w:p>
      <w:pPr>
        <w:ind w:left="360"/>
      </w:pPr>
      <w:r>
        <w:t>• Subsample: Optimized by Optuna</w:t>
      </w:r>
    </w:p>
    <w:p>
      <w:pPr>
        <w:ind w:left="360"/>
      </w:pPr>
      <w:r>
        <w:t>• L1 regularization (alpha): Optimized by Optuna</w:t>
      </w:r>
    </w:p>
    <w:p>
      <w:pPr>
        <w:ind w:left="360"/>
      </w:pPr>
      <w:r>
        <w:t>• L2 regularization (lambda): Optimized by Optuna</w:t>
      </w:r>
    </w:p>
    <w:p>
      <w:pPr>
        <w:ind w:left="360"/>
      </w:pPr>
      <w:r>
        <w:t>• Class weights: Balanced (computed from training set class distribution)</w:t>
      </w:r>
    </w:p>
    <w:p>
      <w:pPr>
        <w:ind w:left="360"/>
      </w:pPr>
      <w:r>
        <w:t>• Random seed: 42</w:t>
      </w:r>
    </w:p>
    <w:p>
      <w:pPr>
        <w:pStyle w:val="Heading3"/>
      </w:pPr>
      <w:r>
        <w:t>9.4 Feature Importance</w:t>
      </w:r>
    </w:p>
    <w:p>
      <w:pPr/>
      <w:r>
        <w:t xml:space="preserve">XGBoost provides feature importance via three methods. The most reliable for financial data is </w:t>
      </w:r>
      <w:r>
        <w:rPr>
          <w:b/>
        </w:rPr>
        <w:t>gain</w:t>
      </w:r>
      <w:r>
        <w:t xml:space="preserve"> (average improvement in loss per split). Top-ranked features by gain typically include:</w:t>
      </w:r>
    </w:p>
    <w:p>
      <w:pPr>
        <w:ind w:left="360"/>
      </w:pPr>
      <w:r>
        <w:t xml:space="preserve">• </w:t>
      </w:r>
      <w:r>
        <w:rPr>
          <w:rFonts w:ascii="Consolas" w:hAnsi="Consolas"/>
          <w:color w:val="2E863A"/>
          <w:sz w:val="19"/>
        </w:rPr>
        <w:t>target_direction</w:t>
      </w:r>
      <w:r>
        <w:t xml:space="preserve"> — Liquidity magnet target direction</w:t>
      </w:r>
    </w:p>
    <w:p>
      <w:pPr>
        <w:ind w:left="360"/>
      </w:pPr>
      <w:r>
        <w:t xml:space="preserve">• </w:t>
      </w:r>
      <w:r>
        <w:rPr>
          <w:rFonts w:ascii="Consolas" w:hAnsi="Consolas"/>
          <w:color w:val="2E863A"/>
          <w:sz w:val="19"/>
        </w:rPr>
        <w:t>magnet_score</w:t>
      </w:r>
      <w:r>
        <w:t xml:space="preserve"> — Composite liquidity attractiveness score</w:t>
      </w:r>
    </w:p>
    <w:p>
      <w:pPr>
        <w:ind w:left="360"/>
      </w:pPr>
      <w:r>
        <w:t xml:space="preserve">• </w:t>
      </w:r>
      <w:r>
        <w:rPr>
          <w:rFonts w:ascii="Consolas" w:hAnsi="Consolas"/>
          <w:color w:val="2E863A"/>
          <w:sz w:val="19"/>
        </w:rPr>
        <w:t>structure_bias</w:t>
      </w:r>
      <w:r>
        <w:t xml:space="preserve"> — BOS/CHoCH composite structural bias</w:t>
      </w:r>
    </w:p>
    <w:p>
      <w:pPr>
        <w:ind w:left="360"/>
      </w:pPr>
      <w:r>
        <w:t xml:space="preserve">• </w:t>
      </w:r>
      <w:r>
        <w:rPr>
          <w:rFonts w:ascii="Consolas" w:hAnsi="Consolas"/>
          <w:color w:val="2E863A"/>
          <w:sz w:val="19"/>
        </w:rPr>
        <w:t>pd_ratio</w:t>
      </w:r>
      <w:r>
        <w:t xml:space="preserve"> — Premium/Discount ratio (price position in range)</w:t>
      </w:r>
    </w:p>
    <w:p>
      <w:pPr>
        <w:ind w:left="360"/>
      </w:pPr>
      <w:r>
        <w:t xml:space="preserve">• </w:t>
      </w:r>
      <w:r>
        <w:rPr>
          <w:rFonts w:ascii="Consolas" w:hAnsi="Consolas"/>
          <w:color w:val="2E863A"/>
          <w:sz w:val="19"/>
        </w:rPr>
        <w:t>trend</w:t>
      </w:r>
      <w:r>
        <w:t xml:space="preserve"> — Market structure trend direction</w:t>
      </w:r>
    </w:p>
    <w:p>
      <w:pPr>
        <w:ind w:left="360"/>
      </w:pPr>
      <w:r>
        <w:t xml:space="preserve">• </w:t>
      </w:r>
      <w:r>
        <w:rPr>
          <w:rFonts w:ascii="Consolas" w:hAnsi="Consolas"/>
          <w:color w:val="2E863A"/>
          <w:sz w:val="19"/>
        </w:rPr>
        <w:t>hurst</w:t>
      </w:r>
      <w:r>
        <w:t xml:space="preserve"> — Hurst exponent (regime type)</w:t>
      </w:r>
    </w:p>
    <w:p>
      <w:pPr>
        <w:ind w:left="360"/>
      </w:pPr>
      <w:r>
        <w:t xml:space="preserve">• </w:t>
      </w:r>
      <w:r>
        <w:rPr>
          <w:rFonts w:ascii="Consolas" w:hAnsi="Consolas"/>
          <w:color w:val="2E863A"/>
          <w:sz w:val="19"/>
        </w:rPr>
        <w:t>atr</w:t>
      </w:r>
      <w:r>
        <w:t xml:space="preserve"> — Average True Range (volatility baseline)</w:t>
      </w:r>
    </w:p>
    <w:p>
      <w:pPr>
        <w:ind w:left="360"/>
      </w:pPr>
      <w:r>
        <w:t xml:space="preserve">• </w:t>
      </w:r>
      <w:r>
        <w:rPr>
          <w:rFonts w:ascii="Consolas" w:hAnsi="Consolas"/>
          <w:color w:val="2E863A"/>
          <w:sz w:val="19"/>
        </w:rPr>
        <w:t>macd_histogram</w:t>
      </w:r>
      <w:r>
        <w:t xml:space="preserve"> — Momentum histogram</w:t>
      </w:r>
    </w:p>
    <w:p>
      <w:pPr/>
      <w:r>
        <w:t>This ranking confirms the hypothesis that ICT/SMC-derived features carry the highest predictive signal, with traditional technical indicators providing secondary support.</w:t>
      </w:r>
    </w:p>
    <w:p>
      <w:pPr>
        <w:pStyle w:val="Heading3"/>
      </w:pPr>
      <w:r>
        <w:t>9.5 Preprocessing Pipeline</w:t>
      </w:r>
    </w:p>
    <w:p>
      <w:pPr/>
      <w:r>
        <w:t xml:space="preserve">Each model bundle includes a </w:t>
      </w:r>
      <w:r>
        <w:rPr>
          <w:rFonts w:ascii="Consolas" w:hAnsi="Consolas"/>
          <w:color w:val="2E863A"/>
          <w:sz w:val="19"/>
        </w:rPr>
        <w:t>ColumnImputer</w:t>
      </w:r>
      <w:r>
        <w:t xml:space="preserve"> preprocessing step:</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class ColumnImputer(BaseEstimator, TransformerMixin):</w:t>
        <w:br/>
        <w:t xml:space="preserve">    """Column-wise median imputer that skips non-numeric columns."""</w:t>
        <w:br/>
        <w:t xml:space="preserve">    </w:t>
        <w:br/>
        <w:t xml:space="preserve">    def fit(self, X, y=None):</w:t>
        <w:br/>
        <w:t xml:space="preserve">        self.medians_ = {}</w:t>
        <w:br/>
        <w:t xml:space="preserve">        for col in X.columns:</w:t>
        <w:br/>
        <w:t xml:space="preserve">            if pd.api.types.is_numeric_dtype(X[col]):</w:t>
        <w:br/>
        <w:t xml:space="preserve">                self.medians_[col] = X[col].median()</w:t>
        <w:br/>
        <w:t xml:space="preserve">        return self</w:t>
        <w:br/>
        <w:t xml:space="preserve">    </w:t>
        <w:br/>
        <w:t xml:space="preserve">    def transform(self, X):</w:t>
        <w:br/>
        <w:t xml:space="preserve">        X = X.copy()</w:t>
        <w:br/>
        <w:t xml:space="preserve">        for col, median in self.medians_.items():</w:t>
        <w:br/>
        <w:t xml:space="preserve">            X[col] = X[col].fillna(median)</w:t>
        <w:br/>
        <w:t xml:space="preserve">        return X</w:t>
      </w:r>
    </w:p>
    <w:p>
      <w:pPr/>
      <w:r>
        <w:t xml:space="preserve">The imputer is fitted on the training set and stored in </w:t>
      </w:r>
      <w:r>
        <w:rPr>
          <w:rFonts w:ascii="Consolas" w:hAnsi="Consolas"/>
          <w:color w:val="2E863A"/>
          <w:sz w:val="19"/>
        </w:rPr>
        <w:t>preprocessing.joblib</w:t>
      </w:r>
      <w:r>
        <w:t>. At inference time, the same medians are applied to incoming features before prediction, ensuring consistent handling of any missing values in live data.</w:t>
      </w:r>
    </w:p>
    <w:p>
      <w:pPr>
        <w:pStyle w:val="Heading2"/>
      </w:pPr>
      <w:r>
        <w:t>10. Hyperparameter Optimization</w:t>
      </w:r>
    </w:p>
    <w:p>
      <w:pPr>
        <w:pStyle w:val="Heading3"/>
      </w:pPr>
      <w:r>
        <w:t>10.1 Framework</w:t>
      </w:r>
    </w:p>
    <w:p>
      <w:pPr/>
      <w:r>
        <w:t xml:space="preserve">Hyperparameter optimization uses </w:t>
      </w:r>
      <w:r>
        <w:rPr>
          <w:b/>
        </w:rPr>
        <w:t>Optuna</w:t>
      </w:r>
      <w:r>
        <w:t xml:space="preserve"> with the </w:t>
      </w:r>
      <w:r>
        <w:rPr>
          <w:b/>
        </w:rPr>
        <w:t>Tree-structured Parzen Estimator (TPE)</w:t>
      </w:r>
      <w:r>
        <w:t xml:space="preserve"> sampler — a Bayesian optimization method that models the distribution of good vs. bad hyperparameter configurations and samples from the good-parameter distribution.</w:t>
      </w:r>
    </w:p>
    <w:p>
      <w:pPr>
        <w:pStyle w:val="Heading3"/>
      </w:pPr>
      <w:r>
        <w:t>10.2 Study Structure</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For each window (6 windows):</w:t>
        <w:br/>
        <w:t xml:space="preserve">    For each model (4 models):</w:t>
        <w:br/>
        <w:t xml:space="preserve">        Create Optuna study (minimize → maximize F1)</w:t>
        <w:br/>
        <w:t xml:space="preserve">        Run 25 trials:</w:t>
        <w:br/>
        <w:t xml:space="preserve">            Trial i:</w:t>
        <w:br/>
        <w:t xml:space="preserve">                1. Optuna suggests hyperparameter configuration</w:t>
        <w:br/>
        <w:t xml:space="preserve">                2. Model trained on window's train split</w:t>
        <w:br/>
        <w:t xml:space="preserve">                3. Validated on window's val split</w:t>
        <w:br/>
        <w:t xml:space="preserve">                4. F1 score (weighted) computed</w:t>
        <w:br/>
        <w:t xml:space="preserve">                5. Score returned to Optuna</w:t>
        <w:br/>
        <w:t xml:space="preserve">        Save best-trial model as bundle</w:t>
      </w:r>
    </w:p>
    <w:p>
      <w:pPr/>
      <w:r>
        <w:t xml:space="preserve">Total: </w:t>
      </w:r>
      <w:r>
        <w:rPr>
          <w:b/>
        </w:rPr>
        <w:t>6 × 4 × 25 = 600 model fits</w:t>
      </w:r>
    </w:p>
    <w:p>
      <w:pPr>
        <w:pStyle w:val="Heading3"/>
      </w:pPr>
      <w:r>
        <w:t>10.3 Hyperparameter Search Spaces</w:t>
      </w:r>
    </w:p>
    <w:p>
      <w:pPr>
        <w:pStyle w:val="Heading4"/>
      </w:pPr>
      <w:r>
        <w:t>XGBoost</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n_estimators:       [50, 500]       (int, log-uniform)</w:t>
        <w:br/>
        <w:t>max_depth:          [3, 10]         (int)</w:t>
        <w:br/>
        <w:t>learning_rate:      [0.01, 0.3]     (float, log-uniform)</w:t>
        <w:br/>
        <w:t>subsample:          [0.5, 1.0]      (float)</w:t>
        <w:br/>
        <w:t>colsample_bytree:   [0.5, 1.0]      (float)</w:t>
        <w:br/>
        <w:t>reg_alpha:          [1e-8, 10.0]    (float, log-uniform)</w:t>
        <w:br/>
        <w:t>reg_lambda:         [1e-8, 10.0]    (float, log-uniform)</w:t>
        <w:br/>
        <w:t>min_child_weight:   [1, 10]         (int)</w:t>
        <w:br/>
        <w:t>gamma:              [0.0, 5.0]      (float)</w:t>
      </w:r>
    </w:p>
    <w:p>
      <w:pPr>
        <w:pStyle w:val="Heading4"/>
      </w:pPr>
      <w:r>
        <w:t>LightGBM</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n_estimators:       [50, 500]       (int, log-uniform)</w:t>
        <w:br/>
        <w:t>max_depth:          [3, 12]         (int)</w:t>
        <w:br/>
        <w:t>learning_rate:      [0.01, 0.3]     (float, log-uniform)</w:t>
        <w:br/>
        <w:t>num_leaves:         [15, 300]       (int)</w:t>
        <w:br/>
        <w:t>subsample:          [0.5, 1.0]      (float)</w:t>
        <w:br/>
        <w:t>colsample_bytree:   [0.5, 1.0]      (float)</w:t>
        <w:br/>
        <w:t>reg_alpha:          [1e-8, 10.0]    (float, log-uniform)</w:t>
        <w:br/>
        <w:t>reg_lambda:         [1e-8, 10.0]    (float, log-uniform)</w:t>
        <w:br/>
        <w:t>min_child_samples:  [5, 100]        (int)</w:t>
      </w:r>
    </w:p>
    <w:p>
      <w:pPr>
        <w:pStyle w:val="Heading4"/>
      </w:pPr>
      <w:r>
        <w:t>Random Forest / Extra Trees</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n_estimators:       [50, 500]       (int, log-uniform)</w:t>
        <w:br/>
        <w:t>max_depth:          [None, 3, 30]   (categorical + int)</w:t>
        <w:br/>
        <w:t>min_samples_split:  [2, 20]         (int)</w:t>
        <w:br/>
        <w:t>min_samples_leaf:   [1, 10]         (int)</w:t>
        <w:br/>
        <w:t>max_features:       ['sqrt', 'log2', 0.5] (categorical + float)</w:t>
      </w:r>
    </w:p>
    <w:p>
      <w:pPr>
        <w:pStyle w:val="Heading3"/>
      </w:pPr>
      <w:r>
        <w:t>10.4 Optimization Metric</w:t>
      </w:r>
    </w:p>
    <w:p>
      <w:pPr/>
      <w:r>
        <w:t xml:space="preserve">The optimization objective is </w:t>
      </w:r>
      <w:r>
        <w:rPr>
          <w:b/>
        </w:rPr>
        <w:t>weighted F1 score</w:t>
      </w:r>
      <w:r>
        <w:t xml:space="preserve"> on the validation split:</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score = f1_score(y_val, model.predict(X_val), average='weighted')</w:t>
      </w:r>
    </w:p>
    <w:p>
      <w:pPr/>
      <w:r>
        <w:t>Weighted F1 is chosen over accuracy because it accounts for class imbalance (even though classes are approximately balanced, F1 is more sensitive to minority-class performance during regime-specific windows where class balance may shift).</w:t>
      </w:r>
    </w:p>
    <w:p>
      <w:pPr>
        <w:pStyle w:val="Heading3"/>
      </w:pPr>
      <w:r>
        <w:t>10.5 Study Results Summary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top"/>
            <w:shd w:val="clear" w:color="auto" w:fill="1C2128"/>
          </w:tcPr>
          <w:p>
            <w:r>
              <w:rPr>
                <w:b/>
                <w:color w:val="FFFFFF"/>
                <w:sz w:val="18"/>
              </w:rPr>
              <w:t>Model</w:t>
            </w:r>
          </w:p>
        </w:tc>
        <w:tc>
          <w:tcPr>
            <w:tcW w:type="dxa" w:w="1872"/>
            <w:vAlign w:val="top"/>
            <w:shd w:val="clear" w:color="auto" w:fill="1C2128"/>
          </w:tcPr>
          <w:p>
            <w:r>
              <w:rPr>
                <w:b/>
                <w:color w:val="FFFFFF"/>
                <w:sz w:val="18"/>
              </w:rPr>
              <w:t>Windows</w:t>
            </w:r>
          </w:p>
        </w:tc>
        <w:tc>
          <w:tcPr>
            <w:tcW w:type="dxa" w:w="1872"/>
            <w:vAlign w:val="top"/>
            <w:shd w:val="clear" w:color="auto" w:fill="1C2128"/>
          </w:tcPr>
          <w:p>
            <w:r>
              <w:rPr>
                <w:b/>
                <w:color w:val="FFFFFF"/>
                <w:sz w:val="18"/>
              </w:rPr>
              <w:t>Mean Val F1</w:t>
            </w:r>
          </w:p>
        </w:tc>
        <w:tc>
          <w:tcPr>
            <w:tcW w:type="dxa" w:w="1872"/>
            <w:vAlign w:val="top"/>
            <w:shd w:val="clear" w:color="auto" w:fill="1C2128"/>
          </w:tcPr>
          <w:p>
            <w:r>
              <w:rPr>
                <w:b/>
                <w:color w:val="FFFFFF"/>
                <w:sz w:val="18"/>
              </w:rPr>
              <w:t>Best Val F1</w:t>
            </w:r>
          </w:p>
        </w:tc>
        <w:tc>
          <w:tcPr>
            <w:tcW w:type="dxa" w:w="1872"/>
            <w:vAlign w:val="top"/>
            <w:shd w:val="clear" w:color="auto" w:fill="1C2128"/>
          </w:tcPr>
          <w:p>
            <w:r>
              <w:rPr>
                <w:b/>
                <w:color w:val="FFFFFF"/>
                <w:sz w:val="18"/>
              </w:rPr>
              <w:t>Ranking Score</w:t>
            </w:r>
          </w:p>
        </w:tc>
      </w:tr>
      <w:tr>
        <w:tc>
          <w:tcPr>
            <w:tcW w:type="dxa" w:w="1872"/>
            <w:vAlign w:val="top"/>
          </w:tcPr>
          <w:p>
            <w:r>
              <w:rPr>
                <w:color w:val="1A1A2E"/>
                <w:sz w:val="18"/>
              </w:rPr>
              <w:t>XGBoost</w:t>
            </w:r>
          </w:p>
        </w:tc>
        <w:tc>
          <w:tcPr>
            <w:tcW w:type="dxa" w:w="1872"/>
            <w:vAlign w:val="top"/>
          </w:tcPr>
          <w:p>
            <w:r>
              <w:rPr>
                <w:color w:val="1A1A2E"/>
                <w:sz w:val="18"/>
              </w:rPr>
              <w:t>6</w:t>
            </w:r>
          </w:p>
        </w:tc>
        <w:tc>
          <w:tcPr>
            <w:tcW w:type="dxa" w:w="1872"/>
            <w:vAlign w:val="top"/>
          </w:tcPr>
          <w:p>
            <w:r>
              <w:rPr>
                <w:color w:val="1A1A2E"/>
                <w:sz w:val="18"/>
              </w:rPr>
              <w:t>See validation</w:t>
            </w:r>
          </w:p>
        </w:tc>
        <w:tc>
          <w:tcPr>
            <w:tcW w:type="dxa" w:w="1872"/>
            <w:vAlign w:val="top"/>
          </w:tcPr>
          <w:p>
            <w:r>
              <w:rPr>
                <w:color w:val="1A1A2E"/>
                <w:sz w:val="18"/>
              </w:rPr>
              <w:t>—</w:t>
            </w:r>
          </w:p>
        </w:tc>
        <w:tc>
          <w:tcPr>
            <w:tcW w:type="dxa" w:w="1872"/>
            <w:vAlign w:val="top"/>
          </w:tcPr>
          <w:p>
            <w:r>
              <w:rPr>
                <w:color w:val="1A1A2E"/>
                <w:sz w:val="18"/>
              </w:rPr>
              <w:t>0.7802</w:t>
            </w:r>
          </w:p>
        </w:tc>
      </w:tr>
      <w:tr>
        <w:tc>
          <w:tcPr>
            <w:tcW w:type="dxa" w:w="1872"/>
            <w:vAlign w:val="top"/>
          </w:tcPr>
          <w:p>
            <w:r>
              <w:rPr>
                <w:color w:val="1A1A2E"/>
                <w:sz w:val="18"/>
              </w:rPr>
              <w:t>LightGBM</w:t>
            </w:r>
          </w:p>
        </w:tc>
        <w:tc>
          <w:tcPr>
            <w:tcW w:type="dxa" w:w="1872"/>
            <w:vAlign w:val="top"/>
          </w:tcPr>
          <w:p>
            <w:r>
              <w:rPr>
                <w:color w:val="1A1A2E"/>
                <w:sz w:val="18"/>
              </w:rPr>
              <w:t>6</w:t>
            </w:r>
          </w:p>
        </w:tc>
        <w:tc>
          <w:tcPr>
            <w:tcW w:type="dxa" w:w="1872"/>
            <w:vAlign w:val="top"/>
          </w:tcPr>
          <w:p>
            <w:r>
              <w:rPr>
                <w:color w:val="1A1A2E"/>
                <w:sz w:val="18"/>
              </w:rPr>
              <w:t>See validation</w:t>
            </w:r>
          </w:p>
        </w:tc>
        <w:tc>
          <w:tcPr>
            <w:tcW w:type="dxa" w:w="1872"/>
            <w:vAlign w:val="top"/>
          </w:tcPr>
          <w:p>
            <w:r>
              <w:rPr>
                <w:color w:val="1A1A2E"/>
                <w:sz w:val="18"/>
              </w:rPr>
              <w:t>—</w:t>
            </w:r>
          </w:p>
        </w:tc>
        <w:tc>
          <w:tcPr>
            <w:tcW w:type="dxa" w:w="1872"/>
            <w:vAlign w:val="top"/>
          </w:tcPr>
          <w:p>
            <w:r>
              <w:rPr>
                <w:color w:val="1A1A2E"/>
                <w:sz w:val="18"/>
              </w:rPr>
              <w:t>0.7687</w:t>
            </w:r>
          </w:p>
        </w:tc>
      </w:tr>
      <w:tr>
        <w:tc>
          <w:tcPr>
            <w:tcW w:type="dxa" w:w="1872"/>
            <w:vAlign w:val="top"/>
          </w:tcPr>
          <w:p>
            <w:r>
              <w:rPr>
                <w:color w:val="1A1A2E"/>
                <w:sz w:val="18"/>
              </w:rPr>
              <w:t>Random Forest</w:t>
            </w:r>
          </w:p>
        </w:tc>
        <w:tc>
          <w:tcPr>
            <w:tcW w:type="dxa" w:w="1872"/>
            <w:vAlign w:val="top"/>
          </w:tcPr>
          <w:p>
            <w:r>
              <w:rPr>
                <w:color w:val="1A1A2E"/>
                <w:sz w:val="18"/>
              </w:rPr>
              <w:t>6</w:t>
            </w:r>
          </w:p>
        </w:tc>
        <w:tc>
          <w:tcPr>
            <w:tcW w:type="dxa" w:w="1872"/>
            <w:vAlign w:val="top"/>
          </w:tcPr>
          <w:p>
            <w:r>
              <w:rPr>
                <w:color w:val="1A1A2E"/>
                <w:sz w:val="18"/>
              </w:rPr>
              <w:t>See validation</w:t>
            </w:r>
          </w:p>
        </w:tc>
        <w:tc>
          <w:tcPr>
            <w:tcW w:type="dxa" w:w="1872"/>
            <w:vAlign w:val="top"/>
          </w:tcPr>
          <w:p>
            <w:r>
              <w:rPr>
                <w:color w:val="1A1A2E"/>
                <w:sz w:val="18"/>
              </w:rPr>
              <w:t>—</w:t>
            </w:r>
          </w:p>
        </w:tc>
        <w:tc>
          <w:tcPr>
            <w:tcW w:type="dxa" w:w="1872"/>
            <w:vAlign w:val="top"/>
          </w:tcPr>
          <w:p>
            <w:r>
              <w:rPr>
                <w:color w:val="1A1A2E"/>
                <w:sz w:val="18"/>
              </w:rPr>
              <w:t>0.7366</w:t>
            </w:r>
          </w:p>
        </w:tc>
      </w:tr>
      <w:tr>
        <w:tc>
          <w:tcPr>
            <w:tcW w:type="dxa" w:w="1872"/>
            <w:vAlign w:val="top"/>
          </w:tcPr>
          <w:p>
            <w:r>
              <w:rPr>
                <w:color w:val="1A1A2E"/>
                <w:sz w:val="18"/>
              </w:rPr>
              <w:t>Extra Trees</w:t>
            </w:r>
          </w:p>
        </w:tc>
        <w:tc>
          <w:tcPr>
            <w:tcW w:type="dxa" w:w="1872"/>
            <w:vAlign w:val="top"/>
          </w:tcPr>
          <w:p>
            <w:r>
              <w:rPr>
                <w:color w:val="1A1A2E"/>
                <w:sz w:val="18"/>
              </w:rPr>
              <w:t>6</w:t>
            </w:r>
          </w:p>
        </w:tc>
        <w:tc>
          <w:tcPr>
            <w:tcW w:type="dxa" w:w="1872"/>
            <w:vAlign w:val="top"/>
          </w:tcPr>
          <w:p>
            <w:r>
              <w:rPr>
                <w:color w:val="1A1A2E"/>
                <w:sz w:val="18"/>
              </w:rPr>
              <w:t>See validation</w:t>
            </w:r>
          </w:p>
        </w:tc>
        <w:tc>
          <w:tcPr>
            <w:tcW w:type="dxa" w:w="1872"/>
            <w:vAlign w:val="top"/>
          </w:tcPr>
          <w:p>
            <w:r>
              <w:rPr>
                <w:color w:val="1A1A2E"/>
                <w:sz w:val="18"/>
              </w:rPr>
              <w:t>—</w:t>
            </w:r>
          </w:p>
        </w:tc>
        <w:tc>
          <w:tcPr>
            <w:tcW w:type="dxa" w:w="1872"/>
            <w:vAlign w:val="top"/>
          </w:tcPr>
          <w:p>
            <w:r>
              <w:rPr>
                <w:color w:val="1A1A2E"/>
                <w:sz w:val="18"/>
              </w:rPr>
              <w:t>0.7330</w:t>
            </w:r>
          </w:p>
        </w:tc>
      </w:tr>
    </w:tbl>
    <w:p/>
    <w:p>
      <w:pPr/>
      <w:r>
        <w:t>Note: The training_metrics.json val_score field recorded 0.0 in the bundle files due to a serialization timing issue during the Optuna callback. The true validation performance is captured by the Stage 6 walk-forward validation pipeline which re-evaluates each bundle on its test split.</w:t>
      </w:r>
    </w:p>
    <w:p>
      <w:pPr>
        <w:pStyle w:val="Heading3"/>
      </w:pPr>
      <w:r>
        <w:t>10.6 Bundle Format</w:t>
      </w:r>
    </w:p>
    <w:p>
      <w:pPr/>
      <w:r>
        <w:t>Each completed Optuna study saves a self-contained bundle directory:</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models/window_NNN/{model_name}/bundle/</w:t>
        <w:br/>
        <w:t>├── model.joblib              # Serialized sklearn-compatible model</w:t>
        <w:br/>
        <w:t>├── preprocessing.joblib      # Fitted ColumnImputer</w:t>
        <w:br/>
        <w:t>├── inference_config.json     # Feature schema, n_classes, task_type</w:t>
        <w:br/>
        <w:t>├── feature_order.json        # Ordered list of 247 feature column names</w:t>
        <w:br/>
        <w:t>├── training_metrics.json     # Best trial metrics</w:t>
        <w:br/>
        <w:t>├── optimization_results.json # Full 25-trial history</w:t>
        <w:br/>
        <w:t>├── pipeline_manifest.json    # Manifest with SHA-256 hashes</w:t>
        <w:br/>
        <w:t>├── model_metadata.json       # Model class, params, feature importance</w:t>
        <w:br/>
        <w:t>├── data_metadata.json        # Dataset stats, date range</w:t>
        <w:br/>
        <w:t>└── experiment_config.json    # Full config used for training</w:t>
      </w:r>
    </w:p>
    <w:p>
      <w:pPr>
        <w:pStyle w:val="Heading2"/>
      </w:pPr>
      <w:r>
        <w:t>11. Walk-Forward Validation</w:t>
      </w:r>
    </w:p>
    <w:p>
      <w:pPr>
        <w:pStyle w:val="Heading3"/>
      </w:pPr>
      <w:r>
        <w:t>11.1 Design Philosophy</w:t>
      </w:r>
    </w:p>
    <w:p>
      <w:pPr/>
      <w:r>
        <w:t xml:space="preserve">Walk-forward validation is the gold standard for evaluating time-series machine learning models. Unlike k-fold cross-validation (which would allow future data to train past predictions), walk-forward validation ensures the model is always evaluated on data it has never seen and that occurs </w:t>
      </w:r>
      <w:r>
        <w:rPr>
          <w:b/>
        </w:rPr>
        <w:t>after</w:t>
      </w:r>
      <w:r>
        <w:t xml:space="preserve"> the training period — mirroring actual deployment conditions.</w:t>
      </w:r>
    </w:p>
    <w:p>
      <w:pPr>
        <w:pStyle w:val="Heading3"/>
      </w:pPr>
      <w:r>
        <w:t>11.2 Window Configuration</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Walk-Forward Parameters:</w:t>
        <w:br/>
        <w:t xml:space="preserve">  Train window:  18 months</w:t>
        <w:br/>
        <w:t xml:space="preserve">  Val window:    6 months</w:t>
        <w:br/>
        <w:t xml:space="preserve">  Test window:   3 months</w:t>
        <w:br/>
        <w:t xml:space="preserve">  Step size:     3 months</w:t>
        <w:br/>
        <w:br/>
        <w:t>Dataset: 87,503 M15 bars (≈ 3 years, 2022–2025)</w:t>
        <w:br/>
        <w:t>Windows: 6 non-overlapping test periods</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Window 000: Train [Jan 2022 – Jun 2023] | Val [Jul 2023 – Dec 2023] | Test [Jan 2024 – Mar 2024]</w:t>
        <w:br/>
        <w:t>Window 001: Train [Apr 2022 – Sep 2023] | Val [Oct 2023 – Mar 2024] | Test [Apr 2024 – Jun 2024]</w:t>
        <w:br/>
        <w:t>Window 002: Train [Jul 2022 – Dec 2023] | Val [Jan 2024 – Jun 2024] | Test [Jul 2024 – Sep 2024]</w:t>
        <w:br/>
        <w:t>Window 003: Train [Oct 2022 – Mar 2024] | Val [Apr 2024 – Sep 2024] | Test [Oct 2024 – Dec 2024]</w:t>
        <w:br/>
        <w:t>Window 004: Train [Jan 2023 – Jun 2024] | Val [Jul 2024 – Dec 2024] | Test [Jan 2025 – Mar 2025]</w:t>
        <w:br/>
        <w:t>Window 005: Train [Apr 2023 – Sep 2024] | Val [Oct 2024 – Mar 2025] | Test [Apr 2025 – Jun 2025]</w:t>
      </w:r>
    </w:p>
    <w:p>
      <w:pPr/>
      <w:r>
        <w:t>Window 000 row counts:</w:t>
      </w:r>
    </w:p>
    <w:p>
      <w:pPr>
        <w:ind w:left="360"/>
      </w:pPr>
      <w:r>
        <w:t>• Train: 37,537 rows</w:t>
      </w:r>
    </w:p>
    <w:p>
      <w:pPr>
        <w:ind w:left="360"/>
      </w:pPr>
      <w:r>
        <w:t>• Val: 12,379 rows</w:t>
      </w:r>
    </w:p>
    <w:p>
      <w:pPr>
        <w:ind w:left="360"/>
      </w:pPr>
      <w:r>
        <w:t>• Test: 6,215 rows</w:t>
      </w:r>
    </w:p>
    <w:p>
      <w:pPr>
        <w:pStyle w:val="Heading3"/>
      </w:pPr>
      <w:r>
        <w:t>11.3 Validation Metrics</w:t>
      </w:r>
    </w:p>
    <w:p>
      <w:pPr/>
      <w:r>
        <w:t>For each model, the validation pipeline evaluates performance across all 6 test windows: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Metric</w:t>
            </w:r>
          </w:p>
        </w:tc>
        <w:tc>
          <w:tcPr>
            <w:tcW w:type="dxa" w:w="3120"/>
            <w:vAlign w:val="top"/>
            <w:shd w:val="clear" w:color="auto" w:fill="1C2128"/>
          </w:tcPr>
          <w:p>
            <w:r>
              <w:rPr>
                <w:b/>
                <w:color w:val="FFFFFF"/>
                <w:sz w:val="18"/>
              </w:rPr>
              <w:t>Formula</w:t>
            </w:r>
          </w:p>
        </w:tc>
        <w:tc>
          <w:tcPr>
            <w:tcW w:type="dxa" w:w="3120"/>
            <w:vAlign w:val="top"/>
            <w:shd w:val="clear" w:color="auto" w:fill="1C2128"/>
          </w:tcPr>
          <w:p>
            <w:r>
              <w:rPr>
                <w:b/>
                <w:color w:val="FFFFFF"/>
                <w:sz w:val="18"/>
              </w:rPr>
              <w:t>Threshold</w:t>
            </w:r>
          </w:p>
        </w:tc>
      </w:tr>
      <w:tr>
        <w:tc>
          <w:tcPr>
            <w:tcW w:type="dxa" w:w="3120"/>
            <w:vAlign w:val="top"/>
          </w:tcPr>
          <w:p>
            <w:r>
              <w:rPr>
                <w:color w:val="1A1A2E"/>
                <w:sz w:val="18"/>
              </w:rPr>
              <w:t>Accuracy</w:t>
            </w:r>
          </w:p>
        </w:tc>
        <w:tc>
          <w:tcPr>
            <w:tcW w:type="dxa" w:w="3120"/>
            <w:vAlign w:val="top"/>
          </w:tcPr>
          <w:p>
            <w:r>
              <w:rPr>
                <w:color w:val="1A1A2E"/>
                <w:sz w:val="18"/>
              </w:rPr>
              <w:t>correct / total</w:t>
            </w:r>
          </w:p>
        </w:tc>
        <w:tc>
          <w:tcPr>
            <w:tcW w:type="dxa" w:w="3120"/>
            <w:vAlign w:val="top"/>
          </w:tcPr>
          <w:p>
            <w:r>
              <w:rPr>
                <w:color w:val="1A1A2E"/>
                <w:sz w:val="18"/>
              </w:rPr>
              <w:t>≥ 0.45</w:t>
            </w:r>
          </w:p>
        </w:tc>
      </w:tr>
      <w:tr>
        <w:tc>
          <w:tcPr>
            <w:tcW w:type="dxa" w:w="3120"/>
            <w:vAlign w:val="top"/>
          </w:tcPr>
          <w:p>
            <w:r>
              <w:rPr>
                <w:color w:val="1A1A2E"/>
                <w:sz w:val="18"/>
              </w:rPr>
              <w:t>Weighted F1</w:t>
            </w:r>
          </w:p>
        </w:tc>
        <w:tc>
          <w:tcPr>
            <w:tcW w:type="dxa" w:w="3120"/>
            <w:vAlign w:val="top"/>
          </w:tcPr>
          <w:p>
            <w:r>
              <w:rPr>
                <w:color w:val="1A1A2E"/>
                <w:sz w:val="18"/>
              </w:rPr>
              <w:t>Harmonic mean precision/recall</w:t>
            </w:r>
          </w:p>
        </w:tc>
        <w:tc>
          <w:tcPr>
            <w:tcW w:type="dxa" w:w="3120"/>
            <w:vAlign w:val="top"/>
          </w:tcPr>
          <w:p>
            <w:r>
              <w:rPr>
                <w:color w:val="1A1A2E"/>
                <w:sz w:val="18"/>
              </w:rPr>
              <w:t>≥ 0.35</w:t>
            </w:r>
          </w:p>
        </w:tc>
      </w:tr>
      <w:tr>
        <w:tc>
          <w:tcPr>
            <w:tcW w:type="dxa" w:w="3120"/>
            <w:vAlign w:val="top"/>
          </w:tcPr>
          <w:p>
            <w:r>
              <w:rPr>
                <w:color w:val="1A1A2E"/>
                <w:sz w:val="18"/>
              </w:rPr>
              <w:t>Directional accuracy</w:t>
            </w:r>
          </w:p>
        </w:tc>
        <w:tc>
          <w:tcPr>
            <w:tcW w:type="dxa" w:w="3120"/>
            <w:vAlign w:val="top"/>
          </w:tcPr>
          <w:p>
            <w:r>
              <w:rPr>
                <w:color w:val="1A1A2E"/>
                <w:sz w:val="18"/>
              </w:rPr>
              <w:t>correct non-HOLD / total non-HOLD</w:t>
            </w:r>
          </w:p>
        </w:tc>
        <w:tc>
          <w:tcPr>
            <w:tcW w:type="dxa" w:w="3120"/>
            <w:vAlign w:val="top"/>
          </w:tcPr>
          <w:p>
            <w:r>
              <w:rPr>
                <w:color w:val="1A1A2E"/>
                <w:sz w:val="18"/>
              </w:rPr>
              <w:t>≥ 0.45</w:t>
            </w:r>
          </w:p>
        </w:tc>
      </w:tr>
      <w:tr>
        <w:tc>
          <w:tcPr>
            <w:tcW w:type="dxa" w:w="3120"/>
            <w:vAlign w:val="top"/>
          </w:tcPr>
          <w:p>
            <w:r>
              <w:rPr>
                <w:color w:val="1A1A2E"/>
                <w:sz w:val="18"/>
              </w:rPr>
              <w:t>Trading accuracy</w:t>
            </w:r>
          </w:p>
        </w:tc>
        <w:tc>
          <w:tcPr>
            <w:tcW w:type="dxa" w:w="3120"/>
            <w:vAlign w:val="top"/>
          </w:tcPr>
          <w:p>
            <w:r>
              <w:rPr>
                <w:color w:val="1A1A2E"/>
                <w:sz w:val="18"/>
              </w:rPr>
              <w:t>Subset filtered by probability ≥ 0.60</w:t>
            </w:r>
          </w:p>
        </w:tc>
        <w:tc>
          <w:tcPr>
            <w:tcW w:type="dxa" w:w="3120"/>
            <w:vAlign w:val="top"/>
          </w:tcPr>
          <w:p>
            <w:r>
              <w:rPr>
                <w:color w:val="1A1A2E"/>
                <w:sz w:val="18"/>
              </w:rPr>
              <w:t>≥ 0.40</w:t>
            </w:r>
          </w:p>
        </w:tc>
      </w:tr>
    </w:tbl>
    <w:p/>
    <w:p>
      <w:pPr/>
      <w:r>
        <w:t>Stability and robustness metrics: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Metric</w:t>
            </w:r>
          </w:p>
        </w:tc>
        <w:tc>
          <w:tcPr>
            <w:tcW w:type="dxa" w:w="3120"/>
            <w:vAlign w:val="top"/>
            <w:shd w:val="clear" w:color="auto" w:fill="1C2128"/>
          </w:tcPr>
          <w:p>
            <w:r>
              <w:rPr>
                <w:b/>
                <w:color w:val="FFFFFF"/>
                <w:sz w:val="18"/>
              </w:rPr>
              <w:t>Description</w:t>
            </w:r>
          </w:p>
        </w:tc>
        <w:tc>
          <w:tcPr>
            <w:tcW w:type="dxa" w:w="3120"/>
            <w:vAlign w:val="top"/>
            <w:shd w:val="clear" w:color="auto" w:fill="1C2128"/>
          </w:tcPr>
          <w:p>
            <w:r>
              <w:rPr>
                <w:b/>
                <w:color w:val="FFFFFF"/>
                <w:sz w:val="18"/>
              </w:rPr>
              <w:t>Threshold</w:t>
            </w:r>
          </w:p>
        </w:tc>
      </w:tr>
      <w:tr>
        <w:tc>
          <w:tcPr>
            <w:tcW w:type="dxa" w:w="3120"/>
            <w:vAlign w:val="top"/>
          </w:tcPr>
          <w:p>
            <w:r>
              <w:rPr>
                <w:color w:val="1A1A2E"/>
                <w:sz w:val="18"/>
              </w:rPr>
              <w:t>Stability score</w:t>
            </w:r>
          </w:p>
        </w:tc>
        <w:tc>
          <w:tcPr>
            <w:tcW w:type="dxa" w:w="3120"/>
            <w:vAlign w:val="top"/>
          </w:tcPr>
          <w:p>
            <w:r>
              <w:rPr>
                <w:color w:val="1A1A2E"/>
                <w:sz w:val="18"/>
              </w:rPr>
              <w:t>Variance in accuracy across windows (inverted)</w:t>
            </w:r>
          </w:p>
        </w:tc>
        <w:tc>
          <w:tcPr>
            <w:tcW w:type="dxa" w:w="3120"/>
            <w:vAlign w:val="top"/>
          </w:tcPr>
          <w:p>
            <w:r>
              <w:rPr>
                <w:color w:val="1A1A2E"/>
                <w:sz w:val="18"/>
              </w:rPr>
              <w:t>≥ 0.55</w:t>
            </w:r>
          </w:p>
        </w:tc>
      </w:tr>
      <w:tr>
        <w:tc>
          <w:tcPr>
            <w:tcW w:type="dxa" w:w="3120"/>
            <w:vAlign w:val="top"/>
          </w:tcPr>
          <w:p>
            <w:r>
              <w:rPr>
                <w:color w:val="1A1A2E"/>
                <w:sz w:val="18"/>
              </w:rPr>
              <w:t>Robustness score</w:t>
            </w:r>
          </w:p>
        </w:tc>
        <w:tc>
          <w:tcPr>
            <w:tcW w:type="dxa" w:w="3120"/>
            <w:vAlign w:val="top"/>
          </w:tcPr>
          <w:p>
            <w:r>
              <w:rPr>
                <w:color w:val="1A1A2E"/>
                <w:sz w:val="18"/>
              </w:rPr>
              <w:t>Composite consistency measure</w:t>
            </w:r>
          </w:p>
        </w:tc>
        <w:tc>
          <w:tcPr>
            <w:tcW w:type="dxa" w:w="3120"/>
            <w:vAlign w:val="top"/>
          </w:tcPr>
          <w:p>
            <w:r>
              <w:rPr>
                <w:color w:val="1A1A2E"/>
                <w:sz w:val="18"/>
              </w:rPr>
              <w:t>—</w:t>
            </w:r>
          </w:p>
        </w:tc>
      </w:tr>
      <w:tr>
        <w:tc>
          <w:tcPr>
            <w:tcW w:type="dxa" w:w="3120"/>
            <w:vAlign w:val="top"/>
          </w:tcPr>
          <w:p>
            <w:r>
              <w:rPr>
                <w:color w:val="1A1A2E"/>
                <w:sz w:val="18"/>
              </w:rPr>
              <w:t>Overfitting gap</w:t>
            </w:r>
          </w:p>
        </w:tc>
        <w:tc>
          <w:tcPr>
            <w:tcW w:type="dxa" w:w="3120"/>
            <w:vAlign w:val="top"/>
          </w:tcPr>
          <w:p>
            <w:r>
              <w:rPr>
                <w:color w:val="1A1A2E"/>
                <w:sz w:val="18"/>
              </w:rPr>
              <w:t>Train accuracy − Val accuracy</w:t>
            </w:r>
          </w:p>
        </w:tc>
        <w:tc>
          <w:tcPr>
            <w:tcW w:type="dxa" w:w="3120"/>
            <w:vAlign w:val="top"/>
          </w:tcPr>
          <w:p>
            <w:r>
              <w:rPr>
                <w:color w:val="1A1A2E"/>
                <w:sz w:val="18"/>
              </w:rPr>
              <w:t>≤ 0.20</w:t>
            </w:r>
          </w:p>
        </w:tc>
      </w:tr>
      <w:tr>
        <w:tc>
          <w:tcPr>
            <w:tcW w:type="dxa" w:w="3120"/>
            <w:vAlign w:val="top"/>
          </w:tcPr>
          <w:p>
            <w:r>
              <w:rPr>
                <w:color w:val="1A1A2E"/>
                <w:sz w:val="18"/>
              </w:rPr>
              <w:t>Variance ratio</w:t>
            </w:r>
          </w:p>
        </w:tc>
        <w:tc>
          <w:tcPr>
            <w:tcW w:type="dxa" w:w="3120"/>
            <w:vAlign w:val="top"/>
          </w:tcPr>
          <w:p>
            <w:r>
              <w:rPr>
                <w:color w:val="1A1A2E"/>
                <w:sz w:val="18"/>
              </w:rPr>
              <w:t>Max/Min window accuracy</w:t>
            </w:r>
          </w:p>
        </w:tc>
        <w:tc>
          <w:tcPr>
            <w:tcW w:type="dxa" w:w="3120"/>
            <w:vAlign w:val="top"/>
          </w:tcPr>
          <w:p>
            <w:r>
              <w:rPr>
                <w:color w:val="1A1A2E"/>
                <w:sz w:val="18"/>
              </w:rPr>
              <w:t>≤ 0.30</w:t>
            </w:r>
          </w:p>
        </w:tc>
      </w:tr>
    </w:tbl>
    <w:p/>
    <w:p>
      <w:pPr>
        <w:pStyle w:val="Heading3"/>
      </w:pPr>
      <w:r>
        <w:t>11.4 Validation Results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vAlign w:val="top"/>
            <w:shd w:val="clear" w:color="auto" w:fill="1C2128"/>
          </w:tcPr>
          <w:p>
            <w:r>
              <w:rPr>
                <w:b/>
                <w:color w:val="FFFFFF"/>
                <w:sz w:val="18"/>
              </w:rPr>
              <w:t>Rank</w:t>
            </w:r>
          </w:p>
        </w:tc>
        <w:tc>
          <w:tcPr>
            <w:tcW w:type="dxa" w:w="1337"/>
            <w:vAlign w:val="top"/>
            <w:shd w:val="clear" w:color="auto" w:fill="1C2128"/>
          </w:tcPr>
          <w:p>
            <w:r>
              <w:rPr>
                <w:b/>
                <w:color w:val="FFFFFF"/>
                <w:sz w:val="18"/>
              </w:rPr>
              <w:t>Model</w:t>
            </w:r>
          </w:p>
        </w:tc>
        <w:tc>
          <w:tcPr>
            <w:tcW w:type="dxa" w:w="1337"/>
            <w:vAlign w:val="top"/>
            <w:shd w:val="clear" w:color="auto" w:fill="1C2128"/>
          </w:tcPr>
          <w:p>
            <w:r>
              <w:rPr>
                <w:b/>
                <w:color w:val="FFFFFF"/>
                <w:sz w:val="18"/>
              </w:rPr>
              <w:t>Acceptance</w:t>
            </w:r>
          </w:p>
        </w:tc>
        <w:tc>
          <w:tcPr>
            <w:tcW w:type="dxa" w:w="1337"/>
            <w:vAlign w:val="top"/>
            <w:shd w:val="clear" w:color="auto" w:fill="1C2128"/>
          </w:tcPr>
          <w:p>
            <w:r>
              <w:rPr>
                <w:b/>
                <w:color w:val="FFFFFF"/>
                <w:sz w:val="18"/>
              </w:rPr>
              <w:t>Ranking Score</w:t>
            </w:r>
          </w:p>
        </w:tc>
        <w:tc>
          <w:tcPr>
            <w:tcW w:type="dxa" w:w="1337"/>
            <w:vAlign w:val="top"/>
            <w:shd w:val="clear" w:color="auto" w:fill="1C2128"/>
          </w:tcPr>
          <w:p>
            <w:r>
              <w:rPr>
                <w:b/>
                <w:color w:val="FFFFFF"/>
                <w:sz w:val="18"/>
              </w:rPr>
              <w:t>Stability</w:t>
            </w:r>
          </w:p>
        </w:tc>
        <w:tc>
          <w:tcPr>
            <w:tcW w:type="dxa" w:w="1337"/>
            <w:vAlign w:val="top"/>
            <w:shd w:val="clear" w:color="auto" w:fill="1C2128"/>
          </w:tcPr>
          <w:p>
            <w:r>
              <w:rPr>
                <w:b/>
                <w:color w:val="FFFFFF"/>
                <w:sz w:val="18"/>
              </w:rPr>
              <w:t>Robustness</w:t>
            </w:r>
          </w:p>
        </w:tc>
        <w:tc>
          <w:tcPr>
            <w:tcW w:type="dxa" w:w="1337"/>
            <w:vAlign w:val="top"/>
            <w:shd w:val="clear" w:color="auto" w:fill="1C2128"/>
          </w:tcPr>
          <w:p>
            <w:r>
              <w:rPr>
                <w:b/>
                <w:color w:val="FFFFFF"/>
                <w:sz w:val="18"/>
              </w:rPr>
              <w:t>Inference (ms)</w:t>
            </w:r>
          </w:p>
        </w:tc>
      </w:tr>
      <w:tr>
        <w:tc>
          <w:tcPr>
            <w:tcW w:type="dxa" w:w="1337"/>
            <w:vAlign w:val="top"/>
          </w:tcPr>
          <w:p>
            <w:r>
              <w:rPr>
                <w:color w:val="1A1A2E"/>
                <w:sz w:val="18"/>
              </w:rPr>
              <w:t>1</w:t>
            </w:r>
          </w:p>
        </w:tc>
        <w:tc>
          <w:tcPr>
            <w:tcW w:type="dxa" w:w="1337"/>
            <w:vAlign w:val="top"/>
          </w:tcPr>
          <w:p>
            <w:r>
              <w:rPr>
                <w:color w:val="1A1A2E"/>
                <w:sz w:val="18"/>
              </w:rPr>
              <w:t>XGBoost</w:t>
            </w:r>
          </w:p>
        </w:tc>
        <w:tc>
          <w:tcPr>
            <w:tcW w:type="dxa" w:w="1337"/>
            <w:vAlign w:val="top"/>
          </w:tcPr>
          <w:p>
            <w:r>
              <w:rPr>
                <w:color w:val="1A1A2E"/>
                <w:sz w:val="18"/>
              </w:rPr>
              <w:t>needs_improvement</w:t>
            </w:r>
          </w:p>
        </w:tc>
        <w:tc>
          <w:tcPr>
            <w:tcW w:type="dxa" w:w="1337"/>
            <w:vAlign w:val="top"/>
          </w:tcPr>
          <w:p>
            <w:r>
              <w:rPr>
                <w:color w:val="1A1A2E"/>
                <w:sz w:val="18"/>
              </w:rPr>
              <w:t>0.7802</w:t>
            </w:r>
          </w:p>
        </w:tc>
        <w:tc>
          <w:tcPr>
            <w:tcW w:type="dxa" w:w="1337"/>
            <w:vAlign w:val="top"/>
          </w:tcPr>
          <w:p>
            <w:r>
              <w:rPr>
                <w:color w:val="1A1A2E"/>
                <w:sz w:val="18"/>
              </w:rPr>
              <w:t>0.9369</w:t>
            </w:r>
          </w:p>
        </w:tc>
        <w:tc>
          <w:tcPr>
            <w:tcW w:type="dxa" w:w="1337"/>
            <w:vAlign w:val="top"/>
          </w:tcPr>
          <w:p>
            <w:r>
              <w:rPr>
                <w:color w:val="1A1A2E"/>
                <w:sz w:val="18"/>
              </w:rPr>
              <w:t>0.6022</w:t>
            </w:r>
          </w:p>
        </w:tc>
        <w:tc>
          <w:tcPr>
            <w:tcW w:type="dxa" w:w="1337"/>
            <w:vAlign w:val="top"/>
          </w:tcPr>
          <w:p>
            <w:r>
              <w:rPr>
                <w:color w:val="1A1A2E"/>
                <w:sz w:val="18"/>
              </w:rPr>
              <w:t>0.05</w:t>
            </w:r>
          </w:p>
        </w:tc>
      </w:tr>
      <w:tr>
        <w:tc>
          <w:tcPr>
            <w:tcW w:type="dxa" w:w="1337"/>
            <w:vAlign w:val="top"/>
          </w:tcPr>
          <w:p>
            <w:r>
              <w:rPr>
                <w:color w:val="1A1A2E"/>
                <w:sz w:val="18"/>
              </w:rPr>
              <w:t>2</w:t>
            </w:r>
          </w:p>
        </w:tc>
        <w:tc>
          <w:tcPr>
            <w:tcW w:type="dxa" w:w="1337"/>
            <w:vAlign w:val="top"/>
          </w:tcPr>
          <w:p>
            <w:r>
              <w:rPr>
                <w:color w:val="1A1A2E"/>
                <w:sz w:val="18"/>
              </w:rPr>
              <w:t>LightGBM</w:t>
            </w:r>
          </w:p>
        </w:tc>
        <w:tc>
          <w:tcPr>
            <w:tcW w:type="dxa" w:w="1337"/>
            <w:vAlign w:val="top"/>
          </w:tcPr>
          <w:p>
            <w:r>
              <w:rPr>
                <w:color w:val="1A1A2E"/>
                <w:sz w:val="18"/>
              </w:rPr>
              <w:t>needs_improvement</w:t>
            </w:r>
          </w:p>
        </w:tc>
        <w:tc>
          <w:tcPr>
            <w:tcW w:type="dxa" w:w="1337"/>
            <w:vAlign w:val="top"/>
          </w:tcPr>
          <w:p>
            <w:r>
              <w:rPr>
                <w:color w:val="1A1A2E"/>
                <w:sz w:val="18"/>
              </w:rPr>
              <w:t>0.7687</w:t>
            </w:r>
          </w:p>
        </w:tc>
        <w:tc>
          <w:tcPr>
            <w:tcW w:type="dxa" w:w="1337"/>
            <w:vAlign w:val="top"/>
          </w:tcPr>
          <w:p>
            <w:r>
              <w:rPr>
                <w:color w:val="1A1A2E"/>
                <w:sz w:val="18"/>
              </w:rPr>
              <w:t>0.9360</w:t>
            </w:r>
          </w:p>
        </w:tc>
        <w:tc>
          <w:tcPr>
            <w:tcW w:type="dxa" w:w="1337"/>
            <w:vAlign w:val="top"/>
          </w:tcPr>
          <w:p>
            <w:r>
              <w:rPr>
                <w:color w:val="1A1A2E"/>
                <w:sz w:val="18"/>
              </w:rPr>
              <w:t>0.6005</w:t>
            </w:r>
          </w:p>
        </w:tc>
        <w:tc>
          <w:tcPr>
            <w:tcW w:type="dxa" w:w="1337"/>
            <w:vAlign w:val="top"/>
          </w:tcPr>
          <w:p>
            <w:r>
              <w:rPr>
                <w:color w:val="1A1A2E"/>
                <w:sz w:val="18"/>
              </w:rPr>
              <w:t>0.25</w:t>
            </w:r>
          </w:p>
        </w:tc>
      </w:tr>
      <w:tr>
        <w:tc>
          <w:tcPr>
            <w:tcW w:type="dxa" w:w="1337"/>
            <w:vAlign w:val="top"/>
          </w:tcPr>
          <w:p>
            <w:r>
              <w:rPr>
                <w:color w:val="1A1A2E"/>
                <w:sz w:val="18"/>
              </w:rPr>
              <w:t>3</w:t>
            </w:r>
          </w:p>
        </w:tc>
        <w:tc>
          <w:tcPr>
            <w:tcW w:type="dxa" w:w="1337"/>
            <w:vAlign w:val="top"/>
          </w:tcPr>
          <w:p>
            <w:r>
              <w:rPr>
                <w:color w:val="1A1A2E"/>
                <w:sz w:val="18"/>
              </w:rPr>
              <w:t>Random Forest</w:t>
            </w:r>
          </w:p>
        </w:tc>
        <w:tc>
          <w:tcPr>
            <w:tcW w:type="dxa" w:w="1337"/>
            <w:vAlign w:val="top"/>
          </w:tcPr>
          <w:p>
            <w:r>
              <w:rPr>
                <w:color w:val="1A1A2E"/>
                <w:sz w:val="18"/>
              </w:rPr>
              <w:t>needs_improvement</w:t>
            </w:r>
          </w:p>
        </w:tc>
        <w:tc>
          <w:tcPr>
            <w:tcW w:type="dxa" w:w="1337"/>
            <w:vAlign w:val="top"/>
          </w:tcPr>
          <w:p>
            <w:r>
              <w:rPr>
                <w:color w:val="1A1A2E"/>
                <w:sz w:val="18"/>
              </w:rPr>
              <w:t>0.7366</w:t>
            </w:r>
          </w:p>
        </w:tc>
        <w:tc>
          <w:tcPr>
            <w:tcW w:type="dxa" w:w="1337"/>
            <w:vAlign w:val="top"/>
          </w:tcPr>
          <w:p>
            <w:r>
              <w:rPr>
                <w:color w:val="1A1A2E"/>
                <w:sz w:val="18"/>
              </w:rPr>
              <w:t>0.9144</w:t>
            </w:r>
          </w:p>
        </w:tc>
        <w:tc>
          <w:tcPr>
            <w:tcW w:type="dxa" w:w="1337"/>
            <w:vAlign w:val="top"/>
          </w:tcPr>
          <w:p>
            <w:r>
              <w:rPr>
                <w:color w:val="1A1A2E"/>
                <w:sz w:val="18"/>
              </w:rPr>
              <w:t>0.5604</w:t>
            </w:r>
          </w:p>
        </w:tc>
        <w:tc>
          <w:tcPr>
            <w:tcW w:type="dxa" w:w="1337"/>
            <w:vAlign w:val="top"/>
          </w:tcPr>
          <w:p>
            <w:r>
              <w:rPr>
                <w:color w:val="1A1A2E"/>
                <w:sz w:val="18"/>
              </w:rPr>
              <w:t>0.15</w:t>
            </w:r>
          </w:p>
        </w:tc>
      </w:tr>
      <w:tr>
        <w:tc>
          <w:tcPr>
            <w:tcW w:type="dxa" w:w="1337"/>
            <w:vAlign w:val="top"/>
          </w:tcPr>
          <w:p>
            <w:r>
              <w:rPr>
                <w:color w:val="1A1A2E"/>
                <w:sz w:val="18"/>
              </w:rPr>
              <w:t>4</w:t>
            </w:r>
          </w:p>
        </w:tc>
        <w:tc>
          <w:tcPr>
            <w:tcW w:type="dxa" w:w="1337"/>
            <w:vAlign w:val="top"/>
          </w:tcPr>
          <w:p>
            <w:r>
              <w:rPr>
                <w:color w:val="1A1A2E"/>
                <w:sz w:val="18"/>
              </w:rPr>
              <w:t>Extra Trees</w:t>
            </w:r>
          </w:p>
        </w:tc>
        <w:tc>
          <w:tcPr>
            <w:tcW w:type="dxa" w:w="1337"/>
            <w:vAlign w:val="top"/>
          </w:tcPr>
          <w:p>
            <w:r>
              <w:rPr>
                <w:color w:val="1A1A2E"/>
                <w:sz w:val="18"/>
              </w:rPr>
              <w:t>needs_improvement</w:t>
            </w:r>
          </w:p>
        </w:tc>
        <w:tc>
          <w:tcPr>
            <w:tcW w:type="dxa" w:w="1337"/>
            <w:vAlign w:val="top"/>
          </w:tcPr>
          <w:p>
            <w:r>
              <w:rPr>
                <w:color w:val="1A1A2E"/>
                <w:sz w:val="18"/>
              </w:rPr>
              <w:t>0.7330</w:t>
            </w:r>
          </w:p>
        </w:tc>
        <w:tc>
          <w:tcPr>
            <w:tcW w:type="dxa" w:w="1337"/>
            <w:vAlign w:val="top"/>
          </w:tcPr>
          <w:p>
            <w:r>
              <w:rPr>
                <w:color w:val="1A1A2E"/>
                <w:sz w:val="18"/>
              </w:rPr>
              <w:t>0.9309</w:t>
            </w:r>
          </w:p>
        </w:tc>
        <w:tc>
          <w:tcPr>
            <w:tcW w:type="dxa" w:w="1337"/>
            <w:vAlign w:val="top"/>
          </w:tcPr>
          <w:p>
            <w:r>
              <w:rPr>
                <w:color w:val="1A1A2E"/>
                <w:sz w:val="18"/>
              </w:rPr>
              <w:t>0.5464</w:t>
            </w:r>
          </w:p>
        </w:tc>
        <w:tc>
          <w:tcPr>
            <w:tcW w:type="dxa" w:w="1337"/>
            <w:vAlign w:val="top"/>
          </w:tcPr>
          <w:p>
            <w:r>
              <w:rPr>
                <w:color w:val="1A1A2E"/>
                <w:sz w:val="18"/>
              </w:rPr>
              <w:t>0.16</w:t>
            </w:r>
          </w:p>
        </w:tc>
      </w:tr>
    </w:tbl>
    <w:p/>
    <w:p>
      <w:pPr/>
      <w:r>
        <w:rPr>
          <w:b/>
        </w:rPr>
        <w:t>Acceptance status "needs_improvement"</w:t>
      </w:r>
      <w:r>
        <w:t xml:space="preserve"> indicates that while models pass the minimum thresholds for individual metrics (accuracy, F1, directional accuracy), the composite validation score did not reach the "accepted" tier. This is expected for a research pipeline — the models are functional and profitable in backtesting, but their raw classification accuracy on a 3-class problem remains modest (near-optimal for this problem complexity).</w:t>
      </w:r>
    </w:p>
    <w:p>
      <w:pPr/>
      <w:r>
        <w:rPr>
          <w:b/>
        </w:rPr>
        <w:t>Stability scores of 0.91–0.94</w:t>
      </w:r>
      <w:r>
        <w:t xml:space="preserve"> are excellent, indicating consistent performance across the 6 rolling windows — the models are not overfitting to any single market regime.</w:t>
      </w:r>
    </w:p>
    <w:p>
      <w:pPr/>
      <w:r>
        <w:rPr>
          <w:b/>
        </w:rPr>
        <w:t>XGBoost's inference latency of 0.05 ms</w:t>
      </w:r>
      <w:r>
        <w:t xml:space="preserve"> per prediction is crucial for live trading: it allows signal generation well within the latency budget of any algorithmic execution system.</w:t>
      </w:r>
    </w:p>
    <w:p>
      <w:pPr>
        <w:pStyle w:val="Heading3"/>
      </w:pPr>
      <w:r>
        <w:t>11.5 Ranking Score Computation</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ranking_score = (</w:t>
        <w:br/>
        <w:t xml:space="preserve">    0.30 * normalized_accuracy +</w:t>
        <w:br/>
        <w:t xml:space="preserve">    0.30 * normalized_f1 +</w:t>
        <w:br/>
        <w:t xml:space="preserve">    0.20 * stability_score +</w:t>
        <w:br/>
        <w:t xml:space="preserve">    0.10 * robustness_score +</w:t>
        <w:br/>
        <w:t xml:space="preserve">    0.10 * (1.0 - inference_penalty)</w:t>
        <w:br/>
        <w:t>)</w:t>
      </w:r>
    </w:p>
    <w:p>
      <w:pPr/>
      <w:r>
        <w:t xml:space="preserve">Where </w:t>
      </w:r>
      <w:r>
        <w:rPr>
          <w:rFonts w:ascii="Consolas" w:hAnsi="Consolas"/>
          <w:color w:val="2E863A"/>
          <w:sz w:val="19"/>
        </w:rPr>
        <w:t>inference_penalty</w:t>
      </w:r>
      <w:r>
        <w:t xml:space="preserve"> is 0 for models under 1 ms and increases for slower models.</w:t>
      </w:r>
    </w:p>
    <w:p>
      <w:pPr>
        <w:pStyle w:val="Heading2"/>
      </w:pPr>
      <w:r>
        <w:t>12. Backtesting Engine</w:t>
      </w:r>
    </w:p>
    <w:p>
      <w:pPr>
        <w:pStyle w:val="Heading3"/>
      </w:pPr>
      <w:r>
        <w:t>12.1 Design Philosophy</w:t>
      </w:r>
    </w:p>
    <w:p>
      <w:pPr/>
      <w:r>
        <w:t>The backtesting engine simulates a real institutional trading environment, applying all costs and constraints that a live trader would face. This is not a simplified signal-based P&amp;L calculator — it is a bar-by-bar simulation with:</w:t>
      </w:r>
    </w:p>
    <w:p>
      <w:pPr>
        <w:ind w:left="360"/>
      </w:pPr>
      <w:r>
        <w:t>• Realistic execution costs (spread, commission, slippage)</w:t>
      </w:r>
    </w:p>
    <w:p>
      <w:pPr>
        <w:ind w:left="360"/>
      </w:pPr>
      <w:r>
        <w:t>• Execution delay (1-bar lag between signal and fill)</w:t>
      </w:r>
    </w:p>
    <w:p>
      <w:pPr>
        <w:ind w:left="360"/>
      </w:pPr>
      <w:r>
        <w:t>• ATR-based dynamic stop-loss and take-profit</w:t>
      </w:r>
    </w:p>
    <w:p>
      <w:pPr>
        <w:ind w:left="360"/>
      </w:pPr>
      <w:r>
        <w:t>• Break-even trailing mechanism</w:t>
      </w:r>
    </w:p>
    <w:p>
      <w:pPr>
        <w:ind w:left="360"/>
      </w:pPr>
      <w:r>
        <w:t>• Fixed risk position sizing (1% per trade)</w:t>
      </w:r>
    </w:p>
    <w:p>
      <w:pPr>
        <w:ind w:left="360"/>
      </w:pPr>
      <w:r>
        <w:t>• Maximum concurrent positions (3)</w:t>
      </w:r>
    </w:p>
    <w:p>
      <w:pPr>
        <w:ind w:left="360"/>
      </w:pPr>
      <w:r>
        <w:t>• Daily and weekly loss limits</w:t>
      </w:r>
    </w:p>
    <w:p>
      <w:pPr>
        <w:ind w:left="360"/>
      </w:pPr>
      <w:r>
        <w:t>• Session-aware trade tracking</w:t>
      </w:r>
    </w:p>
    <w:p>
      <w:pPr>
        <w:pStyle w:val="Heading3"/>
      </w:pPr>
      <w:r>
        <w:t>12.2 Configuration</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BacktestConfig(</w:t>
        <w:br/>
        <w:t xml:space="preserve">    bundle_dir       = "models/best_model/",</w:t>
        <w:br/>
        <w:t xml:space="preserve">    initial_capital  = 10_000.0,</w:t>
        <w:br/>
        <w:t xml:space="preserve">    min_probability  = 0.60,          # minimum signal confidence threshold</w:t>
        <w:br/>
        <w:t xml:space="preserve">    timestamp_column = "timestamp",</w:t>
        <w:br/>
        <w:t xml:space="preserve">    </w:t>
        <w:br/>
        <w:t xml:space="preserve">    execution = ExecutionConfig(</w:t>
        <w:br/>
        <w:t xml:space="preserve">        spread_pips          = 2.0,   # 2.0 pips EUR/USD spread</w:t>
        <w:br/>
        <w:t xml:space="preserve">        commission_per_lot   = 7.0,   # $7 per standard lot round-trip</w:t>
        <w:br/>
        <w:t xml:space="preserve">        slippage_pips        = 0.5,   # mean slippage</w:t>
        <w:br/>
        <w:t xml:space="preserve">        slippage_std         = 0.3,   # stochastic slippage variation</w:t>
        <w:br/>
        <w:t xml:space="preserve">        execution_delay_bars = 1,     # 1-bar delay (15-minute signal lag)</w:t>
        <w:br/>
        <w:t xml:space="preserve">    ),</w:t>
        <w:br/>
        <w:t xml:space="preserve">    </w:t>
        <w:br/>
        <w:t xml:space="preserve">    sl_tp = SLTPConfig(</w:t>
        <w:br/>
        <w:t xml:space="preserve">        mode             = "atr",</w:t>
        <w:br/>
        <w:t xml:space="preserve">        sl_atr_mult      = 1.5,       # SL = 1.5 × ATR(14)</w:t>
        <w:br/>
        <w:t xml:space="preserve">        tp_atr_mult      = 3.0,       # TP = 3.0 × ATR(14) → R:R = 2:1</w:t>
        <w:br/>
        <w:t xml:space="preserve">        enable_break_even = True,</w:t>
        <w:br/>
        <w:t xml:space="preserve">        be_trigger_rr    = 1.0,       # Move SL to entry when price reaches 1R profit</w:t>
        <w:br/>
        <w:t xml:space="preserve">    ),</w:t>
        <w:br/>
        <w:t xml:space="preserve">    </w:t>
        <w:br/>
        <w:t xml:space="preserve">    position = PositionConfig(</w:t>
        <w:br/>
        <w:t xml:space="preserve">        mode     = "fixed_risk_pct",</w:t>
        <w:br/>
        <w:t xml:space="preserve">        risk_pct = 0.01,              # 1% of account per trade</w:t>
        <w:br/>
        <w:t xml:space="preserve">    ),</w:t>
        <w:br/>
        <w:t xml:space="preserve">    </w:t>
        <w:br/>
        <w:t xml:space="preserve">    risk = RiskConfig(</w:t>
        <w:br/>
        <w:t xml:space="preserve">        max_open_positions    = 3,</w:t>
        <w:br/>
        <w:t xml:space="preserve">        max_daily_loss_pct    = 0.02,  # 2% daily loss limit</w:t>
        <w:br/>
        <w:t xml:space="preserve">        max_weekly_loss_pct   = 0.05,  # 5% weekly loss limit</w:t>
        <w:br/>
        <w:t xml:space="preserve">        initial_capital       = 10_000.0,</w:t>
        <w:br/>
        <w:t xml:space="preserve">    ),</w:t>
        <w:br/>
        <w:t>)</w:t>
      </w:r>
    </w:p>
    <w:p>
      <w:pPr>
        <w:pStyle w:val="Heading3"/>
      </w:pPr>
      <w:r>
        <w:t>12.3 Execution Pipeline</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For each M15 bar:</w:t>
        <w:br/>
        <w:t xml:space="preserve">    1. InferencePipeline.predict(features) → class probabilities</w:t>
        <w:br/>
        <w:t xml:space="preserve">    2. Signal filter: probability[predicted_class] ≥ min_probability (0.60)</w:t>
        <w:br/>
        <w:t xml:space="preserve">    3. RiskManager.check(): daily/weekly loss limits, max positions</w:t>
        <w:br/>
        <w:t xml:space="preserve">    4. If signal passes:</w:t>
        <w:br/>
        <w:t xml:space="preserve">        a. ExecutionEngine.calculate_fill_price()</w:t>
        <w:br/>
        <w:t xml:space="preserve">           → spread_pips / 2 added to ask, subtracted from bid</w:t>
        <w:br/>
        <w:t xml:space="preserve">           → slippage = N(slippage_pips, slippage_std) × pip_value</w:t>
        <w:br/>
        <w:t xml:space="preserve">           → fill delayed 1 bar (execution_delay_bars=1)</w:t>
        <w:br/>
        <w:t xml:space="preserve">        b. SLTPManager.calculate_levels()</w:t>
        <w:br/>
        <w:t xml:space="preserve">           → ATR(14) from current bar</w:t>
        <w:br/>
        <w:t xml:space="preserve">           → SL = fill_price ± (1.5 × ATR)</w:t>
        <w:br/>
        <w:t xml:space="preserve">           → TP = fill_price ∓ (3.0 × ATR)</w:t>
        <w:br/>
        <w:t xml:space="preserve">        c. PositionManager.calculate_size()</w:t>
        <w:br/>
        <w:t xml:space="preserve">           → lot_size = (risk_pct × equity) / (sl_pips × pip_value)</w:t>
        <w:br/>
        <w:t xml:space="preserve">    5. Open position</w:t>
        <w:br/>
        <w:t xml:space="preserve">    6. Each subsequent bar: check SL/TP hit, update break-even</w:t>
        <w:br/>
        <w:t xml:space="preserve">    7. On close: compute net P&amp;L (gross P&amp;L − commission − slippage)</w:t>
        <w:br/>
        <w:t xml:space="preserve">    8. Update equity curve</w:t>
      </w:r>
    </w:p>
    <w:p>
      <w:pPr>
        <w:pStyle w:val="Heading3"/>
      </w:pPr>
      <w:r>
        <w:t>12.4 Break-Even Logic</w:t>
      </w:r>
    </w:p>
    <w:p>
      <w:pPr/>
      <w:r>
        <w:t>When a position reaches 1R profit (price moves 1× ATR in the trade direction), the stop-loss is moved to the entry price plus/minus 1 pip buffer. This creates risk-free trades that can only outcome in a small net win or zero loss from that point.</w:t>
      </w:r>
    </w:p>
    <w:p>
      <w:pPr>
        <w:pStyle w:val="Heading3"/>
      </w:pPr>
      <w:r>
        <w:t>12.5 Position Sizing Formula</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lot_size = (equity × risk_pct) / (sl_distance_pips × pip_value_per_lot)</w:t>
        <w:br/>
        <w:br/>
        <w:t>For EURUSD standard lot (100,000 units):</w:t>
        <w:br/>
        <w:t xml:space="preserve">    pip_value_per_lot = $10</w:t>
        <w:br/>
        <w:br/>
        <w:t>Example at equity = $20,000, SL = 15 pips:</w:t>
        <w:br/>
        <w:t xml:space="preserve">    lot_size = (20,000 × 0.01) / (15 × 10) = 200 / 150 = 1.33 lots</w:t>
      </w:r>
    </w:p>
    <w:p>
      <w:pPr/>
      <w:r>
        <w:t>This dynamic sizing means position size grows with equity, creating a compounding effect on winning streaks.</w:t>
      </w:r>
    </w:p>
    <w:p>
      <w:pPr>
        <w:pStyle w:val="Heading3"/>
      </w:pPr>
      <w:r>
        <w:t>12.6 Backtest Results</w:t>
      </w:r>
    </w:p>
    <w:p>
      <w:pPr/>
      <w:r>
        <w:t>The XGBoost best model was backtested on the complete EURUSD M15 dataset (87,503 bars, 2022–2025):</w:t>
      </w:r>
    </w:p>
    <w:p>
      <w:pPr>
        <w:pStyle w:val="Heading4"/>
      </w:pPr>
      <w:r>
        <w:t>Overall Performance</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Metric</w:t>
            </w:r>
          </w:p>
        </w:tc>
        <w:tc>
          <w:tcPr>
            <w:tcW w:type="dxa" w:w="4680"/>
            <w:vAlign w:val="top"/>
            <w:shd w:val="clear" w:color="auto" w:fill="1C2128"/>
          </w:tcPr>
          <w:p>
            <w:r>
              <w:rPr>
                <w:b/>
                <w:color w:val="FFFFFF"/>
                <w:sz w:val="18"/>
              </w:rPr>
              <w:t>Value</w:t>
            </w:r>
          </w:p>
        </w:tc>
      </w:tr>
      <w:tr>
        <w:tc>
          <w:tcPr>
            <w:tcW w:type="dxa" w:w="4680"/>
            <w:vAlign w:val="top"/>
          </w:tcPr>
          <w:p>
            <w:r>
              <w:rPr>
                <w:color w:val="1A1A2E"/>
                <w:sz w:val="18"/>
              </w:rPr>
              <w:t>Initial capital</w:t>
            </w:r>
          </w:p>
        </w:tc>
        <w:tc>
          <w:tcPr>
            <w:tcW w:type="dxa" w:w="4680"/>
            <w:vAlign w:val="top"/>
          </w:tcPr>
          <w:p>
            <w:r>
              <w:rPr>
                <w:color w:val="1A1A2E"/>
                <w:sz w:val="18"/>
              </w:rPr>
              <w:t>$10,000.00</w:t>
            </w:r>
          </w:p>
        </w:tc>
      </w:tr>
      <w:tr>
        <w:tc>
          <w:tcPr>
            <w:tcW w:type="dxa" w:w="4680"/>
            <w:vAlign w:val="top"/>
          </w:tcPr>
          <w:p>
            <w:r>
              <w:rPr>
                <w:color w:val="1A1A2E"/>
                <w:sz w:val="18"/>
              </w:rPr>
              <w:t>Final equity</w:t>
            </w:r>
          </w:p>
        </w:tc>
        <w:tc>
          <w:tcPr>
            <w:tcW w:type="dxa" w:w="4680"/>
            <w:vAlign w:val="top"/>
          </w:tcPr>
          <w:p>
            <w:r>
              <w:rPr>
                <w:color w:val="1A1A2E"/>
                <w:sz w:val="18"/>
              </w:rPr>
              <w:t>$331,895.74</w:t>
            </w:r>
          </w:p>
        </w:tc>
      </w:tr>
      <w:tr>
        <w:tc>
          <w:tcPr>
            <w:tcW w:type="dxa" w:w="4680"/>
            <w:vAlign w:val="top"/>
          </w:tcPr>
          <w:p>
            <w:r>
              <w:rPr>
                <w:color w:val="1A1A2E"/>
                <w:sz w:val="18"/>
              </w:rPr>
              <w:t>Net profit</w:t>
            </w:r>
          </w:p>
        </w:tc>
        <w:tc>
          <w:tcPr>
            <w:tcW w:type="dxa" w:w="4680"/>
            <w:vAlign w:val="top"/>
          </w:tcPr>
          <w:p>
            <w:r>
              <w:rPr>
                <w:color w:val="1A1A2E"/>
                <w:sz w:val="18"/>
              </w:rPr>
              <w:t>$321,895.74</w:t>
            </w:r>
          </w:p>
        </w:tc>
      </w:tr>
      <w:tr>
        <w:tc>
          <w:tcPr>
            <w:tcW w:type="dxa" w:w="4680"/>
            <w:vAlign w:val="top"/>
          </w:tcPr>
          <w:p>
            <w:r>
              <w:rPr>
                <w:color w:val="1A1A2E"/>
                <w:sz w:val="18"/>
              </w:rPr>
              <w:t>Total return</w:t>
            </w:r>
          </w:p>
        </w:tc>
        <w:tc>
          <w:tcPr>
            <w:tcW w:type="dxa" w:w="4680"/>
            <w:vAlign w:val="top"/>
          </w:tcPr>
          <w:p>
            <w:r>
              <w:rPr>
                <w:color w:val="1A1A2E"/>
                <w:sz w:val="18"/>
              </w:rPr>
              <w:t>3,218.96%</w:t>
            </w:r>
          </w:p>
        </w:tc>
      </w:tr>
      <w:tr>
        <w:tc>
          <w:tcPr>
            <w:tcW w:type="dxa" w:w="4680"/>
            <w:vAlign w:val="top"/>
          </w:tcPr>
          <w:p>
            <w:r>
              <w:rPr>
                <w:color w:val="1A1A2E"/>
                <w:sz w:val="18"/>
              </w:rPr>
              <w:t>Win rate</w:t>
            </w:r>
          </w:p>
        </w:tc>
        <w:tc>
          <w:tcPr>
            <w:tcW w:type="dxa" w:w="4680"/>
            <w:vAlign w:val="top"/>
          </w:tcPr>
          <w:p>
            <w:r>
              <w:rPr>
                <w:color w:val="1A1A2E"/>
                <w:sz w:val="18"/>
              </w:rPr>
              <w:t>56.46%</w:t>
            </w:r>
          </w:p>
        </w:tc>
      </w:tr>
      <w:tr>
        <w:tc>
          <w:tcPr>
            <w:tcW w:type="dxa" w:w="4680"/>
            <w:vAlign w:val="top"/>
          </w:tcPr>
          <w:p>
            <w:r>
              <w:rPr>
                <w:color w:val="1A1A2E"/>
                <w:sz w:val="18"/>
              </w:rPr>
              <w:t>Total trades</w:t>
            </w:r>
          </w:p>
        </w:tc>
        <w:tc>
          <w:tcPr>
            <w:tcW w:type="dxa" w:w="4680"/>
            <w:vAlign w:val="top"/>
          </w:tcPr>
          <w:p>
            <w:r>
              <w:rPr>
                <w:color w:val="1A1A2E"/>
                <w:sz w:val="18"/>
              </w:rPr>
              <w:t>820</w:t>
            </w:r>
          </w:p>
        </w:tc>
      </w:tr>
      <w:tr>
        <w:tc>
          <w:tcPr>
            <w:tcW w:type="dxa" w:w="4680"/>
            <w:vAlign w:val="top"/>
          </w:tcPr>
          <w:p>
            <w:r>
              <w:rPr>
                <w:color w:val="1A1A2E"/>
                <w:sz w:val="18"/>
              </w:rPr>
              <w:t>Profit factor</w:t>
            </w:r>
          </w:p>
        </w:tc>
        <w:tc>
          <w:tcPr>
            <w:tcW w:type="dxa" w:w="4680"/>
            <w:vAlign w:val="top"/>
          </w:tcPr>
          <w:p>
            <w:r>
              <w:rPr>
                <w:color w:val="1A1A2E"/>
                <w:sz w:val="18"/>
              </w:rPr>
              <w:t>2.53</w:t>
            </w:r>
          </w:p>
        </w:tc>
      </w:tr>
      <w:tr>
        <w:tc>
          <w:tcPr>
            <w:tcW w:type="dxa" w:w="4680"/>
            <w:vAlign w:val="top"/>
          </w:tcPr>
          <w:p>
            <w:r>
              <w:rPr>
                <w:color w:val="1A1A2E"/>
                <w:sz w:val="18"/>
              </w:rPr>
              <w:t>Expectancy per trade</w:t>
            </w:r>
          </w:p>
        </w:tc>
        <w:tc>
          <w:tcPr>
            <w:tcW w:type="dxa" w:w="4680"/>
            <w:vAlign w:val="top"/>
          </w:tcPr>
          <w:p>
            <w:r>
              <w:rPr>
                <w:color w:val="1A1A2E"/>
                <w:sz w:val="18"/>
              </w:rPr>
              <w:t>$392.56</w:t>
            </w:r>
          </w:p>
        </w:tc>
      </w:tr>
      <w:tr>
        <w:tc>
          <w:tcPr>
            <w:tcW w:type="dxa" w:w="4680"/>
            <w:vAlign w:val="top"/>
          </w:tcPr>
          <w:p>
            <w:r>
              <w:rPr>
                <w:color w:val="1A1A2E"/>
                <w:sz w:val="18"/>
              </w:rPr>
              <w:t>Sharpe ratio</w:t>
            </w:r>
          </w:p>
        </w:tc>
        <w:tc>
          <w:tcPr>
            <w:tcW w:type="dxa" w:w="4680"/>
            <w:vAlign w:val="top"/>
          </w:tcPr>
          <w:p>
            <w:r>
              <w:rPr>
                <w:color w:val="1A1A2E"/>
                <w:sz w:val="18"/>
              </w:rPr>
              <w:t>6.48</w:t>
            </w:r>
          </w:p>
        </w:tc>
      </w:tr>
      <w:tr>
        <w:tc>
          <w:tcPr>
            <w:tcW w:type="dxa" w:w="4680"/>
            <w:vAlign w:val="top"/>
          </w:tcPr>
          <w:p>
            <w:r>
              <w:rPr>
                <w:color w:val="1A1A2E"/>
                <w:sz w:val="18"/>
              </w:rPr>
              <w:t>Sortino ratio</w:t>
            </w:r>
          </w:p>
        </w:tc>
        <w:tc>
          <w:tcPr>
            <w:tcW w:type="dxa" w:w="4680"/>
            <w:vAlign w:val="top"/>
          </w:tcPr>
          <w:p>
            <w:r>
              <w:rPr>
                <w:color w:val="1A1A2E"/>
                <w:sz w:val="18"/>
              </w:rPr>
              <w:t>2.72</w:t>
            </w:r>
          </w:p>
        </w:tc>
      </w:tr>
      <w:tr>
        <w:tc>
          <w:tcPr>
            <w:tcW w:type="dxa" w:w="4680"/>
            <w:vAlign w:val="top"/>
          </w:tcPr>
          <w:p>
            <w:r>
              <w:rPr>
                <w:color w:val="1A1A2E"/>
                <w:sz w:val="18"/>
              </w:rPr>
              <w:t>Calmar ratio</w:t>
            </w:r>
          </w:p>
        </w:tc>
        <w:tc>
          <w:tcPr>
            <w:tcW w:type="dxa" w:w="4680"/>
            <w:vAlign w:val="top"/>
          </w:tcPr>
          <w:p>
            <w:r>
              <w:rPr>
                <w:color w:val="1A1A2E"/>
                <w:sz w:val="18"/>
              </w:rPr>
              <w:t>133.71</w:t>
            </w:r>
          </w:p>
        </w:tc>
      </w:tr>
      <w:tr>
        <w:tc>
          <w:tcPr>
            <w:tcW w:type="dxa" w:w="4680"/>
            <w:vAlign w:val="top"/>
          </w:tcPr>
          <w:p>
            <w:r>
              <w:rPr>
                <w:color w:val="1A1A2E"/>
                <w:sz w:val="18"/>
              </w:rPr>
              <w:t>Maximum drawdown</w:t>
            </w:r>
          </w:p>
        </w:tc>
        <w:tc>
          <w:tcPr>
            <w:tcW w:type="dxa" w:w="4680"/>
            <w:vAlign w:val="top"/>
          </w:tcPr>
          <w:p>
            <w:r>
              <w:rPr>
                <w:color w:val="1A1A2E"/>
                <w:sz w:val="18"/>
              </w:rPr>
              <w:t>$11,841.83 (21.36%)</w:t>
            </w:r>
          </w:p>
        </w:tc>
      </w:tr>
      <w:tr>
        <w:tc>
          <w:tcPr>
            <w:tcW w:type="dxa" w:w="4680"/>
            <w:vAlign w:val="top"/>
          </w:tcPr>
          <w:p>
            <w:r>
              <w:rPr>
                <w:color w:val="1A1A2E"/>
                <w:sz w:val="18"/>
              </w:rPr>
              <w:t>Recovery factor</w:t>
            </w:r>
          </w:p>
        </w:tc>
        <w:tc>
          <w:tcPr>
            <w:tcW w:type="dxa" w:w="4680"/>
            <w:vAlign w:val="top"/>
          </w:tcPr>
          <w:p>
            <w:r>
              <w:rPr>
                <w:color w:val="1A1A2E"/>
                <w:sz w:val="18"/>
              </w:rPr>
              <w:t>24.12</w:t>
            </w:r>
          </w:p>
        </w:tc>
      </w:tr>
    </w:tbl>
    <w:p/>
    <w:p>
      <w:pPr>
        <w:pStyle w:val="Heading4"/>
      </w:pPr>
      <w:r>
        <w:t>Session Breakdown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top"/>
            <w:shd w:val="clear" w:color="auto" w:fill="1C2128"/>
          </w:tcPr>
          <w:p>
            <w:r>
              <w:rPr>
                <w:b/>
                <w:color w:val="FFFFFF"/>
                <w:sz w:val="18"/>
              </w:rPr>
              <w:t>Session</w:t>
            </w:r>
          </w:p>
        </w:tc>
        <w:tc>
          <w:tcPr>
            <w:tcW w:type="dxa" w:w="1872"/>
            <w:vAlign w:val="top"/>
            <w:shd w:val="clear" w:color="auto" w:fill="1C2128"/>
          </w:tcPr>
          <w:p>
            <w:r>
              <w:rPr>
                <w:b/>
                <w:color w:val="FFFFFF"/>
                <w:sz w:val="18"/>
              </w:rPr>
              <w:t>Trades</w:t>
            </w:r>
          </w:p>
        </w:tc>
        <w:tc>
          <w:tcPr>
            <w:tcW w:type="dxa" w:w="1872"/>
            <w:vAlign w:val="top"/>
            <w:shd w:val="clear" w:color="auto" w:fill="1C2128"/>
          </w:tcPr>
          <w:p>
            <w:r>
              <w:rPr>
                <w:b/>
                <w:color w:val="FFFFFF"/>
                <w:sz w:val="18"/>
              </w:rPr>
              <w:t>Win Rate</w:t>
            </w:r>
          </w:p>
        </w:tc>
        <w:tc>
          <w:tcPr>
            <w:tcW w:type="dxa" w:w="1872"/>
            <w:vAlign w:val="top"/>
            <w:shd w:val="clear" w:color="auto" w:fill="1C2128"/>
          </w:tcPr>
          <w:p>
            <w:r>
              <w:rPr>
                <w:b/>
                <w:color w:val="FFFFFF"/>
                <w:sz w:val="18"/>
              </w:rPr>
              <w:t>Net Profit</w:t>
            </w:r>
          </w:p>
        </w:tc>
        <w:tc>
          <w:tcPr>
            <w:tcW w:type="dxa" w:w="1872"/>
            <w:vAlign w:val="top"/>
            <w:shd w:val="clear" w:color="auto" w:fill="1C2128"/>
          </w:tcPr>
          <w:p>
            <w:r>
              <w:rPr>
                <w:b/>
                <w:color w:val="FFFFFF"/>
                <w:sz w:val="18"/>
              </w:rPr>
              <w:t>Notes</w:t>
            </w:r>
          </w:p>
        </w:tc>
      </w:tr>
      <w:tr>
        <w:tc>
          <w:tcPr>
            <w:tcW w:type="dxa" w:w="1872"/>
            <w:vAlign w:val="top"/>
          </w:tcPr>
          <w:p>
            <w:r>
              <w:rPr>
                <w:color w:val="1A1A2E"/>
                <w:sz w:val="18"/>
              </w:rPr>
              <w:t>London</w:t>
            </w:r>
          </w:p>
        </w:tc>
        <w:tc>
          <w:tcPr>
            <w:tcW w:type="dxa" w:w="1872"/>
            <w:vAlign w:val="top"/>
          </w:tcPr>
          <w:p>
            <w:r>
              <w:rPr>
                <w:color w:val="1A1A2E"/>
                <w:sz w:val="18"/>
              </w:rPr>
              <w:t>350</w:t>
            </w:r>
          </w:p>
        </w:tc>
        <w:tc>
          <w:tcPr>
            <w:tcW w:type="dxa" w:w="1872"/>
            <w:vAlign w:val="top"/>
          </w:tcPr>
          <w:p>
            <w:r>
              <w:rPr>
                <w:color w:val="1A1A2E"/>
                <w:sz w:val="18"/>
              </w:rPr>
              <w:t>60.00%</w:t>
            </w:r>
          </w:p>
        </w:tc>
        <w:tc>
          <w:tcPr>
            <w:tcW w:type="dxa" w:w="1872"/>
            <w:vAlign w:val="top"/>
          </w:tcPr>
          <w:p>
            <w:r>
              <w:rPr>
                <w:color w:val="1A1A2E"/>
                <w:sz w:val="18"/>
              </w:rPr>
              <w:t>$154,476.84</w:t>
            </w:r>
          </w:p>
        </w:tc>
        <w:tc>
          <w:tcPr>
            <w:tcW w:type="dxa" w:w="1872"/>
            <w:vAlign w:val="top"/>
          </w:tcPr>
          <w:p>
            <w:r>
              <w:rPr>
                <w:color w:val="1A1A2E"/>
                <w:sz w:val="18"/>
              </w:rPr>
              <w:t>Best session — institutional order flow</w:t>
            </w:r>
          </w:p>
        </w:tc>
      </w:tr>
      <w:tr>
        <w:tc>
          <w:tcPr>
            <w:tcW w:type="dxa" w:w="1872"/>
            <w:vAlign w:val="top"/>
          </w:tcPr>
          <w:p>
            <w:r>
              <w:rPr>
                <w:color w:val="1A1A2E"/>
                <w:sz w:val="18"/>
              </w:rPr>
              <w:t>Asian</w:t>
            </w:r>
          </w:p>
        </w:tc>
        <w:tc>
          <w:tcPr>
            <w:tcW w:type="dxa" w:w="1872"/>
            <w:vAlign w:val="top"/>
          </w:tcPr>
          <w:p>
            <w:r>
              <w:rPr>
                <w:color w:val="1A1A2E"/>
                <w:sz w:val="18"/>
              </w:rPr>
              <w:t>305</w:t>
            </w:r>
          </w:p>
        </w:tc>
        <w:tc>
          <w:tcPr>
            <w:tcW w:type="dxa" w:w="1872"/>
            <w:vAlign w:val="top"/>
          </w:tcPr>
          <w:p>
            <w:r>
              <w:rPr>
                <w:color w:val="1A1A2E"/>
                <w:sz w:val="18"/>
              </w:rPr>
              <w:t>50.82%</w:t>
            </w:r>
          </w:p>
        </w:tc>
        <w:tc>
          <w:tcPr>
            <w:tcW w:type="dxa" w:w="1872"/>
            <w:vAlign w:val="top"/>
          </w:tcPr>
          <w:p>
            <w:r>
              <w:rPr>
                <w:color w:val="1A1A2E"/>
                <w:sz w:val="18"/>
              </w:rPr>
              <w:t>$73,149.40</w:t>
            </w:r>
          </w:p>
        </w:tc>
        <w:tc>
          <w:tcPr>
            <w:tcW w:type="dxa" w:w="1872"/>
            <w:vAlign w:val="top"/>
          </w:tcPr>
          <w:p>
            <w:r>
              <w:rPr>
                <w:color w:val="1A1A2E"/>
                <w:sz w:val="18"/>
              </w:rPr>
              <w:t>More ranging behavior</w:t>
            </w:r>
          </w:p>
        </w:tc>
      </w:tr>
      <w:tr>
        <w:tc>
          <w:tcPr>
            <w:tcW w:type="dxa" w:w="1872"/>
            <w:vAlign w:val="top"/>
          </w:tcPr>
          <w:p>
            <w:r>
              <w:rPr>
                <w:color w:val="1A1A2E"/>
                <w:sz w:val="18"/>
              </w:rPr>
              <w:t>New York</w:t>
            </w:r>
          </w:p>
        </w:tc>
        <w:tc>
          <w:tcPr>
            <w:tcW w:type="dxa" w:w="1872"/>
            <w:vAlign w:val="top"/>
          </w:tcPr>
          <w:p>
            <w:r>
              <w:rPr>
                <w:color w:val="1A1A2E"/>
                <w:sz w:val="18"/>
              </w:rPr>
              <w:t>72</w:t>
            </w:r>
          </w:p>
        </w:tc>
        <w:tc>
          <w:tcPr>
            <w:tcW w:type="dxa" w:w="1872"/>
            <w:vAlign w:val="top"/>
          </w:tcPr>
          <w:p>
            <w:r>
              <w:rPr>
                <w:color w:val="1A1A2E"/>
                <w:sz w:val="18"/>
              </w:rPr>
              <w:t>59.72%</w:t>
            </w:r>
          </w:p>
        </w:tc>
        <w:tc>
          <w:tcPr>
            <w:tcW w:type="dxa" w:w="1872"/>
            <w:vAlign w:val="top"/>
          </w:tcPr>
          <w:p>
            <w:r>
              <w:rPr>
                <w:color w:val="1A1A2E"/>
                <w:sz w:val="18"/>
              </w:rPr>
              <w:t>$43,701.72</w:t>
            </w:r>
          </w:p>
        </w:tc>
        <w:tc>
          <w:tcPr>
            <w:tcW w:type="dxa" w:w="1872"/>
            <w:vAlign w:val="top"/>
          </w:tcPr>
          <w:p>
            <w:r>
              <w:rPr>
                <w:color w:val="1A1A2E"/>
                <w:sz w:val="18"/>
              </w:rPr>
              <w:t>High-conviction signals only</w:t>
            </w:r>
          </w:p>
        </w:tc>
      </w:tr>
      <w:tr>
        <w:tc>
          <w:tcPr>
            <w:tcW w:type="dxa" w:w="1872"/>
            <w:vAlign w:val="top"/>
          </w:tcPr>
          <w:p>
            <w:r>
              <w:rPr>
                <w:color w:val="1A1A2E"/>
                <w:sz w:val="18"/>
              </w:rPr>
              <w:t>Overlap</w:t>
            </w:r>
          </w:p>
        </w:tc>
        <w:tc>
          <w:tcPr>
            <w:tcW w:type="dxa" w:w="1872"/>
            <w:vAlign w:val="top"/>
          </w:tcPr>
          <w:p>
            <w:r>
              <w:rPr>
                <w:color w:val="1A1A2E"/>
                <w:sz w:val="18"/>
              </w:rPr>
              <w:t>89</w:t>
            </w:r>
          </w:p>
        </w:tc>
        <w:tc>
          <w:tcPr>
            <w:tcW w:type="dxa" w:w="1872"/>
            <w:vAlign w:val="top"/>
          </w:tcPr>
          <w:p>
            <w:r>
              <w:rPr>
                <w:color w:val="1A1A2E"/>
                <w:sz w:val="18"/>
              </w:rPr>
              <w:t>61.80%</w:t>
            </w:r>
          </w:p>
        </w:tc>
        <w:tc>
          <w:tcPr>
            <w:tcW w:type="dxa" w:w="1872"/>
            <w:vAlign w:val="top"/>
          </w:tcPr>
          <w:p>
            <w:r>
              <w:rPr>
                <w:color w:val="1A1A2E"/>
                <w:sz w:val="18"/>
              </w:rPr>
              <w:t>$54,710.81</w:t>
            </w:r>
          </w:p>
        </w:tc>
        <w:tc>
          <w:tcPr>
            <w:tcW w:type="dxa" w:w="1872"/>
            <w:vAlign w:val="top"/>
          </w:tcPr>
          <w:p>
            <w:r>
              <w:rPr>
                <w:color w:val="1A1A2E"/>
                <w:sz w:val="18"/>
              </w:rPr>
              <w:t>London/NY overlap — highest momentum</w:t>
            </w:r>
          </w:p>
        </w:tc>
      </w:tr>
      <w:tr>
        <w:tc>
          <w:tcPr>
            <w:tcW w:type="dxa" w:w="1872"/>
            <w:vAlign w:val="top"/>
          </w:tcPr>
          <w:p>
            <w:r>
              <w:rPr>
                <w:color w:val="1A1A2E"/>
                <w:sz w:val="18"/>
              </w:rPr>
              <w:t>Off-hours</w:t>
            </w:r>
          </w:p>
        </w:tc>
        <w:tc>
          <w:tcPr>
            <w:tcW w:type="dxa" w:w="1872"/>
            <w:vAlign w:val="top"/>
          </w:tcPr>
          <w:p>
            <w:r>
              <w:rPr>
                <w:color w:val="1A1A2E"/>
                <w:sz w:val="18"/>
              </w:rPr>
              <w:t>4</w:t>
            </w:r>
          </w:p>
        </w:tc>
        <w:tc>
          <w:tcPr>
            <w:tcW w:type="dxa" w:w="1872"/>
            <w:vAlign w:val="top"/>
          </w:tcPr>
          <w:p>
            <w:r>
              <w:rPr>
                <w:color w:val="1A1A2E"/>
                <w:sz w:val="18"/>
              </w:rPr>
              <w:t>0.00%</w:t>
            </w:r>
          </w:p>
        </w:tc>
        <w:tc>
          <w:tcPr>
            <w:tcW w:type="dxa" w:w="1872"/>
            <w:vAlign w:val="top"/>
          </w:tcPr>
          <w:p>
            <w:r>
              <w:rPr>
                <w:color w:val="1A1A2E"/>
                <w:sz w:val="18"/>
              </w:rPr>
              <w:t>-$4,143.02</w:t>
            </w:r>
          </w:p>
        </w:tc>
        <w:tc>
          <w:tcPr>
            <w:tcW w:type="dxa" w:w="1872"/>
            <w:vAlign w:val="top"/>
          </w:tcPr>
          <w:p>
            <w:r>
              <w:rPr>
                <w:color w:val="1A1A2E"/>
                <w:sz w:val="18"/>
              </w:rPr>
              <w:t>Minimal signal quality</w:t>
            </w:r>
          </w:p>
        </w:tc>
      </w:tr>
    </w:tbl>
    <w:p/>
    <w:p>
      <w:pPr/>
      <w:r>
        <w:t>The London session dominates by trade count (42.7%) and profitability (48.0%), confirming that institutional activity is highest during European hours and the model's ICT-based features are most effective then.</w:t>
      </w:r>
    </w:p>
    <w:p>
      <w:pPr>
        <w:pStyle w:val="Heading4"/>
      </w:pPr>
      <w:r>
        <w:t>Direction Breakdown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C2128"/>
          </w:tcPr>
          <w:p>
            <w:r>
              <w:rPr>
                <w:b/>
                <w:color w:val="FFFFFF"/>
                <w:sz w:val="18"/>
              </w:rPr>
              <w:t>Direction</w:t>
            </w:r>
          </w:p>
        </w:tc>
        <w:tc>
          <w:tcPr>
            <w:tcW w:type="dxa" w:w="2340"/>
            <w:vAlign w:val="top"/>
            <w:shd w:val="clear" w:color="auto" w:fill="1C2128"/>
          </w:tcPr>
          <w:p>
            <w:r>
              <w:rPr>
                <w:b/>
                <w:color w:val="FFFFFF"/>
                <w:sz w:val="18"/>
              </w:rPr>
              <w:t>Trades</w:t>
            </w:r>
          </w:p>
        </w:tc>
        <w:tc>
          <w:tcPr>
            <w:tcW w:type="dxa" w:w="2340"/>
            <w:vAlign w:val="top"/>
            <w:shd w:val="clear" w:color="auto" w:fill="1C2128"/>
          </w:tcPr>
          <w:p>
            <w:r>
              <w:rPr>
                <w:b/>
                <w:color w:val="FFFFFF"/>
                <w:sz w:val="18"/>
              </w:rPr>
              <w:t>Win Rate</w:t>
            </w:r>
          </w:p>
        </w:tc>
        <w:tc>
          <w:tcPr>
            <w:tcW w:type="dxa" w:w="2340"/>
            <w:vAlign w:val="top"/>
            <w:shd w:val="clear" w:color="auto" w:fill="1C2128"/>
          </w:tcPr>
          <w:p>
            <w:r>
              <w:rPr>
                <w:b/>
                <w:color w:val="FFFFFF"/>
                <w:sz w:val="18"/>
              </w:rPr>
              <w:t>Net Profit</w:t>
            </w:r>
          </w:p>
        </w:tc>
      </w:tr>
      <w:tr>
        <w:tc>
          <w:tcPr>
            <w:tcW w:type="dxa" w:w="2340"/>
            <w:vAlign w:val="top"/>
          </w:tcPr>
          <w:p>
            <w:r>
              <w:rPr>
                <w:color w:val="1A1A2E"/>
                <w:sz w:val="18"/>
              </w:rPr>
              <w:t>BUY</w:t>
            </w:r>
          </w:p>
        </w:tc>
        <w:tc>
          <w:tcPr>
            <w:tcW w:type="dxa" w:w="2340"/>
            <w:vAlign w:val="top"/>
          </w:tcPr>
          <w:p>
            <w:r>
              <w:rPr>
                <w:color w:val="1A1A2E"/>
                <w:sz w:val="18"/>
              </w:rPr>
              <w:t>441</w:t>
            </w:r>
          </w:p>
        </w:tc>
        <w:tc>
          <w:tcPr>
            <w:tcW w:type="dxa" w:w="2340"/>
            <w:vAlign w:val="top"/>
          </w:tcPr>
          <w:p>
            <w:r>
              <w:rPr>
                <w:color w:val="1A1A2E"/>
                <w:sz w:val="18"/>
              </w:rPr>
              <w:t>56.01%</w:t>
            </w:r>
          </w:p>
        </w:tc>
        <w:tc>
          <w:tcPr>
            <w:tcW w:type="dxa" w:w="2340"/>
            <w:vAlign w:val="top"/>
          </w:tcPr>
          <w:p>
            <w:r>
              <w:rPr>
                <w:color w:val="1A1A2E"/>
                <w:sz w:val="18"/>
              </w:rPr>
              <w:t>$173,106.47</w:t>
            </w:r>
          </w:p>
        </w:tc>
      </w:tr>
      <w:tr>
        <w:tc>
          <w:tcPr>
            <w:tcW w:type="dxa" w:w="2340"/>
            <w:vAlign w:val="top"/>
          </w:tcPr>
          <w:p>
            <w:r>
              <w:rPr>
                <w:color w:val="1A1A2E"/>
                <w:sz w:val="18"/>
              </w:rPr>
              <w:t>SELL</w:t>
            </w:r>
          </w:p>
        </w:tc>
        <w:tc>
          <w:tcPr>
            <w:tcW w:type="dxa" w:w="2340"/>
            <w:vAlign w:val="top"/>
          </w:tcPr>
          <w:p>
            <w:r>
              <w:rPr>
                <w:color w:val="1A1A2E"/>
                <w:sz w:val="18"/>
              </w:rPr>
              <w:t>379</w:t>
            </w:r>
          </w:p>
        </w:tc>
        <w:tc>
          <w:tcPr>
            <w:tcW w:type="dxa" w:w="2340"/>
            <w:vAlign w:val="top"/>
          </w:tcPr>
          <w:p>
            <w:r>
              <w:rPr>
                <w:color w:val="1A1A2E"/>
                <w:sz w:val="18"/>
              </w:rPr>
              <w:t>56.99%</w:t>
            </w:r>
          </w:p>
        </w:tc>
        <w:tc>
          <w:tcPr>
            <w:tcW w:type="dxa" w:w="2340"/>
            <w:vAlign w:val="top"/>
          </w:tcPr>
          <w:p>
            <w:r>
              <w:rPr>
                <w:color w:val="1A1A2E"/>
                <w:sz w:val="18"/>
              </w:rPr>
              <w:t>$148,789.27</w:t>
            </w:r>
          </w:p>
        </w:tc>
      </w:tr>
    </w:tbl>
    <w:p/>
    <w:p>
      <w:pPr/>
      <w:r>
        <w:t>Buy and Sell signals are nearly balanced (54/46 split) with virtually identical win rates, confirming the model has no directional bias and is learning genuine price structure rather than a systematic long or short bias.</w:t>
      </w:r>
    </w:p>
    <w:p>
      <w:pPr>
        <w:pStyle w:val="Heading4"/>
      </w:pPr>
      <w:r>
        <w:t>Risk Metrics Interpretation</w:t>
      </w:r>
    </w:p>
    <w:p>
      <w:pPr>
        <w:ind w:left="360"/>
      </w:pPr>
      <w:r>
        <w:t xml:space="preserve">• </w:t>
      </w:r>
      <w:r>
        <w:rPr>
          <w:b/>
        </w:rPr>
        <w:t>Profit Factor 2.53:</w:t>
      </w:r>
      <w:r>
        <w:t xml:space="preserve"> For every $1 lost, $2.53 is earned. Values above 2.0 are considered excellent for systematic trading strategies.</w:t>
      </w:r>
    </w:p>
    <w:p>
      <w:pPr>
        <w:ind w:left="360"/>
      </w:pPr>
      <w:r>
        <w:t xml:space="preserve">• </w:t>
      </w:r>
      <w:r>
        <w:rPr>
          <w:b/>
        </w:rPr>
        <w:t>Sharpe Ratio 6.48:</w:t>
      </w:r>
      <w:r>
        <w:t xml:space="preserve"> Exceptionally high. Values above 2.0 are considered excellent; above 3.0 is rare in live trading. The high value reflects both consistent profitability and controlled drawdown.</w:t>
      </w:r>
    </w:p>
    <w:p>
      <w:pPr>
        <w:ind w:left="360"/>
      </w:pPr>
      <w:r>
        <w:t xml:space="preserve">• </w:t>
      </w:r>
      <w:r>
        <w:rPr>
          <w:b/>
        </w:rPr>
        <w:t>Calmar Ratio 133.71:</w:t>
      </w:r>
      <w:r>
        <w:t xml:space="preserve"> Annual return divided by max drawdown. Extreme value driven by the 3,218% total return over 3 years relative to the 21.36% max drawdown.</w:t>
      </w:r>
    </w:p>
    <w:p>
      <w:pPr>
        <w:ind w:left="360"/>
      </w:pPr>
      <w:r>
        <w:t xml:space="preserve">• </w:t>
      </w:r>
      <w:r>
        <w:rPr>
          <w:b/>
        </w:rPr>
        <w:t>Recovery Factor 24.12:</w:t>
      </w:r>
      <w:r>
        <w:t xml:space="preserve"> Net profit / Max drawdown. Indicates the portfolio recovered its maximum drawdown 24 times over, confirming strong resilience.</w:t>
      </w:r>
    </w:p>
    <w:p>
      <w:pPr/>
      <w:r>
        <w:rPr>
          <w:b/>
        </w:rPr>
        <w:t>Important caveat:</w:t>
      </w:r>
      <w:r>
        <w:t xml:space="preserve"> These results represent in-sample performance (the model was trained on historical data and backtested on the same period). True out-of-sample performance in live trading is expected to be lower. The walk-forward validation is a better indicator of generalization capability.</w:t>
      </w:r>
    </w:p>
    <w:p>
      <w:pPr>
        <w:pStyle w:val="Heading3"/>
      </w:pPr>
      <w:r>
        <w:t>12.7 Report Outputs</w:t>
      </w:r>
    </w:p>
    <w:p>
      <w:pPr/>
      <w:r>
        <w:t xml:space="preserve">The backtester writes the following files to </w:t>
      </w:r>
      <w:r>
        <w:rPr>
          <w:rFonts w:ascii="Consolas" w:hAnsi="Consolas"/>
          <w:color w:val="2E863A"/>
          <w:sz w:val="19"/>
        </w:rPr>
        <w:t>backtesting/</w:t>
      </w:r>
      <w:r>
        <w:t>:</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File</w:t>
            </w:r>
          </w:p>
        </w:tc>
        <w:tc>
          <w:tcPr>
            <w:tcW w:type="dxa" w:w="4680"/>
            <w:vAlign w:val="top"/>
            <w:shd w:val="clear" w:color="auto" w:fill="1C2128"/>
          </w:tcPr>
          <w:p>
            <w:r>
              <w:rPr>
                <w:b/>
                <w:color w:val="FFFFFF"/>
                <w:sz w:val="18"/>
              </w:rPr>
              <w:t>Contents</w:t>
            </w:r>
          </w:p>
        </w:tc>
      </w:tr>
      <w:tr>
        <w:tc>
          <w:tcPr>
            <w:tcW w:type="dxa" w:w="4680"/>
            <w:vAlign w:val="top"/>
          </w:tcPr>
          <w:p>
            <w:r>
              <w:rPr>
                <w:color w:val="1A1A2E"/>
                <w:sz w:val="18"/>
              </w:rPr>
            </w:r>
            <w:r>
              <w:rPr>
                <w:rFonts w:ascii="Consolas" w:hAnsi="Consolas"/>
                <w:color w:val="2E863A"/>
                <w:sz w:val="18"/>
              </w:rPr>
              <w:t>backtest_report.md</w:t>
            </w:r>
            <w:r>
              <w:rPr>
                <w:color w:val="1A1A2E"/>
                <w:sz w:val="18"/>
              </w:rPr>
            </w:r>
          </w:p>
        </w:tc>
        <w:tc>
          <w:tcPr>
            <w:tcW w:type="dxa" w:w="4680"/>
            <w:vAlign w:val="top"/>
          </w:tcPr>
          <w:p>
            <w:r>
              <w:rPr>
                <w:color w:val="1A1A2E"/>
                <w:sz w:val="18"/>
              </w:rPr>
              <w:t>Full narrative report</w:t>
            </w:r>
          </w:p>
        </w:tc>
      </w:tr>
      <w:tr>
        <w:tc>
          <w:tcPr>
            <w:tcW w:type="dxa" w:w="4680"/>
            <w:vAlign w:val="top"/>
          </w:tcPr>
          <w:p>
            <w:r>
              <w:rPr>
                <w:color w:val="1A1A2E"/>
                <w:sz w:val="18"/>
              </w:rPr>
            </w:r>
            <w:r>
              <w:rPr>
                <w:rFonts w:ascii="Consolas" w:hAnsi="Consolas"/>
                <w:color w:val="2E863A"/>
                <w:sz w:val="18"/>
              </w:rPr>
              <w:t>trade_log.csv</w:t>
            </w:r>
            <w:r>
              <w:rPr>
                <w:color w:val="1A1A2E"/>
                <w:sz w:val="18"/>
              </w:rPr>
            </w:r>
          </w:p>
        </w:tc>
        <w:tc>
          <w:tcPr>
            <w:tcW w:type="dxa" w:w="4680"/>
            <w:vAlign w:val="top"/>
          </w:tcPr>
          <w:p>
            <w:r>
              <w:rPr>
                <w:color w:val="1A1A2E"/>
                <w:sz w:val="18"/>
              </w:rPr>
              <w:t>Every trade with entry, exit, P&amp;L, session</w:t>
            </w:r>
          </w:p>
        </w:tc>
      </w:tr>
      <w:tr>
        <w:tc>
          <w:tcPr>
            <w:tcW w:type="dxa" w:w="4680"/>
            <w:vAlign w:val="top"/>
          </w:tcPr>
          <w:p>
            <w:r>
              <w:rPr>
                <w:color w:val="1A1A2E"/>
                <w:sz w:val="18"/>
              </w:rPr>
            </w:r>
            <w:r>
              <w:rPr>
                <w:rFonts w:ascii="Consolas" w:hAnsi="Consolas"/>
                <w:color w:val="2E863A"/>
                <w:sz w:val="18"/>
              </w:rPr>
              <w:t>equity_curve.csv</w:t>
            </w:r>
            <w:r>
              <w:rPr>
                <w:color w:val="1A1A2E"/>
                <w:sz w:val="18"/>
              </w:rPr>
            </w:r>
          </w:p>
        </w:tc>
        <w:tc>
          <w:tcPr>
            <w:tcW w:type="dxa" w:w="4680"/>
            <w:vAlign w:val="top"/>
          </w:tcPr>
          <w:p>
            <w:r>
              <w:rPr>
                <w:color w:val="1A1A2E"/>
                <w:sz w:val="18"/>
              </w:rPr>
              <w:t>Bar-by-bar equity values</w:t>
            </w:r>
          </w:p>
        </w:tc>
      </w:tr>
      <w:tr>
        <w:tc>
          <w:tcPr>
            <w:tcW w:type="dxa" w:w="4680"/>
            <w:vAlign w:val="top"/>
          </w:tcPr>
          <w:p>
            <w:r>
              <w:rPr>
                <w:color w:val="1A1A2E"/>
                <w:sz w:val="18"/>
              </w:rPr>
            </w:r>
            <w:r>
              <w:rPr>
                <w:rFonts w:ascii="Consolas" w:hAnsi="Consolas"/>
                <w:color w:val="2E863A"/>
                <w:sz w:val="18"/>
              </w:rPr>
              <w:t>performance_summary.csv</w:t>
            </w:r>
            <w:r>
              <w:rPr>
                <w:color w:val="1A1A2E"/>
                <w:sz w:val="18"/>
              </w:rPr>
            </w:r>
          </w:p>
        </w:tc>
        <w:tc>
          <w:tcPr>
            <w:tcW w:type="dxa" w:w="4680"/>
            <w:vAlign w:val="top"/>
          </w:tcPr>
          <w:p>
            <w:r>
              <w:rPr>
                <w:color w:val="1A1A2E"/>
                <w:sz w:val="18"/>
              </w:rPr>
              <w:t>Metrics summary table</w:t>
            </w:r>
          </w:p>
        </w:tc>
      </w:tr>
      <w:tr>
        <w:tc>
          <w:tcPr>
            <w:tcW w:type="dxa" w:w="4680"/>
            <w:vAlign w:val="top"/>
          </w:tcPr>
          <w:p>
            <w:r>
              <w:rPr>
                <w:color w:val="1A1A2E"/>
                <w:sz w:val="18"/>
              </w:rPr>
            </w:r>
            <w:r>
              <w:rPr>
                <w:rFonts w:ascii="Consolas" w:hAnsi="Consolas"/>
                <w:color w:val="2E863A"/>
                <w:sz w:val="18"/>
              </w:rPr>
              <w:t>risk_report.md</w:t>
            </w:r>
            <w:r>
              <w:rPr>
                <w:color w:val="1A1A2E"/>
                <w:sz w:val="18"/>
              </w:rPr>
            </w:r>
          </w:p>
        </w:tc>
        <w:tc>
          <w:tcPr>
            <w:tcW w:type="dxa" w:w="4680"/>
            <w:vAlign w:val="top"/>
          </w:tcPr>
          <w:p>
            <w:r>
              <w:rPr>
                <w:color w:val="1A1A2E"/>
                <w:sz w:val="18"/>
              </w:rPr>
              <w:t>Risk analysis narrative</w:t>
            </w:r>
          </w:p>
        </w:tc>
      </w:tr>
      <w:tr>
        <w:tc>
          <w:tcPr>
            <w:tcW w:type="dxa" w:w="4680"/>
            <w:vAlign w:val="top"/>
          </w:tcPr>
          <w:p>
            <w:r>
              <w:rPr>
                <w:color w:val="1A1A2E"/>
                <w:sz w:val="18"/>
              </w:rPr>
            </w:r>
            <w:r>
              <w:rPr>
                <w:rFonts w:ascii="Consolas" w:hAnsi="Consolas"/>
                <w:color w:val="2E863A"/>
                <w:sz w:val="18"/>
              </w:rPr>
              <w:t>performance_metrics.json</w:t>
            </w:r>
            <w:r>
              <w:rPr>
                <w:color w:val="1A1A2E"/>
                <w:sz w:val="18"/>
              </w:rPr>
            </w:r>
          </w:p>
        </w:tc>
        <w:tc>
          <w:tcPr>
            <w:tcW w:type="dxa" w:w="4680"/>
            <w:vAlign w:val="top"/>
          </w:tcPr>
          <w:p>
            <w:r>
              <w:rPr>
                <w:color w:val="1A1A2E"/>
                <w:sz w:val="18"/>
              </w:rPr>
              <w:t>All metrics as JSON</w:t>
            </w:r>
          </w:p>
        </w:tc>
      </w:tr>
      <w:tr>
        <w:tc>
          <w:tcPr>
            <w:tcW w:type="dxa" w:w="4680"/>
            <w:vAlign w:val="top"/>
          </w:tcPr>
          <w:p>
            <w:r>
              <w:rPr>
                <w:color w:val="1A1A2E"/>
                <w:sz w:val="18"/>
              </w:rPr>
            </w:r>
            <w:r>
              <w:rPr>
                <w:rFonts w:ascii="Consolas" w:hAnsi="Consolas"/>
                <w:color w:val="2E863A"/>
                <w:sz w:val="18"/>
              </w:rPr>
              <w:t>monthly_returns.csv</w:t>
            </w:r>
            <w:r>
              <w:rPr>
                <w:color w:val="1A1A2E"/>
                <w:sz w:val="18"/>
              </w:rPr>
            </w:r>
          </w:p>
        </w:tc>
        <w:tc>
          <w:tcPr>
            <w:tcW w:type="dxa" w:w="4680"/>
            <w:vAlign w:val="top"/>
          </w:tcPr>
          <w:p>
            <w:r>
              <w:rPr>
                <w:color w:val="1A1A2E"/>
                <w:sz w:val="18"/>
              </w:rPr>
              <w:t>Month-by-month returns</w:t>
            </w:r>
          </w:p>
        </w:tc>
      </w:tr>
      <w:tr>
        <w:tc>
          <w:tcPr>
            <w:tcW w:type="dxa" w:w="4680"/>
            <w:vAlign w:val="top"/>
          </w:tcPr>
          <w:p>
            <w:r>
              <w:rPr>
                <w:color w:val="1A1A2E"/>
                <w:sz w:val="18"/>
              </w:rPr>
            </w:r>
            <w:r>
              <w:rPr>
                <w:rFonts w:ascii="Consolas" w:hAnsi="Consolas"/>
                <w:color w:val="2E863A"/>
                <w:sz w:val="18"/>
              </w:rPr>
              <w:t>yearly_returns.csv</w:t>
            </w:r>
            <w:r>
              <w:rPr>
                <w:color w:val="1A1A2E"/>
                <w:sz w:val="18"/>
              </w:rPr>
            </w:r>
          </w:p>
        </w:tc>
        <w:tc>
          <w:tcPr>
            <w:tcW w:type="dxa" w:w="4680"/>
            <w:vAlign w:val="top"/>
          </w:tcPr>
          <w:p>
            <w:r>
              <w:rPr>
                <w:color w:val="1A1A2E"/>
                <w:sz w:val="18"/>
              </w:rPr>
              <w:t>Year-by-year returns</w:t>
            </w:r>
          </w:p>
        </w:tc>
      </w:tr>
      <w:tr>
        <w:tc>
          <w:tcPr>
            <w:tcW w:type="dxa" w:w="4680"/>
            <w:vAlign w:val="top"/>
          </w:tcPr>
          <w:p>
            <w:r>
              <w:rPr>
                <w:color w:val="1A1A2E"/>
                <w:sz w:val="18"/>
              </w:rPr>
            </w:r>
            <w:r>
              <w:rPr>
                <w:rFonts w:ascii="Consolas" w:hAnsi="Consolas"/>
                <w:color w:val="2E863A"/>
                <w:sz w:val="18"/>
              </w:rPr>
              <w:t>trade_statistics.csv</w:t>
            </w:r>
            <w:r>
              <w:rPr>
                <w:color w:val="1A1A2E"/>
                <w:sz w:val="18"/>
              </w:rPr>
            </w:r>
          </w:p>
        </w:tc>
        <w:tc>
          <w:tcPr>
            <w:tcW w:type="dxa" w:w="4680"/>
            <w:vAlign w:val="top"/>
          </w:tcPr>
          <w:p>
            <w:r>
              <w:rPr>
                <w:color w:val="1A1A2E"/>
                <w:sz w:val="18"/>
              </w:rPr>
              <w:t>Trade distribution statistics</w:t>
            </w:r>
          </w:p>
        </w:tc>
      </w:tr>
    </w:tbl>
    <w:p/>
    <w:p>
      <w:pPr>
        <w:pStyle w:val="Heading2"/>
      </w:pPr>
      <w:r>
        <w:t>13. Model Comparison &amp; Selection</w:t>
      </w:r>
    </w:p>
    <w:p>
      <w:pPr>
        <w:pStyle w:val="Heading3"/>
      </w:pPr>
      <w:r>
        <w:t>13.1 Selection Methodology</w:t>
      </w:r>
    </w:p>
    <w:p>
      <w:pPr/>
      <w:r>
        <w:t>The best model is selected using a two-stage process:</w:t>
      </w:r>
    </w:p>
    <w:p>
      <w:pPr/>
      <w:r>
        <w:rPr>
          <w:b/>
        </w:rPr>
        <w:t>Stage 1 — Walk-forward ranking:</w:t>
      </w:r>
      <w:r>
        <w:t xml:space="preserve"> All four models are ranked by their composite validation score across all 6 windows. This score incorporates accuracy, F1, stability, robustness, and inference speed.</w:t>
      </w:r>
    </w:p>
    <w:p>
      <w:pPr/>
      <w:r>
        <w:rPr>
          <w:b/>
        </w:rPr>
        <w:t>Stage 2 — Backtest confirmation:</w:t>
      </w:r>
      <w:r>
        <w:t xml:space="preserve"> The top-ranked model undergoes full-dataset institutional backtesting. If backtest metrics fall below minimum thresholds (Sharpe &lt; 1.0, win rate &lt; 45%, profit factor &lt; 1.2), the next-ranked model is evaluated.</w:t>
      </w:r>
    </w:p>
    <w:p>
      <w:pPr>
        <w:pStyle w:val="Heading3"/>
      </w:pPr>
      <w:r>
        <w:t>13.2 Final Rankings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vAlign w:val="top"/>
            <w:shd w:val="clear" w:color="auto" w:fill="1C2128"/>
          </w:tcPr>
          <w:p>
            <w:r>
              <w:rPr>
                <w:b/>
                <w:color w:val="FFFFFF"/>
                <w:sz w:val="18"/>
              </w:rPr>
              <w:t>Rank</w:t>
            </w:r>
          </w:p>
        </w:tc>
        <w:tc>
          <w:tcPr>
            <w:tcW w:type="dxa" w:w="1337"/>
            <w:vAlign w:val="top"/>
            <w:shd w:val="clear" w:color="auto" w:fill="1C2128"/>
          </w:tcPr>
          <w:p>
            <w:r>
              <w:rPr>
                <w:b/>
                <w:color w:val="FFFFFF"/>
                <w:sz w:val="18"/>
              </w:rPr>
              <w:t>Model</w:t>
            </w:r>
          </w:p>
        </w:tc>
        <w:tc>
          <w:tcPr>
            <w:tcW w:type="dxa" w:w="1337"/>
            <w:vAlign w:val="top"/>
            <w:shd w:val="clear" w:color="auto" w:fill="1C2128"/>
          </w:tcPr>
          <w:p>
            <w:r>
              <w:rPr>
                <w:b/>
                <w:color w:val="FFFFFF"/>
                <w:sz w:val="18"/>
              </w:rPr>
              <w:t>WF Score</w:t>
            </w:r>
          </w:p>
        </w:tc>
        <w:tc>
          <w:tcPr>
            <w:tcW w:type="dxa" w:w="1337"/>
            <w:vAlign w:val="top"/>
            <w:shd w:val="clear" w:color="auto" w:fill="1C2128"/>
          </w:tcPr>
          <w:p>
            <w:r>
              <w:rPr>
                <w:b/>
                <w:color w:val="FFFFFF"/>
                <w:sz w:val="18"/>
              </w:rPr>
              <w:t>Stability</w:t>
            </w:r>
          </w:p>
        </w:tc>
        <w:tc>
          <w:tcPr>
            <w:tcW w:type="dxa" w:w="1337"/>
            <w:vAlign w:val="top"/>
            <w:shd w:val="clear" w:color="auto" w:fill="1C2128"/>
          </w:tcPr>
          <w:p>
            <w:r>
              <w:rPr>
                <w:b/>
                <w:color w:val="FFFFFF"/>
                <w:sz w:val="18"/>
              </w:rPr>
              <w:t>Robustness</w:t>
            </w:r>
          </w:p>
        </w:tc>
        <w:tc>
          <w:tcPr>
            <w:tcW w:type="dxa" w:w="1337"/>
            <w:vAlign w:val="top"/>
            <w:shd w:val="clear" w:color="auto" w:fill="1C2128"/>
          </w:tcPr>
          <w:p>
            <w:r>
              <w:rPr>
                <w:b/>
                <w:color w:val="FFFFFF"/>
                <w:sz w:val="18"/>
              </w:rPr>
              <w:t>Inference</w:t>
            </w:r>
          </w:p>
        </w:tc>
        <w:tc>
          <w:tcPr>
            <w:tcW w:type="dxa" w:w="1337"/>
            <w:vAlign w:val="top"/>
            <w:shd w:val="clear" w:color="auto" w:fill="1C2128"/>
          </w:tcPr>
          <w:p>
            <w:r>
              <w:rPr>
                <w:b/>
                <w:color w:val="FFFFFF"/>
                <w:sz w:val="18"/>
              </w:rPr>
              <w:t>Recommendation</w:t>
            </w:r>
          </w:p>
        </w:tc>
      </w:tr>
      <w:tr>
        <w:tc>
          <w:tcPr>
            <w:tcW w:type="dxa" w:w="1337"/>
            <w:vAlign w:val="top"/>
          </w:tcPr>
          <w:p>
            <w:r>
              <w:rPr>
                <w:color w:val="1A1A2E"/>
                <w:sz w:val="18"/>
              </w:rPr>
              <w:t>1</w:t>
            </w:r>
          </w:p>
        </w:tc>
        <w:tc>
          <w:tcPr>
            <w:tcW w:type="dxa" w:w="1337"/>
            <w:vAlign w:val="top"/>
          </w:tcPr>
          <w:p>
            <w:r>
              <w:rPr>
                <w:color w:val="1A1A2E"/>
                <w:sz w:val="18"/>
              </w:rPr>
              <w:t>XGBoost</w:t>
            </w:r>
          </w:p>
        </w:tc>
        <w:tc>
          <w:tcPr>
            <w:tcW w:type="dxa" w:w="1337"/>
            <w:vAlign w:val="top"/>
          </w:tcPr>
          <w:p>
            <w:r>
              <w:rPr>
                <w:color w:val="1A1A2E"/>
                <w:sz w:val="18"/>
              </w:rPr>
              <w:t>0.7802</w:t>
            </w:r>
          </w:p>
        </w:tc>
        <w:tc>
          <w:tcPr>
            <w:tcW w:type="dxa" w:w="1337"/>
            <w:vAlign w:val="top"/>
          </w:tcPr>
          <w:p>
            <w:r>
              <w:rPr>
                <w:color w:val="1A1A2E"/>
                <w:sz w:val="18"/>
              </w:rPr>
              <w:t>0.9369</w:t>
            </w:r>
          </w:p>
        </w:tc>
        <w:tc>
          <w:tcPr>
            <w:tcW w:type="dxa" w:w="1337"/>
            <w:vAlign w:val="top"/>
          </w:tcPr>
          <w:p>
            <w:r>
              <w:rPr>
                <w:color w:val="1A1A2E"/>
                <w:sz w:val="18"/>
              </w:rPr>
              <w:t>0.6022</w:t>
            </w:r>
          </w:p>
        </w:tc>
        <w:tc>
          <w:tcPr>
            <w:tcW w:type="dxa" w:w="1337"/>
            <w:vAlign w:val="top"/>
          </w:tcPr>
          <w:p>
            <w:r>
              <w:rPr>
                <w:color w:val="1A1A2E"/>
                <w:sz w:val="18"/>
              </w:rPr>
              <w:t>0.05 ms</w:t>
            </w:r>
          </w:p>
        </w:tc>
        <w:tc>
          <w:tcPr>
            <w:tcW w:type="dxa" w:w="1337"/>
            <w:vAlign w:val="top"/>
          </w:tcPr>
          <w:p>
            <w:r>
              <w:rPr>
                <w:color w:val="1A1A2E"/>
                <w:sz w:val="18"/>
              </w:rPr>
              <w:t>Selected</w:t>
            </w:r>
          </w:p>
        </w:tc>
      </w:tr>
      <w:tr>
        <w:tc>
          <w:tcPr>
            <w:tcW w:type="dxa" w:w="1337"/>
            <w:vAlign w:val="top"/>
          </w:tcPr>
          <w:p>
            <w:r>
              <w:rPr>
                <w:color w:val="1A1A2E"/>
                <w:sz w:val="18"/>
              </w:rPr>
              <w:t>2</w:t>
            </w:r>
          </w:p>
        </w:tc>
        <w:tc>
          <w:tcPr>
            <w:tcW w:type="dxa" w:w="1337"/>
            <w:vAlign w:val="top"/>
          </w:tcPr>
          <w:p>
            <w:r>
              <w:rPr>
                <w:color w:val="1A1A2E"/>
                <w:sz w:val="18"/>
              </w:rPr>
              <w:t>LightGBM</w:t>
            </w:r>
          </w:p>
        </w:tc>
        <w:tc>
          <w:tcPr>
            <w:tcW w:type="dxa" w:w="1337"/>
            <w:vAlign w:val="top"/>
          </w:tcPr>
          <w:p>
            <w:r>
              <w:rPr>
                <w:color w:val="1A1A2E"/>
                <w:sz w:val="18"/>
              </w:rPr>
              <w:t>0.7687</w:t>
            </w:r>
          </w:p>
        </w:tc>
        <w:tc>
          <w:tcPr>
            <w:tcW w:type="dxa" w:w="1337"/>
            <w:vAlign w:val="top"/>
          </w:tcPr>
          <w:p>
            <w:r>
              <w:rPr>
                <w:color w:val="1A1A2E"/>
                <w:sz w:val="18"/>
              </w:rPr>
              <w:t>0.9360</w:t>
            </w:r>
          </w:p>
        </w:tc>
        <w:tc>
          <w:tcPr>
            <w:tcW w:type="dxa" w:w="1337"/>
            <w:vAlign w:val="top"/>
          </w:tcPr>
          <w:p>
            <w:r>
              <w:rPr>
                <w:color w:val="1A1A2E"/>
                <w:sz w:val="18"/>
              </w:rPr>
              <w:t>0.6005</w:t>
            </w:r>
          </w:p>
        </w:tc>
        <w:tc>
          <w:tcPr>
            <w:tcW w:type="dxa" w:w="1337"/>
            <w:vAlign w:val="top"/>
          </w:tcPr>
          <w:p>
            <w:r>
              <w:rPr>
                <w:color w:val="1A1A2E"/>
                <w:sz w:val="18"/>
              </w:rPr>
              <w:t>0.25 ms</w:t>
            </w:r>
          </w:p>
        </w:tc>
        <w:tc>
          <w:tcPr>
            <w:tcW w:type="dxa" w:w="1337"/>
            <w:vAlign w:val="top"/>
          </w:tcPr>
          <w:p>
            <w:r>
              <w:rPr>
                <w:color w:val="1A1A2E"/>
                <w:sz w:val="18"/>
              </w:rPr>
              <w:t>Runner-up</w:t>
            </w:r>
          </w:p>
        </w:tc>
      </w:tr>
      <w:tr>
        <w:tc>
          <w:tcPr>
            <w:tcW w:type="dxa" w:w="1337"/>
            <w:vAlign w:val="top"/>
          </w:tcPr>
          <w:p>
            <w:r>
              <w:rPr>
                <w:color w:val="1A1A2E"/>
                <w:sz w:val="18"/>
              </w:rPr>
              <w:t>3</w:t>
            </w:r>
          </w:p>
        </w:tc>
        <w:tc>
          <w:tcPr>
            <w:tcW w:type="dxa" w:w="1337"/>
            <w:vAlign w:val="top"/>
          </w:tcPr>
          <w:p>
            <w:r>
              <w:rPr>
                <w:color w:val="1A1A2E"/>
                <w:sz w:val="18"/>
              </w:rPr>
              <w:t>Random Forest</w:t>
            </w:r>
          </w:p>
        </w:tc>
        <w:tc>
          <w:tcPr>
            <w:tcW w:type="dxa" w:w="1337"/>
            <w:vAlign w:val="top"/>
          </w:tcPr>
          <w:p>
            <w:r>
              <w:rPr>
                <w:color w:val="1A1A2E"/>
                <w:sz w:val="18"/>
              </w:rPr>
              <w:t>0.7366</w:t>
            </w:r>
          </w:p>
        </w:tc>
        <w:tc>
          <w:tcPr>
            <w:tcW w:type="dxa" w:w="1337"/>
            <w:vAlign w:val="top"/>
          </w:tcPr>
          <w:p>
            <w:r>
              <w:rPr>
                <w:color w:val="1A1A2E"/>
                <w:sz w:val="18"/>
              </w:rPr>
              <w:t>0.9144</w:t>
            </w:r>
          </w:p>
        </w:tc>
        <w:tc>
          <w:tcPr>
            <w:tcW w:type="dxa" w:w="1337"/>
            <w:vAlign w:val="top"/>
          </w:tcPr>
          <w:p>
            <w:r>
              <w:rPr>
                <w:color w:val="1A1A2E"/>
                <w:sz w:val="18"/>
              </w:rPr>
              <w:t>0.5604</w:t>
            </w:r>
          </w:p>
        </w:tc>
        <w:tc>
          <w:tcPr>
            <w:tcW w:type="dxa" w:w="1337"/>
            <w:vAlign w:val="top"/>
          </w:tcPr>
          <w:p>
            <w:r>
              <w:rPr>
                <w:color w:val="1A1A2E"/>
                <w:sz w:val="18"/>
              </w:rPr>
              <w:t>0.15 ms</w:t>
            </w:r>
          </w:p>
        </w:tc>
        <w:tc>
          <w:tcPr>
            <w:tcW w:type="dxa" w:w="1337"/>
            <w:vAlign w:val="top"/>
          </w:tcPr>
          <w:p>
            <w:r>
              <w:rPr>
                <w:color w:val="1A1A2E"/>
                <w:sz w:val="18"/>
              </w:rPr>
              <w:t>Acceptable</w:t>
            </w:r>
          </w:p>
        </w:tc>
      </w:tr>
      <w:tr>
        <w:tc>
          <w:tcPr>
            <w:tcW w:type="dxa" w:w="1337"/>
            <w:vAlign w:val="top"/>
          </w:tcPr>
          <w:p>
            <w:r>
              <w:rPr>
                <w:color w:val="1A1A2E"/>
                <w:sz w:val="18"/>
              </w:rPr>
              <w:t>4</w:t>
            </w:r>
          </w:p>
        </w:tc>
        <w:tc>
          <w:tcPr>
            <w:tcW w:type="dxa" w:w="1337"/>
            <w:vAlign w:val="top"/>
          </w:tcPr>
          <w:p>
            <w:r>
              <w:rPr>
                <w:color w:val="1A1A2E"/>
                <w:sz w:val="18"/>
              </w:rPr>
              <w:t>Extra Trees</w:t>
            </w:r>
          </w:p>
        </w:tc>
        <w:tc>
          <w:tcPr>
            <w:tcW w:type="dxa" w:w="1337"/>
            <w:vAlign w:val="top"/>
          </w:tcPr>
          <w:p>
            <w:r>
              <w:rPr>
                <w:color w:val="1A1A2E"/>
                <w:sz w:val="18"/>
              </w:rPr>
              <w:t>0.7330</w:t>
            </w:r>
          </w:p>
        </w:tc>
        <w:tc>
          <w:tcPr>
            <w:tcW w:type="dxa" w:w="1337"/>
            <w:vAlign w:val="top"/>
          </w:tcPr>
          <w:p>
            <w:r>
              <w:rPr>
                <w:color w:val="1A1A2E"/>
                <w:sz w:val="18"/>
              </w:rPr>
              <w:t>0.9309</w:t>
            </w:r>
          </w:p>
        </w:tc>
        <w:tc>
          <w:tcPr>
            <w:tcW w:type="dxa" w:w="1337"/>
            <w:vAlign w:val="top"/>
          </w:tcPr>
          <w:p>
            <w:r>
              <w:rPr>
                <w:color w:val="1A1A2E"/>
                <w:sz w:val="18"/>
              </w:rPr>
              <w:t>0.5464</w:t>
            </w:r>
          </w:p>
        </w:tc>
        <w:tc>
          <w:tcPr>
            <w:tcW w:type="dxa" w:w="1337"/>
            <w:vAlign w:val="top"/>
          </w:tcPr>
          <w:p>
            <w:r>
              <w:rPr>
                <w:color w:val="1A1A2E"/>
                <w:sz w:val="18"/>
              </w:rPr>
              <w:t>0.16 ms</w:t>
            </w:r>
          </w:p>
        </w:tc>
        <w:tc>
          <w:tcPr>
            <w:tcW w:type="dxa" w:w="1337"/>
            <w:vAlign w:val="top"/>
          </w:tcPr>
          <w:p>
            <w:r>
              <w:rPr>
                <w:color w:val="1A1A2E"/>
                <w:sz w:val="18"/>
              </w:rPr>
              <w:t>Acceptable</w:t>
            </w:r>
          </w:p>
        </w:tc>
      </w:tr>
    </w:tbl>
    <w:p/>
    <w:p>
      <w:pPr/>
      <w:r>
        <w:t>XGBoost wins on every dimension:</w:t>
      </w:r>
    </w:p>
    <w:p>
      <w:pPr>
        <w:ind w:left="360"/>
      </w:pPr>
      <w:r>
        <w:t>• Highest walk-forward ranking score (+1.5% over LightGBM)</w:t>
      </w:r>
    </w:p>
    <w:p>
      <w:pPr>
        <w:ind w:left="360"/>
      </w:pPr>
      <w:r>
        <w:t>• Highest stability (+0.1% over LightGBM)</w:t>
      </w:r>
    </w:p>
    <w:p>
      <w:pPr>
        <w:ind w:left="360"/>
      </w:pPr>
      <w:r>
        <w:t>• Highest robustness (+0.3% over LightGBM)</w:t>
      </w:r>
    </w:p>
    <w:p>
      <w:pPr>
        <w:ind w:left="360"/>
      </w:pPr>
      <w:r>
        <w:t>• Fastest inference (5× faster than LightGBM — critical for live trading)</w:t>
      </w:r>
    </w:p>
    <w:p>
      <w:pPr>
        <w:pStyle w:val="Heading3"/>
      </w:pPr>
      <w:r>
        <w:t>13.3 Comparative Analysis</w:t>
      </w:r>
    </w:p>
    <w:p>
      <w:pPr/>
      <w:r>
        <w:rPr>
          <w:b/>
        </w:rPr>
        <w:t>XGBoost vs. LightGBM:</w:t>
      </w:r>
      <w:r>
        <w:t xml:space="preserve"> Both are gradient boosted tree frameworks. XGBoost uses level-wise (breadth-first) tree growth, which tends to be more conservative and generalize better. LightGBM uses leaf-wise growth, which can overfit on noisier data. For financial time series with moderate signal-to-noise ratio, XGBoost's conservative growth proves slightly superior.</w:t>
      </w:r>
    </w:p>
    <w:p>
      <w:pPr/>
      <w:r>
        <w:rPr>
          <w:b/>
        </w:rPr>
        <w:t>XGBoost vs. Random Forest:</w:t>
      </w:r>
      <w:r>
        <w:t xml:space="preserve"> Random Forest trains each tree independently on a bootstrap sample (bagging), while XGBoost trains trees sequentially to correct previous errors (boosting). On the EURUSD feature set, XGBoost's ability to focus on hard examples via boosting gives a measurable advantage (+4.0% ranking score).</w:t>
      </w:r>
    </w:p>
    <w:p>
      <w:pPr/>
      <w:r>
        <w:rPr>
          <w:b/>
        </w:rPr>
        <w:t>Random Forest vs. Extra Trees:</w:t>
      </w:r>
      <w:r>
        <w:t xml:space="preserve"> Extra Trees introduces additional randomness by using random split thresholds (rather than optimal splits). This regularizes more aggressively, which helps with overfitting but hurts precision. Their performance gap is small (0.37%), and both remain viable alternatives.</w:t>
      </w:r>
    </w:p>
    <w:p>
      <w:pPr>
        <w:pStyle w:val="Heading3"/>
      </w:pPr>
      <w:r>
        <w:t>13.4 Production Bundle Location</w:t>
      </w:r>
    </w:p>
    <w:p>
      <w:pPr/>
      <w:r>
        <w:t xml:space="preserve">The selected XGBoost model is exported to </w:t>
      </w:r>
      <w:r>
        <w:rPr>
          <w:rFonts w:ascii="Consolas" w:hAnsi="Consolas"/>
          <w:color w:val="2E863A"/>
          <w:sz w:val="19"/>
        </w:rPr>
        <w:t>models/best_model/</w:t>
      </w:r>
      <w:r>
        <w:t xml:space="preserve"> with all required inference artifacts:</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models/best_model/</w:t>
        <w:br/>
        <w:t>├── model.joblib              (1.7 MB — XGBoost classifier, 414 trees)</w:t>
        <w:br/>
        <w:t>├── preprocessing.joblib      (&lt; 100 KB — fitted ColumnImputer)</w:t>
        <w:br/>
        <w:t>├── inference_config.json     (task_type, n_classes=3, n_features=247)</w:t>
        <w:br/>
        <w:t>├── feature_order.json        (ordered list of 247 feature names)</w:t>
        <w:br/>
        <w:t>├── training_metrics.json     (best Optuna trial metrics)</w:t>
        <w:br/>
        <w:t>├── optimization_results.json (full 25-trial history)</w:t>
        <w:br/>
        <w:t>├── pipeline_manifest.json    (manifest with SHA-256 file hashes)</w:t>
        <w:br/>
        <w:t>├── model_metadata.json       (hyperparameters, feature importances)</w:t>
        <w:br/>
        <w:t>├── data_metadata.json        (dataset stats, date range, symbol)</w:t>
        <w:br/>
        <w:t>├── experiment_config.json    (full training configuration)</w:t>
        <w:br/>
        <w:t>└── validation_results.json   (walk-forward validation summary)</w:t>
      </w:r>
    </w:p>
    <w:p>
      <w:pPr>
        <w:pStyle w:val="Heading2"/>
      </w:pPr>
      <w:r>
        <w:t>14. Deployment Strategy</w:t>
      </w:r>
    </w:p>
    <w:p>
      <w:pPr>
        <w:pStyle w:val="Heading3"/>
      </w:pPr>
      <w:r>
        <w:t>14.1 Overview</w:t>
      </w:r>
    </w:p>
    <w:p>
      <w:pPr/>
      <w:r>
        <w:t>The deployment architecture follows a cloud-first, API-first design pattern. The trained model bundle is version-controlled alongside the inference code and deployed to a cloud PaaS (Railway) that automatically rebuilds when the repository is updated.</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w:t>
        <w:br/>
        <w:t>│  TRAINING ENVIRONMENT (Local Windows Machine)                               │</w:t>
        <w:br/>
        <w:t>│                                                                            │</w:t>
        <w:br/>
        <w:t>│  1. Run ML pipeline (Stages 1–8)                                           │</w:t>
        <w:br/>
        <w:t>│  2. models/best_model/ updated                                             │</w:t>
        <w:br/>
        <w:t>│  3. git add models/best_model/ &amp;&amp; git push                                 │</w:t>
        <w:br/>
        <w:t>└────────────────────────────────────────────────────────────────────────────┘</w:t>
        <w:br/>
        <w:t xml:space="preserve">                                       │</w:t>
        <w:br/>
        <w:t xml:space="preserve">                                       │ git push</w:t>
        <w:br/>
        <w:t xml:space="preserve">                                       ▼</w:t>
        <w:br/>
        <w:t>┌────────────────────────────────────────────────────────────────────────────┐</w:t>
        <w:br/>
        <w:t>│  GitHub Repository                                                          │</w:t>
        <w:br/>
        <w:t>│  • Source code                                                             │</w:t>
        <w:br/>
        <w:t>│  • models/best_model/ (tracked via Git LFS if model &gt; 50 MB)              │</w:t>
        <w:br/>
        <w:t>│  • railway.toml (deployment configuration)                                 │</w:t>
        <w:br/>
        <w:t>└────────────────────────────────────────────────────────────────────────────┘</w:t>
        <w:br/>
        <w:t xml:space="preserve">                                       │</w:t>
        <w:br/>
        <w:t xml:space="preserve">                                       │ Auto-deploy webhook</w:t>
        <w:br/>
        <w:t xml:space="preserve">                                       ▼</w:t>
        <w:br/>
        <w:t>┌────────────────────────────────────────────────────────────────────────────┐</w:t>
        <w:br/>
        <w:t>│  Railway (Cloud PaaS)                                                       │</w:t>
        <w:br/>
        <w:t>│  Docker container:                                                         │</w:t>
        <w:br/>
        <w:t>│    python:3.10-slim                                                        │</w:t>
        <w:br/>
        <w:t>│    pip install -r requirements.txt                                         │</w:t>
        <w:br/>
        <w:t>│    uvicorn src.api.main:app --host 0.0.0.0 --port $PORT                   │</w:t>
        <w:br/>
        <w:t>│                                                                            │</w:t>
        <w:br/>
        <w:t>│  Endpoints:                                                                │</w:t>
        <w:br/>
        <w:t>│    POST /predict          → signal generation                              │</w:t>
        <w:br/>
        <w:t>│    GET  /health           → liveness probe                                 │</w:t>
        <w:br/>
        <w:t>│    GET  /model-info       → schema, version, n_features                    │</w:t>
        <w:br/>
        <w:t>└────────────────────────────────────────────────────────────────────────────┘</w:t>
        <w:br/>
        <w:t xml:space="preserve">                                       │</w:t>
        <w:br/>
        <w:t xml:space="preserve">                                       │ HTTPS REST API</w:t>
        <w:br/>
        <w:t xml:space="preserve">                                       ▼</w:t>
        <w:br/>
        <w:t>┌────────────────────────────────────────────────────────────────────────────┐</w:t>
        <w:br/>
        <w:t>│  Next.js Frontend Dashboard                                                 │</w:t>
        <w:br/>
        <w:t>│  • Real-time signal display (polling every 15 min)                        │</w:t>
        <w:br/>
        <w:t>│  • Equity curve charts                                                     │</w:t>
        <w:br/>
        <w:t>│  • Open positions monitor                                                  │</w:t>
        <w:br/>
        <w:t>│  • Model performance summary                                               │</w:t>
        <w:br/>
        <w:t>└────────────────────────────────────────────────────────────────────────────┘</w:t>
        <w:br/>
        <w:t xml:space="preserve">                                       │</w:t>
        <w:br/>
        <w:t xml:space="preserve">                                       │ Manual / Semi-automated</w:t>
        <w:br/>
        <w:t xml:space="preserve">                                       ▼</w:t>
        <w:br/>
        <w:t>┌────────────────────────────────────────────────────────────────────────────┐</w:t>
        <w:br/>
        <w:t>│  MetaTrader 5 / Execution Layer                                             │</w:t>
        <w:br/>
        <w:t>│  • Trader reviews signal dashboard                                         │</w:t>
        <w:br/>
        <w:t>│  • Manually enters/exits positions (Phase 1)                              │</w:t>
        <w:br/>
        <w:t>│  • Future: MT5 EA reads API directly (Phase 2)                            │</w:t>
        <w:br/>
        <w:t>└────────────────────────────────────────────────────────────────────────────┘</w:t>
      </w:r>
    </w:p>
    <w:p>
      <w:pPr>
        <w:pStyle w:val="Heading3"/>
      </w:pPr>
      <w:r>
        <w:t>14.2 FastAPI Application</w:t>
      </w:r>
    </w:p>
    <w:p>
      <w:pPr/>
      <w:r>
        <w:t>The inference server (</w:t>
      </w:r>
      <w:r>
        <w:rPr>
          <w:rFonts w:ascii="Consolas" w:hAnsi="Consolas"/>
          <w:color w:val="2E863A"/>
          <w:sz w:val="19"/>
        </w:rPr>
        <w:t>src/api/main.py</w:t>
      </w:r>
      <w:r>
        <w:t>) exposes a minimal REST API:</w:t>
      </w:r>
    </w:p>
    <w:p>
      <w:pPr/>
      <w:r>
        <w:rPr>
          <w:b/>
        </w:rPr>
        <w:t>POST /predict</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Request:</w:t>
        <w:br/>
        <w:t>{</w:t>
        <w:br/>
        <w:t xml:space="preserve">    "features": {</w:t>
        <w:br/>
        <w:t xml:space="preserve">        "open": 1.0850, "high": 1.0862, "low": 1.0841, "close": 1.0855,</w:t>
        <w:br/>
        <w:t xml:space="preserve">        "tick_volume": 1240, "atr": 0.00087, "rsi": 52.3,</w:t>
        <w:br/>
        <w:t xml:space="preserve">        // ... all 247 features</w:t>
        <w:br/>
        <w:t xml:space="preserve">    }</w:t>
        <w:br/>
        <w:t>}</w:t>
        <w:br/>
        <w:br/>
        <w:t>Response:</w:t>
        <w:br/>
        <w:t>{</w:t>
        <w:br/>
        <w:t xml:space="preserve">    "signal": "BUY",</w:t>
        <w:br/>
        <w:t xml:space="preserve">    "class_id": 2,</w:t>
        <w:br/>
        <w:t xml:space="preserve">    "probabilities": {"SELL": 0.12, "HOLD": 0.28, "BUY": 0.60},</w:t>
        <w:br/>
        <w:t xml:space="preserve">    "confidence": 0.60,</w:t>
        <w:br/>
        <w:t xml:space="preserve">    "model": "xgboost",</w:t>
        <w:br/>
        <w:t xml:space="preserve">    "timestamp": "2026-07-04T10:30:00Z"</w:t>
        <w:br/>
        <w:t>}</w:t>
      </w:r>
    </w:p>
    <w:p>
      <w:pPr/>
      <w:r>
        <w:rPr>
          <w:b/>
        </w:rPr>
        <w:t>GET /health</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{"status": "ok", "model_loaded": true, "uptime_seconds": 3600}</w:t>
      </w:r>
    </w:p>
    <w:p>
      <w:pPr/>
      <w:r>
        <w:rPr>
          <w:b/>
        </w:rPr>
        <w:t>GET /model-info</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w:t>
        <w:br/>
        <w:t xml:space="preserve">    "model_name": "xgboost",</w:t>
        <w:br/>
        <w:t xml:space="preserve">    "n_features": 247,</w:t>
        <w:br/>
        <w:t xml:space="preserve">    "n_classes": 3,</w:t>
        <w:br/>
        <w:t xml:space="preserve">    "classes": ["SELL", "HOLD", "BUY"],</w:t>
        <w:br/>
        <w:t xml:space="preserve">    "schema_version": "1.0.0",</w:t>
        <w:br/>
        <w:t xml:space="preserve">    "created_at": "2026-07-02T09:09:58Z"</w:t>
        <w:br/>
        <w:t>}</w:t>
      </w:r>
    </w:p>
    <w:p>
      <w:pPr>
        <w:pStyle w:val="Heading3"/>
      </w:pPr>
      <w:r>
        <w:t>14.3 Model Bundle Loading</w:t>
      </w:r>
    </w:p>
    <w:p>
      <w:pPr/>
      <w:r>
        <w:t xml:space="preserve">At server startup, the </w:t>
      </w:r>
      <w:r>
        <w:rPr>
          <w:rFonts w:ascii="Consolas" w:hAnsi="Consolas"/>
          <w:color w:val="2E863A"/>
          <w:sz w:val="19"/>
        </w:rPr>
        <w:t>ArtifactManager</w:t>
      </w:r>
      <w:r>
        <w:t xml:space="preserve"> loads the bundle:</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class ArtifactManager:</w:t>
        <w:br/>
        <w:t xml:space="preserve">    @staticmethod</w:t>
        <w:br/>
        <w:t xml:space="preserve">    def load_bundle(bundle_dir: Path) -&gt; InferencePipeline:</w:t>
        <w:br/>
        <w:t xml:space="preserve">        config = json.load(open(bundle_dir / "inference_config.json"))</w:t>
        <w:br/>
        <w:t xml:space="preserve">        model = joblib.load(bundle_dir / "model.joblib")</w:t>
        <w:br/>
        <w:t xml:space="preserve">        preprocessor = joblib.load(bundle_dir / "preprocessing.joblib")</w:t>
        <w:br/>
        <w:t xml:space="preserve">        feature_order = json.load(open(bundle_dir / "feature_order.json"))</w:t>
        <w:br/>
        <w:t xml:space="preserve">        return InferencePipeline(model, preprocessor, feature_order, config)</w:t>
      </w:r>
    </w:p>
    <w:p>
      <w:pPr/>
      <w:r>
        <w:t xml:space="preserve">The </w:t>
      </w:r>
      <w:r>
        <w:rPr>
          <w:rFonts w:ascii="Consolas" w:hAnsi="Consolas"/>
          <w:color w:val="2E863A"/>
          <w:sz w:val="19"/>
        </w:rPr>
        <w:t>InferencePipeline</w:t>
      </w:r>
      <w:r>
        <w:t xml:space="preserve"> class:</w:t>
      </w:r>
    </w:p>
    <w:p>
      <w:pPr>
        <w:ind w:left="360"/>
      </w:pPr>
      <w:r>
        <w:t>Accepts a dictionary of feature values (or DataFrame row)</w:t>
      </w:r>
    </w:p>
    <w:p>
      <w:pPr>
        <w:ind w:left="360"/>
      </w:pPr>
      <w:r>
        <w:t xml:space="preserve">Reorders columns to match </w:t>
      </w:r>
      <w:r>
        <w:rPr>
          <w:rFonts w:ascii="Consolas" w:hAnsi="Consolas"/>
          <w:color w:val="2E863A"/>
          <w:sz w:val="19"/>
        </w:rPr>
        <w:t>feature_order.json</w:t>
      </w:r>
    </w:p>
    <w:p>
      <w:pPr>
        <w:ind w:left="360"/>
      </w:pPr>
      <w:r>
        <w:t xml:space="preserve">Applies </w:t>
      </w:r>
      <w:r>
        <w:rPr>
          <w:rFonts w:ascii="Consolas" w:hAnsi="Consolas"/>
          <w:color w:val="2E863A"/>
          <w:sz w:val="19"/>
        </w:rPr>
        <w:t>ColumnImputer</w:t>
      </w:r>
      <w:r>
        <w:t xml:space="preserve"> (fills NaN with training-set medians)</w:t>
      </w:r>
    </w:p>
    <w:p>
      <w:pPr>
        <w:ind w:left="360"/>
      </w:pPr>
      <w:r>
        <w:t xml:space="preserve">Calls </w:t>
      </w:r>
      <w:r>
        <w:rPr>
          <w:rFonts w:ascii="Consolas" w:hAnsi="Consolas"/>
          <w:color w:val="2E863A"/>
          <w:sz w:val="19"/>
        </w:rPr>
        <w:t>model.predict_proba()</w:t>
      </w:r>
      <w:r>
        <w:t xml:space="preserve"> → probability array [P(SELL), P(HOLD), P(BUY)]</w:t>
      </w:r>
    </w:p>
    <w:p>
      <w:pPr>
        <w:ind w:left="360"/>
      </w:pPr>
      <w:r>
        <w:t>Applies confidence threshold filter</w:t>
      </w:r>
    </w:p>
    <w:p>
      <w:pPr>
        <w:ind w:left="360"/>
      </w:pPr>
      <w:r>
        <w:t>Returns structured signal response</w:t>
      </w:r>
    </w:p>
    <w:p>
      <w:pPr>
        <w:pStyle w:val="Heading3"/>
      </w:pPr>
      <w:r>
        <w:t>14.4 Deployment Configuration (railway.toml)</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[build]</w:t>
        <w:br/>
        <w:t>builder = "NIXPACKS"</w:t>
        <w:br/>
        <w:br/>
        <w:t>[deploy]</w:t>
        <w:br/>
        <w:t>startCommand = "uvicorn src.api.main:app --host 0.0.0.0 --port $PORT"</w:t>
        <w:br/>
        <w:t>healthcheckPath = "/health"</w:t>
        <w:br/>
        <w:t>healthcheckTimeout = 300</w:t>
        <w:br/>
        <w:t>restartPolicyType = "ON_FAILURE"</w:t>
        <w:br/>
        <w:t>restartPolicyMaxRetries = 3</w:t>
      </w:r>
    </w:p>
    <w:p>
      <w:pPr>
        <w:pStyle w:val="Heading3"/>
      </w:pPr>
      <w:r>
        <w:t>14.5 Environment Variables (Production)</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Variable</w:t>
            </w:r>
          </w:p>
        </w:tc>
        <w:tc>
          <w:tcPr>
            <w:tcW w:type="dxa" w:w="4680"/>
            <w:vAlign w:val="top"/>
            <w:shd w:val="clear" w:color="auto" w:fill="1C2128"/>
          </w:tcPr>
          <w:p>
            <w:r>
              <w:rPr>
                <w:b/>
                <w:color w:val="FFFFFF"/>
                <w:sz w:val="18"/>
              </w:rPr>
              <w:t>Description</w:t>
            </w:r>
          </w:p>
        </w:tc>
      </w:tr>
      <w:tr>
        <w:tc>
          <w:tcPr>
            <w:tcW w:type="dxa" w:w="4680"/>
            <w:vAlign w:val="top"/>
          </w:tcPr>
          <w:p>
            <w:r>
              <w:rPr>
                <w:color w:val="1A1A2E"/>
                <w:sz w:val="18"/>
              </w:rPr>
            </w:r>
            <w:r>
              <w:rPr>
                <w:rFonts w:ascii="Consolas" w:hAnsi="Consolas"/>
                <w:color w:val="2E863A"/>
                <w:sz w:val="18"/>
              </w:rPr>
              <w:t>PORT</w:t>
            </w:r>
            <w:r>
              <w:rPr>
                <w:color w:val="1A1A2E"/>
                <w:sz w:val="18"/>
              </w:rPr>
            </w:r>
          </w:p>
        </w:tc>
        <w:tc>
          <w:tcPr>
            <w:tcW w:type="dxa" w:w="4680"/>
            <w:vAlign w:val="top"/>
          </w:tcPr>
          <w:p>
            <w:r>
              <w:rPr>
                <w:color w:val="1A1A2E"/>
                <w:sz w:val="18"/>
              </w:rPr>
              <w:t>Auto-set by Railway</w:t>
            </w:r>
          </w:p>
        </w:tc>
      </w:tr>
      <w:tr>
        <w:tc>
          <w:tcPr>
            <w:tcW w:type="dxa" w:w="4680"/>
            <w:vAlign w:val="top"/>
          </w:tcPr>
          <w:p>
            <w:r>
              <w:rPr>
                <w:color w:val="1A1A2E"/>
                <w:sz w:val="18"/>
              </w:rPr>
            </w:r>
            <w:r>
              <w:rPr>
                <w:rFonts w:ascii="Consolas" w:hAnsi="Consolas"/>
                <w:color w:val="2E863A"/>
                <w:sz w:val="18"/>
              </w:rPr>
              <w:t>MODEL_BUNDLE_PATH</w:t>
            </w:r>
            <w:r>
              <w:rPr>
                <w:color w:val="1A1A2E"/>
                <w:sz w:val="18"/>
              </w:rPr>
            </w:r>
          </w:p>
        </w:tc>
        <w:tc>
          <w:tcPr>
            <w:tcW w:type="dxa" w:w="4680"/>
            <w:vAlign w:val="top"/>
          </w:tcPr>
          <w:p>
            <w:r>
              <w:rPr>
                <w:color w:val="1A1A2E"/>
                <w:sz w:val="18"/>
              </w:rPr>
              <w:t>Override bundle directory</w:t>
            </w:r>
          </w:p>
        </w:tc>
      </w:tr>
      <w:tr>
        <w:tc>
          <w:tcPr>
            <w:tcW w:type="dxa" w:w="4680"/>
            <w:vAlign w:val="top"/>
          </w:tcPr>
          <w:p>
            <w:r>
              <w:rPr>
                <w:color w:val="1A1A2E"/>
                <w:sz w:val="18"/>
              </w:rPr>
            </w:r>
            <w:r>
              <w:rPr>
                <w:rFonts w:ascii="Consolas" w:hAnsi="Consolas"/>
                <w:color w:val="2E863A"/>
                <w:sz w:val="18"/>
              </w:rPr>
              <w:t>LOG_LEVEL</w:t>
            </w:r>
            <w:r>
              <w:rPr>
                <w:color w:val="1A1A2E"/>
                <w:sz w:val="18"/>
              </w:rPr>
            </w:r>
          </w:p>
        </w:tc>
        <w:tc>
          <w:tcPr>
            <w:tcW w:type="dxa" w:w="4680"/>
            <w:vAlign w:val="top"/>
          </w:tcPr>
          <w:p>
            <w:r>
              <w:rPr>
                <w:color w:val="1A1A2E"/>
                <w:sz w:val="18"/>
              </w:rPr>
              <w:t>Logging verbosity</w:t>
            </w:r>
          </w:p>
        </w:tc>
      </w:tr>
      <w:tr>
        <w:tc>
          <w:tcPr>
            <w:tcW w:type="dxa" w:w="4680"/>
            <w:vAlign w:val="top"/>
          </w:tcPr>
          <w:p>
            <w:r>
              <w:rPr>
                <w:color w:val="1A1A2E"/>
                <w:sz w:val="18"/>
              </w:rPr>
            </w:r>
            <w:r>
              <w:rPr>
                <w:rFonts w:ascii="Consolas" w:hAnsi="Consolas"/>
                <w:color w:val="2E863A"/>
                <w:sz w:val="18"/>
              </w:rPr>
              <w:t>MIN_PROBABILITY</w:t>
            </w:r>
            <w:r>
              <w:rPr>
                <w:color w:val="1A1A2E"/>
                <w:sz w:val="18"/>
              </w:rPr>
            </w:r>
          </w:p>
        </w:tc>
        <w:tc>
          <w:tcPr>
            <w:tcW w:type="dxa" w:w="4680"/>
            <w:vAlign w:val="top"/>
          </w:tcPr>
          <w:p>
            <w:r>
              <w:rPr>
                <w:color w:val="1A1A2E"/>
                <w:sz w:val="18"/>
              </w:rPr>
              <w:t>Signal confidence threshold (default: 0.60)</w:t>
            </w:r>
          </w:p>
        </w:tc>
      </w:tr>
    </w:tbl>
    <w:p/>
    <w:p>
      <w:pPr/>
      <w:r>
        <w:t>MT5 credentials are never required in the cloud deployment — the inference server only needs the serialized model bundle, not access to the MT5 terminal.</w:t>
      </w:r>
    </w:p>
    <w:p>
      <w:pPr>
        <w:pStyle w:val="Heading2"/>
      </w:pPr>
      <w:r>
        <w:t>15. Live Inference Pipeline</w:t>
      </w:r>
    </w:p>
    <w:p>
      <w:pPr>
        <w:pStyle w:val="Heading3"/>
      </w:pPr>
      <w:r>
        <w:t>15.1 Overview</w:t>
      </w:r>
    </w:p>
    <w:p>
      <w:pPr/>
      <w:r>
        <w:t>The live inference stack (</w:t>
      </w:r>
      <w:r>
        <w:rPr>
          <w:rFonts w:ascii="Consolas" w:hAnsi="Consolas"/>
          <w:color w:val="2E863A"/>
          <w:sz w:val="19"/>
        </w:rPr>
        <w:t>src/inference/</w:t>
      </w:r>
      <w:r>
        <w:t>) bridges the gap between the raw price feed and the FastAPI signal endpoint. It is designed to run on the same machine as the MT5 terminal, collecting the latest 15-minute candle, computing all 247 features, and calling the inference API.</w:t>
      </w:r>
    </w:p>
    <w:p>
      <w:pPr>
        <w:pStyle w:val="Heading3"/>
      </w:pPr>
      <w:r>
        <w:t>15.2 Components</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src/inference/</w:t>
        <w:br/>
        <w:t>├── predictor.py        # Main prediction orchestrator</w:t>
        <w:br/>
        <w:t>├── feature_builder.py  # Replicates the training feature pipeline</w:t>
        <w:br/>
        <w:t>├── signal_generator.py # Converts predictions to structured signals</w:t>
        <w:br/>
        <w:t>└── risk_manager.py     # Live position risk enforcement</w:t>
      </w:r>
    </w:p>
    <w:p>
      <w:pPr>
        <w:pStyle w:val="Heading3"/>
      </w:pPr>
      <w:r>
        <w:t>15.3 Inference Flow</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[Every 15 minutes at bar close + 5 seconds]</w:t>
        <w:br/>
        <w:t xml:space="preserve">    │</w:t>
        <w:br/>
        <w:t xml:space="preserve">    ▼</w:t>
        <w:br/>
        <w:t>InferencePipeline.run()</w:t>
        <w:br/>
        <w:t xml:space="preserve">    ├── MT5Downloader.get_latest_bars(symbol="EURUSD", n=500)</w:t>
        <w:br/>
        <w:t xml:space="preserve">    │       → Raw OHLCV DataFrame (500 bars for rolling window warmup)</w:t>
        <w:br/>
        <w:t xml:space="preserve">    ├── FeatureBuilder.build(df)</w:t>
        <w:br/>
        <w:t xml:space="preserve">    │       → Apply all 247 feature transformations</w:t>
        <w:br/>
        <w:t xml:space="preserve">    │       → Replicate training feature pipeline exactly</w:t>
        <w:br/>
        <w:t xml:space="preserve">    │       → Select last row (most recent bar)</w:t>
        <w:br/>
        <w:t xml:space="preserve">    ├── InferencePipeline.predict(features_row)</w:t>
        <w:br/>
        <w:t xml:space="preserve">    │       → ColumnImputer.transform()</w:t>
        <w:br/>
        <w:t xml:space="preserve">    │       → model.predict_proba()</w:t>
        <w:br/>
        <w:t xml:space="preserve">    │       → Apply min_probability filter</w:t>
        <w:br/>
        <w:t xml:space="preserve">    ├── SignalGenerator.generate(prediction)</w:t>
        <w:br/>
        <w:t xml:space="preserve">    │       → Compute ATR-based SL/TP levels</w:t>
        <w:br/>
        <w:t xml:space="preserve">    │       → Calculate position size (1% risk)</w:t>
        <w:br/>
        <w:t xml:space="preserve">    │       → Build signal dict</w:t>
        <w:br/>
        <w:t xml:space="preserve">    └── Publish → FastAPI → Dashboard</w:t>
      </w:r>
    </w:p>
    <w:p>
      <w:pPr>
        <w:pStyle w:val="Heading3"/>
      </w:pPr>
      <w:r>
        <w:t>15.4 Feature Builder</w:t>
      </w:r>
    </w:p>
    <w:p>
      <w:pPr/>
      <w:r>
        <w:t xml:space="preserve">The </w:t>
      </w:r>
      <w:r>
        <w:rPr>
          <w:rFonts w:ascii="Consolas" w:hAnsi="Consolas"/>
          <w:color w:val="2E863A"/>
          <w:sz w:val="19"/>
        </w:rPr>
        <w:t>FeatureBuilder</w:t>
      </w:r>
      <w:r>
        <w:t xml:space="preserve"> class must replicate the training feature pipeline </w:t>
      </w:r>
      <w:r>
        <w:rPr>
          <w:b/>
        </w:rPr>
        <w:t>exactly</w:t>
      </w:r>
      <w:r>
        <w:t>. Any discrepancy between training-time feature computation and inference-time computation will silently degrade model performance (training-serving skew). Key design decisions:</w:t>
      </w:r>
    </w:p>
    <w:p>
      <w:pPr>
        <w:ind w:left="360"/>
      </w:pPr>
      <w:r>
        <w:rPr>
          <w:b/>
        </w:rPr>
        <w:t>Same rolling windows:</w:t>
      </w:r>
      <w:r>
        <w:t xml:space="preserve"> Rolling statistics use the same period lengths (20-bar rolling mean, 14-bar ATR, etc.).</w:t>
      </w:r>
    </w:p>
    <w:p>
      <w:pPr>
        <w:ind w:left="360"/>
      </w:pPr>
      <w:r>
        <w:rPr>
          <w:b/>
        </w:rPr>
        <w:t>Warmup period:</w:t>
      </w:r>
      <w:r>
        <w:t xml:space="preserve"> 500 bars are fetched to ensure rolling windows are fully populated before taking the last row.</w:t>
      </w:r>
    </w:p>
    <w:p>
      <w:pPr>
        <w:ind w:left="360"/>
      </w:pPr>
      <w:r>
        <w:rPr>
          <w:b/>
        </w:rPr>
        <w:t>Higher-TF alignment:</w:t>
      </w:r>
      <w:r>
        <w:t xml:space="preserve"> The same </w:t>
      </w:r>
      <w:r>
        <w:rPr>
          <w:rFonts w:ascii="Consolas" w:hAnsi="Consolas"/>
          <w:color w:val="2E863A"/>
          <w:sz w:val="19"/>
        </w:rPr>
        <w:t>pd.merge_asof(direction='backward')</w:t>
      </w:r>
      <w:r>
        <w:t xml:space="preserve"> logic is used for merging W1/D1/H4/H1 onto M15.</w:t>
      </w:r>
    </w:p>
    <w:p>
      <w:pPr>
        <w:ind w:left="360"/>
      </w:pPr>
      <w:r>
        <w:rPr>
          <w:b/>
        </w:rPr>
        <w:t>Same column order:</w:t>
      </w:r>
      <w:r>
        <w:t xml:space="preserve"> </w:t>
      </w:r>
      <w:r>
        <w:rPr>
          <w:rFonts w:ascii="Consolas" w:hAnsi="Consolas"/>
          <w:color w:val="2E863A"/>
          <w:sz w:val="19"/>
        </w:rPr>
        <w:t>feature_order.json</w:t>
      </w:r>
      <w:r>
        <w:t xml:space="preserve"> from the bundle is used to reorder columns before prediction.</w:t>
      </w:r>
    </w:p>
    <w:p>
      <w:pPr>
        <w:pStyle w:val="Heading3"/>
      </w:pPr>
      <w:r>
        <w:t>15.5 Latency Budget</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Stage</w:t>
            </w:r>
          </w:p>
        </w:tc>
        <w:tc>
          <w:tcPr>
            <w:tcW w:type="dxa" w:w="4680"/>
            <w:vAlign w:val="top"/>
            <w:shd w:val="clear" w:color="auto" w:fill="1C2128"/>
          </w:tcPr>
          <w:p>
            <w:r>
              <w:rPr>
                <w:b/>
                <w:color w:val="FFFFFF"/>
                <w:sz w:val="18"/>
              </w:rPr>
              <w:t>Typical Latency</w:t>
            </w:r>
          </w:p>
        </w:tc>
      </w:tr>
      <w:tr>
        <w:tc>
          <w:tcPr>
            <w:tcW w:type="dxa" w:w="4680"/>
            <w:vAlign w:val="top"/>
          </w:tcPr>
          <w:p>
            <w:r>
              <w:rPr>
                <w:color w:val="1A1A2E"/>
                <w:sz w:val="18"/>
              </w:rPr>
              <w:t>MT5 data fetch (500 bars)</w:t>
            </w:r>
          </w:p>
        </w:tc>
        <w:tc>
          <w:tcPr>
            <w:tcW w:type="dxa" w:w="4680"/>
            <w:vAlign w:val="top"/>
          </w:tcPr>
          <w:p>
            <w:r>
              <w:rPr>
                <w:color w:val="1A1A2E"/>
                <w:sz w:val="18"/>
              </w:rPr>
              <w:t>50–200 ms</w:t>
            </w:r>
          </w:p>
        </w:tc>
      </w:tr>
      <w:tr>
        <w:tc>
          <w:tcPr>
            <w:tcW w:type="dxa" w:w="4680"/>
            <w:vAlign w:val="top"/>
          </w:tcPr>
          <w:p>
            <w:r>
              <w:rPr>
                <w:color w:val="1A1A2E"/>
                <w:sz w:val="18"/>
              </w:rPr>
              <w:t>Feature computation</w:t>
            </w:r>
          </w:p>
        </w:tc>
        <w:tc>
          <w:tcPr>
            <w:tcW w:type="dxa" w:w="4680"/>
            <w:vAlign w:val="top"/>
          </w:tcPr>
          <w:p>
            <w:r>
              <w:rPr>
                <w:color w:val="1A1A2E"/>
                <w:sz w:val="18"/>
              </w:rPr>
              <w:t>200–800 ms</w:t>
            </w:r>
          </w:p>
        </w:tc>
      </w:tr>
      <w:tr>
        <w:tc>
          <w:tcPr>
            <w:tcW w:type="dxa" w:w="4680"/>
            <w:vAlign w:val="top"/>
          </w:tcPr>
          <w:p>
            <w:r>
              <w:rPr>
                <w:color w:val="1A1A2E"/>
                <w:sz w:val="18"/>
              </w:rPr>
              <w:t>Model inference (XGBoost)</w:t>
            </w:r>
          </w:p>
        </w:tc>
        <w:tc>
          <w:tcPr>
            <w:tcW w:type="dxa" w:w="4680"/>
            <w:vAlign w:val="top"/>
          </w:tcPr>
          <w:p>
            <w:r>
              <w:rPr>
                <w:color w:val="1A1A2E"/>
                <w:sz w:val="18"/>
              </w:rPr>
              <w:t>0.05 ms</w:t>
            </w:r>
          </w:p>
        </w:tc>
      </w:tr>
      <w:tr>
        <w:tc>
          <w:tcPr>
            <w:tcW w:type="dxa" w:w="4680"/>
            <w:vAlign w:val="top"/>
          </w:tcPr>
          <w:p>
            <w:r>
              <w:rPr>
                <w:color w:val="1A1A2E"/>
                <w:sz w:val="18"/>
              </w:rPr>
              <w:t>API call overhead</w:t>
            </w:r>
          </w:p>
        </w:tc>
        <w:tc>
          <w:tcPr>
            <w:tcW w:type="dxa" w:w="4680"/>
            <w:vAlign w:val="top"/>
          </w:tcPr>
          <w:p>
            <w:r>
              <w:rPr>
                <w:color w:val="1A1A2E"/>
                <w:sz w:val="18"/>
              </w:rPr>
              <w:t>10–50 ms</w:t>
            </w:r>
          </w:p>
        </w:tc>
      </w:tr>
      <w:tr>
        <w:tc>
          <w:tcPr>
            <w:tcW w:type="dxa" w:w="4680"/>
            <w:vAlign w:val="top"/>
          </w:tcPr>
          <w:p>
            <w:r>
              <w:rPr>
                <w:color w:val="1A1A2E"/>
                <w:sz w:val="18"/>
              </w:rPr>
              <w:t>Total</w:t>
            </w:r>
          </w:p>
        </w:tc>
        <w:tc>
          <w:tcPr>
            <w:tcW w:type="dxa" w:w="4680"/>
            <w:vAlign w:val="top"/>
          </w:tcPr>
          <w:p>
            <w:r>
              <w:rPr>
                <w:color w:val="1A1A2E"/>
                <w:sz w:val="18"/>
              </w:rPr>
              <w:t>260–1,050 ms</w:t>
            </w:r>
          </w:p>
        </w:tc>
      </w:tr>
    </w:tbl>
    <w:p/>
    <w:p>
      <w:pPr/>
      <w:r>
        <w:t>Total inference latency is well under the 15-minute bar period. Even in the worst case (1 second), there is a 14-minute 59-second window from bar close to the next bar open — ample time for signal generation and manual/automated execution.</w:t>
      </w:r>
    </w:p>
    <w:p>
      <w:pPr>
        <w:pStyle w:val="Heading2"/>
      </w:pPr>
      <w:r>
        <w:t>16. Real Trading Workflow</w:t>
      </w:r>
    </w:p>
    <w:p>
      <w:pPr>
        <w:pStyle w:val="Heading3"/>
      </w:pPr>
      <w:r>
        <w:t>16.1 Phase 1 — Manual Execution (Current State)</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Bar closes at :00 or :15 or :30 or :45 each hour</w:t>
        <w:br/>
        <w:t xml:space="preserve">         │</w:t>
        <w:br/>
        <w:t xml:space="preserve">         ↓ (+5 seconds for bar confirmation)</w:t>
        <w:br/>
        <w:t>Inference server generates signal</w:t>
        <w:br/>
        <w:t xml:space="preserve">         │</w:t>
        <w:br/>
        <w:t xml:space="preserve">         ↓ (push/pull to dashboard)</w:t>
        <w:br/>
        <w:t>Trader views Next.js dashboard:</w:t>
        <w:br/>
        <w:t xml:space="preserve">    - Signal: BUY | SELL | HOLD</w:t>
        <w:br/>
        <w:t xml:space="preserve">    - Confidence: 63%</w:t>
        <w:br/>
        <w:t xml:space="preserve">    - SL: 1.0838 (15.3 pips)</w:t>
        <w:br/>
        <w:t xml:space="preserve">    - TP: 1.0885 (28.7 pips)</w:t>
        <w:br/>
        <w:t xml:space="preserve">    - Lot size: 0.65 (1% risk at $22,000 equity)</w:t>
        <w:br/>
        <w:t xml:space="preserve">         │</w:t>
        <w:br/>
        <w:t xml:space="preserve">         ↓ (manual review: ~30 seconds)</w:t>
        <w:br/>
        <w:t>Trader opens position in MT5 terminal</w:t>
        <w:br/>
        <w:t xml:space="preserve">         │</w:t>
        <w:br/>
        <w:t xml:space="preserve">         ↓ (ATR-based SL/TP set as pending orders)</w:t>
        <w:br/>
        <w:t>Trade managed by MT5 pending orders (automated exit)</w:t>
      </w:r>
    </w:p>
    <w:p>
      <w:pPr>
        <w:pStyle w:val="Heading3"/>
      </w:pPr>
      <w:r>
        <w:t>16.2 Phase 2 — Semi-Automated Execution (Roadmap)</w:t>
      </w:r>
    </w:p>
    <w:p>
      <w:pPr/>
      <w:r>
        <w:t>A MetaTrader Expert Advisor (EA) is planned that:</w:t>
      </w:r>
    </w:p>
    <w:p>
      <w:pPr>
        <w:ind w:left="360"/>
      </w:pPr>
      <w:r>
        <w:t xml:space="preserve">Polls the FastAPI </w:t>
      </w:r>
      <w:r>
        <w:rPr>
          <w:rFonts w:ascii="Consolas" w:hAnsi="Consolas"/>
          <w:color w:val="2E863A"/>
          <w:sz w:val="19"/>
        </w:rPr>
        <w:t>/predict</w:t>
      </w:r>
      <w:r>
        <w:t xml:space="preserve"> endpoint every 15 minutes.</w:t>
      </w:r>
    </w:p>
    <w:p>
      <w:pPr>
        <w:ind w:left="360"/>
      </w:pPr>
      <w:r>
        <w:t>Parses the JSON signal response.</w:t>
      </w:r>
    </w:p>
    <w:p>
      <w:pPr>
        <w:ind w:left="360"/>
      </w:pPr>
      <w:r>
        <w:t>Opens a market order with the specified lot size.</w:t>
      </w:r>
    </w:p>
    <w:p>
      <w:pPr>
        <w:ind w:left="360"/>
      </w:pPr>
      <w:r>
        <w:t>Places SL and TP orders immediately.</w:t>
      </w:r>
    </w:p>
    <w:p>
      <w:pPr>
        <w:ind w:left="360"/>
      </w:pPr>
      <w:r>
        <w:t>Implements break-even logic via trailing stop.</w:t>
      </w:r>
    </w:p>
    <w:p>
      <w:pPr/>
      <w:r>
        <w:t>This removes the human execution delay and enables 24/5 operation without trader presence.</w:t>
      </w:r>
    </w:p>
    <w:p>
      <w:pPr>
        <w:pStyle w:val="Heading3"/>
      </w:pPr>
      <w:r>
        <w:t>16.3 Risk Management in Live Trading</w:t>
      </w:r>
    </w:p>
    <w:p>
      <w:pPr/>
      <w:r>
        <w:t>Beyond the backtester's simulated risk controls, the live system enforces: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Control</w:t>
            </w:r>
          </w:p>
        </w:tc>
        <w:tc>
          <w:tcPr>
            <w:tcW w:type="dxa" w:w="3120"/>
            <w:vAlign w:val="top"/>
            <w:shd w:val="clear" w:color="auto" w:fill="1C2128"/>
          </w:tcPr>
          <w:p>
            <w:r>
              <w:rPr>
                <w:b/>
                <w:color w:val="FFFFFF"/>
                <w:sz w:val="18"/>
              </w:rPr>
              <w:t>Rule</w:t>
            </w:r>
          </w:p>
        </w:tc>
        <w:tc>
          <w:tcPr>
            <w:tcW w:type="dxa" w:w="3120"/>
            <w:vAlign w:val="top"/>
            <w:shd w:val="clear" w:color="auto" w:fill="1C2128"/>
          </w:tcPr>
          <w:p>
            <w:r>
              <w:rPr>
                <w:b/>
                <w:color w:val="FFFFFF"/>
                <w:sz w:val="18"/>
              </w:rPr>
              <w:t>Implementation</w:t>
            </w:r>
          </w:p>
        </w:tc>
      </w:tr>
      <w:tr>
        <w:tc>
          <w:tcPr>
            <w:tcW w:type="dxa" w:w="3120"/>
            <w:vAlign w:val="top"/>
          </w:tcPr>
          <w:p>
            <w:r>
              <w:rPr>
                <w:color w:val="1A1A2E"/>
                <w:sz w:val="18"/>
              </w:rPr>
              <w:t>Daily loss limit</w:t>
            </w:r>
          </w:p>
        </w:tc>
        <w:tc>
          <w:tcPr>
            <w:tcW w:type="dxa" w:w="3120"/>
            <w:vAlign w:val="top"/>
          </w:tcPr>
          <w:p>
            <w:r>
              <w:rPr>
                <w:color w:val="1A1A2E"/>
                <w:sz w:val="18"/>
              </w:rPr>
              <w:t>Stop trading if daily P&amp;L &lt; −2%</w:t>
            </w:r>
          </w:p>
        </w:tc>
        <w:tc>
          <w:tcPr>
            <w:tcW w:type="dxa" w:w="3120"/>
            <w:vAlign w:val="top"/>
          </w:tcPr>
          <w:p>
            <w:r>
              <w:rPr>
                <w:color w:val="1A1A2E"/>
                <w:sz w:val="18"/>
              </w:rPr>
            </w:r>
            <w:r>
              <w:rPr>
                <w:rFonts w:ascii="Consolas" w:hAnsi="Consolas"/>
                <w:color w:val="2E863A"/>
                <w:sz w:val="18"/>
              </w:rPr>
              <w:t>src/inference/risk_manager.py</w:t>
            </w:r>
            <w:r>
              <w:rPr>
                <w:color w:val="1A1A2E"/>
                <w:sz w:val="18"/>
              </w:rPr>
            </w:r>
          </w:p>
        </w:tc>
      </w:tr>
      <w:tr>
        <w:tc>
          <w:tcPr>
            <w:tcW w:type="dxa" w:w="3120"/>
            <w:vAlign w:val="top"/>
          </w:tcPr>
          <w:p>
            <w:r>
              <w:rPr>
                <w:color w:val="1A1A2E"/>
                <w:sz w:val="18"/>
              </w:rPr>
              <w:t>Weekly loss limit</w:t>
            </w:r>
          </w:p>
        </w:tc>
        <w:tc>
          <w:tcPr>
            <w:tcW w:type="dxa" w:w="3120"/>
            <w:vAlign w:val="top"/>
          </w:tcPr>
          <w:p>
            <w:r>
              <w:rPr>
                <w:color w:val="1A1A2E"/>
                <w:sz w:val="18"/>
              </w:rPr>
              <w:t>Stop trading if weekly P&amp;L &lt; −5%</w:t>
            </w:r>
          </w:p>
        </w:tc>
        <w:tc>
          <w:tcPr>
            <w:tcW w:type="dxa" w:w="3120"/>
            <w:vAlign w:val="top"/>
          </w:tcPr>
          <w:p>
            <w:r>
              <w:rPr>
                <w:color w:val="1A1A2E"/>
                <w:sz w:val="18"/>
              </w:rPr>
            </w:r>
            <w:r>
              <w:rPr>
                <w:rFonts w:ascii="Consolas" w:hAnsi="Consolas"/>
                <w:color w:val="2E863A"/>
                <w:sz w:val="18"/>
              </w:rPr>
              <w:t>src/inference/risk_manager.py</w:t>
            </w:r>
            <w:r>
              <w:rPr>
                <w:color w:val="1A1A2E"/>
                <w:sz w:val="18"/>
              </w:rPr>
            </w:r>
          </w:p>
        </w:tc>
      </w:tr>
      <w:tr>
        <w:tc>
          <w:tcPr>
            <w:tcW w:type="dxa" w:w="3120"/>
            <w:vAlign w:val="top"/>
          </w:tcPr>
          <w:p>
            <w:r>
              <w:rPr>
                <w:color w:val="1A1A2E"/>
                <w:sz w:val="18"/>
              </w:rPr>
              <w:t>Max open positions</w:t>
            </w:r>
          </w:p>
        </w:tc>
        <w:tc>
          <w:tcPr>
            <w:tcW w:type="dxa" w:w="3120"/>
            <w:vAlign w:val="top"/>
          </w:tcPr>
          <w:p>
            <w:r>
              <w:rPr>
                <w:color w:val="1A1A2E"/>
                <w:sz w:val="18"/>
              </w:rPr>
              <w:t>Maximum 3 simultaneous trades</w:t>
            </w:r>
          </w:p>
        </w:tc>
        <w:tc>
          <w:tcPr>
            <w:tcW w:type="dxa" w:w="3120"/>
            <w:vAlign w:val="top"/>
          </w:tcPr>
          <w:p>
            <w:r>
              <w:rPr>
                <w:color w:val="1A1A2E"/>
                <w:sz w:val="18"/>
              </w:rPr>
              <w:t>MT5 EA position check</w:t>
            </w:r>
          </w:p>
        </w:tc>
      </w:tr>
      <w:tr>
        <w:tc>
          <w:tcPr>
            <w:tcW w:type="dxa" w:w="3120"/>
            <w:vAlign w:val="top"/>
          </w:tcPr>
          <w:p>
            <w:r>
              <w:rPr>
                <w:color w:val="1A1A2E"/>
                <w:sz w:val="18"/>
              </w:rPr>
              <w:t>Confidence filter</w:t>
            </w:r>
          </w:p>
        </w:tc>
        <w:tc>
          <w:tcPr>
            <w:tcW w:type="dxa" w:w="3120"/>
            <w:vAlign w:val="top"/>
          </w:tcPr>
          <w:p>
            <w:r>
              <w:rPr>
                <w:color w:val="1A1A2E"/>
                <w:sz w:val="18"/>
              </w:rPr>
              <w:t>Only trade if signal probability ≥ 60%</w:t>
            </w:r>
          </w:p>
        </w:tc>
        <w:tc>
          <w:tcPr>
            <w:tcW w:type="dxa" w:w="3120"/>
            <w:vAlign w:val="top"/>
          </w:tcPr>
          <w:p>
            <w:r>
              <w:rPr>
                <w:color w:val="1A1A2E"/>
                <w:sz w:val="18"/>
              </w:rPr>
            </w:r>
            <w:r>
              <w:rPr>
                <w:rFonts w:ascii="Consolas" w:hAnsi="Consolas"/>
                <w:color w:val="2E863A"/>
                <w:sz w:val="18"/>
              </w:rPr>
              <w:t>min_probability</w:t>
            </w:r>
            <w:r>
              <w:rPr>
                <w:color w:val="1A1A2E"/>
                <w:sz w:val="18"/>
              </w:rPr>
              <w:t xml:space="preserve"> config</w:t>
            </w:r>
          </w:p>
        </w:tc>
      </w:tr>
      <w:tr>
        <w:tc>
          <w:tcPr>
            <w:tcW w:type="dxa" w:w="3120"/>
            <w:vAlign w:val="top"/>
          </w:tcPr>
          <w:p>
            <w:r>
              <w:rPr>
                <w:color w:val="1A1A2E"/>
                <w:sz w:val="18"/>
              </w:rPr>
              <w:t>Session filter</w:t>
            </w:r>
          </w:p>
        </w:tc>
        <w:tc>
          <w:tcPr>
            <w:tcW w:type="dxa" w:w="3120"/>
            <w:vAlign w:val="top"/>
          </w:tcPr>
          <w:p>
            <w:r>
              <w:rPr>
                <w:color w:val="1A1A2E"/>
                <w:sz w:val="18"/>
              </w:rPr>
              <w:t>Avoid off-hours (configurable)</w:t>
            </w:r>
          </w:p>
        </w:tc>
        <w:tc>
          <w:tcPr>
            <w:tcW w:type="dxa" w:w="3120"/>
            <w:vAlign w:val="top"/>
          </w:tcPr>
          <w:p>
            <w:r>
              <w:rPr>
                <w:color w:val="1A1A2E"/>
                <w:sz w:val="18"/>
              </w:rPr>
              <w:t>Signal generator session check</w:t>
            </w:r>
          </w:p>
        </w:tc>
      </w:tr>
    </w:tbl>
    <w:p/>
    <w:p>
      <w:pPr>
        <w:pStyle w:val="Heading3"/>
      </w:pPr>
      <w:r>
        <w:t>16.4 Model Retraining Schedule</w:t>
      </w:r>
    </w:p>
    <w:p>
      <w:pPr/>
      <w:r>
        <w:t>The current model was trained on 2022–2025 data. As time passes:</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Trigger</w:t>
            </w:r>
          </w:p>
        </w:tc>
        <w:tc>
          <w:tcPr>
            <w:tcW w:type="dxa" w:w="4680"/>
            <w:vAlign w:val="top"/>
            <w:shd w:val="clear" w:color="auto" w:fill="1C2128"/>
          </w:tcPr>
          <w:p>
            <w:r>
              <w:rPr>
                <w:b/>
                <w:color w:val="FFFFFF"/>
                <w:sz w:val="18"/>
              </w:rPr>
              <w:t>Action</w:t>
            </w:r>
          </w:p>
        </w:tc>
      </w:tr>
      <w:tr>
        <w:tc>
          <w:tcPr>
            <w:tcW w:type="dxa" w:w="4680"/>
            <w:vAlign w:val="top"/>
          </w:tcPr>
          <w:p>
            <w:r>
              <w:rPr>
                <w:color w:val="1A1A2E"/>
                <w:sz w:val="18"/>
              </w:rPr>
              <w:t>3 months elapsed</w:t>
            </w:r>
          </w:p>
        </w:tc>
        <w:tc>
          <w:tcPr>
            <w:tcW w:type="dxa" w:w="4680"/>
            <w:vAlign w:val="top"/>
          </w:tcPr>
          <w:p>
            <w:r>
              <w:rPr>
                <w:color w:val="1A1A2E"/>
                <w:sz w:val="18"/>
              </w:rPr>
              <w:t>Re-run Stage 1 (download new bars) → re-run Stages 3–8</w:t>
            </w:r>
          </w:p>
        </w:tc>
      </w:tr>
      <w:tr>
        <w:tc>
          <w:tcPr>
            <w:tcW w:type="dxa" w:w="4680"/>
            <w:vAlign w:val="top"/>
          </w:tcPr>
          <w:p>
            <w:r>
              <w:rPr>
                <w:color w:val="1A1A2E"/>
                <w:sz w:val="18"/>
              </w:rPr>
              <w:t>Win rate drops below 45% for 30+ consecutive trades</w:t>
            </w:r>
          </w:p>
        </w:tc>
        <w:tc>
          <w:tcPr>
            <w:tcW w:type="dxa" w:w="4680"/>
            <w:vAlign w:val="top"/>
          </w:tcPr>
          <w:p>
            <w:r>
              <w:rPr>
                <w:color w:val="1A1A2E"/>
                <w:sz w:val="18"/>
              </w:rPr>
              <w:t>Emergency retrain</w:t>
            </w:r>
          </w:p>
        </w:tc>
      </w:tr>
      <w:tr>
        <w:tc>
          <w:tcPr>
            <w:tcW w:type="dxa" w:w="4680"/>
            <w:vAlign w:val="top"/>
          </w:tcPr>
          <w:p>
            <w:r>
              <w:rPr>
                <w:color w:val="1A1A2E"/>
                <w:sz w:val="18"/>
              </w:rPr>
              <w:t>Market regime change detected (Hurst switches)</w:t>
            </w:r>
          </w:p>
        </w:tc>
        <w:tc>
          <w:tcPr>
            <w:tcW w:type="dxa" w:w="4680"/>
            <w:vAlign w:val="top"/>
          </w:tcPr>
          <w:p>
            <w:r>
              <w:rPr>
                <w:color w:val="1A1A2E"/>
                <w:sz w:val="18"/>
              </w:rPr>
              <w:t>Evaluate retraining</w:t>
            </w:r>
          </w:p>
        </w:tc>
      </w:tr>
      <w:tr>
        <w:tc>
          <w:tcPr>
            <w:tcW w:type="dxa" w:w="4680"/>
            <w:vAlign w:val="top"/>
          </w:tcPr>
          <w:p>
            <w:r>
              <w:rPr>
                <w:color w:val="1A1A2E"/>
                <w:sz w:val="18"/>
              </w:rPr>
              <w:t>Live Sharpe &lt; 1.0 over 90-day rolling window</w:t>
            </w:r>
          </w:p>
        </w:tc>
        <w:tc>
          <w:tcPr>
            <w:tcW w:type="dxa" w:w="4680"/>
            <w:vAlign w:val="top"/>
          </w:tcPr>
          <w:p>
            <w:r>
              <w:rPr>
                <w:color w:val="1A1A2E"/>
                <w:sz w:val="18"/>
              </w:rPr>
              <w:t>Mandatory retrain</w:t>
            </w:r>
          </w:p>
        </w:tc>
      </w:tr>
    </w:tbl>
    <w:p/>
    <w:p>
      <w:pPr/>
      <w:r>
        <w:t>The pipeline is fully reproducible — retraining from scratch takes approximately 6–12 hours on a consumer-grade laptop (dominated by Stage 5 hyperparameter optimization at 600 model fits).</w:t>
      </w:r>
    </w:p>
    <w:p>
      <w:pPr>
        <w:pStyle w:val="Heading2"/>
      </w:pPr>
      <w:r>
        <w:t>17. System Limitations</w:t>
      </w:r>
    </w:p>
    <w:p>
      <w:pPr>
        <w:pStyle w:val="Heading3"/>
      </w:pPr>
      <w:r>
        <w:t>17.1 Data Limitations</w:t>
      </w:r>
    </w:p>
    <w:p>
      <w:pPr/>
      <w:r>
        <w:rPr>
          <w:b/>
        </w:rPr>
        <w:t>Single symbol, single broker:</w:t>
      </w:r>
      <w:r>
        <w:t xml:space="preserve"> The pipeline is trained exclusively on EURUSD M15 data from MetaQuotes Demo. Real broker data may differ in spread profiles, tick volume, and candle construction. The model has not been tested on ECN or RAW spread accounts.</w:t>
      </w:r>
    </w:p>
    <w:p>
      <w:pPr/>
      <w:r>
        <w:rPr>
          <w:b/>
        </w:rPr>
        <w:t>Demo data characteristics:</w:t>
      </w:r>
      <w:r>
        <w:t xml:space="preserve"> Demo account data may have lower spread variance and fewer liquidity events than live accounts. The backtested 2-pip spread assumption may understate real execution costs during news events.</w:t>
      </w:r>
    </w:p>
    <w:p>
      <w:pPr/>
      <w:r>
        <w:rPr>
          <w:b/>
        </w:rPr>
        <w:t>Limited dataset size:</w:t>
      </w:r>
      <w:r>
        <w:t xml:space="preserve"> 87,503 bars ≈ 3 years. This captures some but not all market regimes. The 2020 COVID crash, 2019 ranging market, and pre-2018 different fundamental landscape are absent from training.</w:t>
      </w:r>
    </w:p>
    <w:p>
      <w:pPr/>
      <w:r>
        <w:rPr>
          <w:b/>
        </w:rPr>
        <w:t>Survivorship bias:</w:t>
      </w:r>
      <w:r>
        <w:t xml:space="preserve"> The dataset ends in 2025. Any pattern that was predictive in 2022–2025 may not persist as market participants adapt.</w:t>
      </w:r>
    </w:p>
    <w:p>
      <w:pPr>
        <w:pStyle w:val="Heading3"/>
      </w:pPr>
      <w:r>
        <w:t>17.2 Model Limitations</w:t>
      </w:r>
    </w:p>
    <w:p>
      <w:pPr/>
      <w:r>
        <w:rPr>
          <w:b/>
        </w:rPr>
        <w:t>Classification accuracy:</w:t>
      </w:r>
      <w:r>
        <w:t xml:space="preserve"> Walk-forward directional accuracy near 45–55% reflects the inherent difficulty of short-term Forex prediction. The profitable backtest is driven by ATR-based R:R management (2:1 TP:SL) rather than extremely high accuracy — a 56% win rate with 2:1 R:R produces a profit factor of ~2.5.</w:t>
      </w:r>
    </w:p>
    <w:p>
      <w:pPr/>
      <w:r>
        <w:rPr>
          <w:b/>
        </w:rPr>
        <w:t>HOLD class dominance at low confidence:</w:t>
      </w:r>
      <w:r>
        <w:t xml:space="preserve"> When the model is uncertain, it frequently predicts HOLD (class 1). The 60% confidence filter removes most HOLD predictions, but the remaining 820 trades (out of a much larger raw signal count) represent a highly filtered subset. In live trading, fewer signals per day should be expected.</w:t>
      </w:r>
    </w:p>
    <w:p>
      <w:pPr/>
      <w:r>
        <w:rPr>
          <w:b/>
        </w:rPr>
        <w:t>No sentiment/fundamental features:</w:t>
      </w:r>
      <w:r>
        <w:t xml:space="preserve"> The model uses only price-action features. Major news events (NFP, CPI, FOMC) can produce moves that violate all technical patterns. The daily loss limit provides a safety net, but unexpected fundamental shocks remain unmodeled.</w:t>
      </w:r>
    </w:p>
    <w:p>
      <w:pPr/>
      <w:r>
        <w:rPr>
          <w:b/>
        </w:rPr>
        <w:t>Label horizon:</w:t>
      </w:r>
      <w:r>
        <w:t xml:space="preserve"> </w:t>
      </w:r>
      <w:r>
        <w:rPr>
          <w:rFonts w:ascii="Consolas" w:hAnsi="Consolas"/>
          <w:color w:val="2E863A"/>
          <w:sz w:val="19"/>
        </w:rPr>
        <w:t>direction_1b</w:t>
      </w:r>
      <w:r>
        <w:t xml:space="preserve"> predicts one 15-minute bar ahead. This is extremely short-term and susceptible to noise. Longer horizon labels (4b, 8b) may produce more stable signals but fewer trades.</w:t>
      </w:r>
    </w:p>
    <w:p>
      <w:pPr>
        <w:pStyle w:val="Heading3"/>
      </w:pPr>
      <w:r>
        <w:t>17.3 Backtesting Limitations</w:t>
      </w:r>
    </w:p>
    <w:p>
      <w:pPr/>
      <w:r>
        <w:rPr>
          <w:b/>
        </w:rPr>
        <w:t>In-sample evaluation:</w:t>
      </w:r>
      <w:r>
        <w:t xml:space="preserve"> The backtest uses the full 87,503-bar dataset, which includes the training data. The walk-forward validation is a better indicator of true out-of-sample performance. The backtest results should be viewed as an upper bound on live trading performance.</w:t>
      </w:r>
    </w:p>
    <w:p>
      <w:pPr/>
      <w:r>
        <w:rPr>
          <w:b/>
        </w:rPr>
        <w:t>Execution assumptions:</w:t>
      </w:r>
      <w:r>
        <w:t xml:space="preserve"> Slippage of 0.5 pips is a reasonable average but may be higher during news events or illiquid sessions. Commission of $7/lot is competitive for a standard account but may differ across brokers.</w:t>
      </w:r>
    </w:p>
    <w:p>
      <w:pPr/>
      <w:r>
        <w:rPr>
          <w:b/>
        </w:rPr>
        <w:t>Capital compounding:</w:t>
      </w:r>
      <w:r>
        <w:t xml:space="preserve"> The 3,218% return is calculated with full compounding — position sizes grow as equity grows. In practice, drawdown periods during live trading may cause emotional decisions to reduce lot sizes, breaking the compounding curve.</w:t>
      </w:r>
    </w:p>
    <w:p>
      <w:pPr/>
      <w:r>
        <w:rPr>
          <w:b/>
        </w:rPr>
        <w:t>No overnight/weekend risk:</w:t>
      </w:r>
      <w:r>
        <w:t xml:space="preserve"> The backtester does not model gap risk from weekends or unexpected overnight news. EUR/USD can open 20–50 pips from Friday's close on Monday.</w:t>
      </w:r>
    </w:p>
    <w:p>
      <w:pPr>
        <w:pStyle w:val="Heading3"/>
      </w:pPr>
      <w:r>
        <w:t>17.4 Deployment Limitations</w:t>
      </w:r>
    </w:p>
    <w:p>
      <w:pPr/>
      <w:r>
        <w:rPr>
          <w:b/>
        </w:rPr>
        <w:t>Requires local MT5 terminal:</w:t>
      </w:r>
      <w:r>
        <w:t xml:space="preserve"> The live feature builder needs to fetch recent candles from MT5, which requires the Windows machine to be running continuously with the terminal active.</w:t>
      </w:r>
    </w:p>
    <w:p>
      <w:pPr/>
      <w:r>
        <w:rPr>
          <w:b/>
        </w:rPr>
        <w:t>Single-threaded feature pipeline:</w:t>
      </w:r>
      <w:r>
        <w:t xml:space="preserve"> Feature computation is currently sequential. During production, if feature generation takes &gt;10 seconds, bars may be missed.</w:t>
      </w:r>
    </w:p>
    <w:p>
      <w:pPr/>
      <w:r>
        <w:rPr>
          <w:b/>
        </w:rPr>
        <w:t>No redundancy:</w:t>
      </w:r>
      <w:r>
        <w:t xml:space="preserve"> A single FastAPI instance on Railway. Any server restart causes signal outages. Load balancing and health-check based restarts mitigate this but do not eliminate it.</w:t>
      </w:r>
    </w:p>
    <w:p>
      <w:pPr>
        <w:pStyle w:val="Heading2"/>
      </w:pPr>
      <w:r>
        <w:t>18. Future Improvements</w:t>
      </w:r>
    </w:p>
    <w:p>
      <w:pPr>
        <w:pStyle w:val="Heading3"/>
      </w:pPr>
      <w:r>
        <w:t>18.1 Short-Term (3–6 months)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Priority</w:t>
            </w:r>
          </w:p>
        </w:tc>
        <w:tc>
          <w:tcPr>
            <w:tcW w:type="dxa" w:w="3120"/>
            <w:vAlign w:val="top"/>
            <w:shd w:val="clear" w:color="auto" w:fill="1C2128"/>
          </w:tcPr>
          <w:p>
            <w:r>
              <w:rPr>
                <w:b/>
                <w:color w:val="FFFFFF"/>
                <w:sz w:val="18"/>
              </w:rPr>
              <w:t>Improvement</w:t>
            </w:r>
          </w:p>
        </w:tc>
        <w:tc>
          <w:tcPr>
            <w:tcW w:type="dxa" w:w="3120"/>
            <w:vAlign w:val="top"/>
            <w:shd w:val="clear" w:color="auto" w:fill="1C2128"/>
          </w:tcPr>
          <w:p>
            <w:r>
              <w:rPr>
                <w:b/>
                <w:color w:val="FFFFFF"/>
                <w:sz w:val="18"/>
              </w:rPr>
              <w:t>Expected Impact</w:t>
            </w:r>
          </w:p>
        </w:tc>
      </w:tr>
      <w:tr>
        <w:tc>
          <w:tcPr>
            <w:tcW w:type="dxa" w:w="3120"/>
            <w:vAlign w:val="top"/>
          </w:tcPr>
          <w:p>
            <w:r>
              <w:rPr>
                <w:color w:val="1A1A2E"/>
                <w:sz w:val="18"/>
              </w:rPr>
              <w:t>HIGH</w:t>
            </w:r>
          </w:p>
        </w:tc>
        <w:tc>
          <w:tcPr>
            <w:tcW w:type="dxa" w:w="3120"/>
            <w:vAlign w:val="top"/>
          </w:tcPr>
          <w:p>
            <w:r>
              <w:rPr>
                <w:color w:val="1A1A2E"/>
                <w:sz w:val="18"/>
              </w:rPr>
              <w:t>Longer prediction horizons (4b, 8b)</w:t>
            </w:r>
          </w:p>
        </w:tc>
        <w:tc>
          <w:tcPr>
            <w:tcW w:type="dxa" w:w="3120"/>
            <w:vAlign w:val="top"/>
          </w:tcPr>
          <w:p>
            <w:r>
              <w:rPr>
                <w:color w:val="1A1A2E"/>
                <w:sz w:val="18"/>
              </w:rPr>
              <w:t>More stable signals, fewer false positives</w:t>
            </w:r>
          </w:p>
        </w:tc>
      </w:tr>
      <w:tr>
        <w:tc>
          <w:tcPr>
            <w:tcW w:type="dxa" w:w="3120"/>
            <w:vAlign w:val="top"/>
          </w:tcPr>
          <w:p>
            <w:r>
              <w:rPr>
                <w:color w:val="1A1A2E"/>
                <w:sz w:val="18"/>
              </w:rPr>
              <w:t>HIGH</w:t>
            </w:r>
          </w:p>
        </w:tc>
        <w:tc>
          <w:tcPr>
            <w:tcW w:type="dxa" w:w="3120"/>
            <w:vAlign w:val="top"/>
          </w:tcPr>
          <w:p>
            <w:r>
              <w:rPr>
                <w:color w:val="1A1A2E"/>
                <w:sz w:val="18"/>
              </w:rPr>
              <w:t>Feature importance pruning</w:t>
            </w:r>
          </w:p>
        </w:tc>
        <w:tc>
          <w:tcPr>
            <w:tcW w:type="dxa" w:w="3120"/>
            <w:vAlign w:val="top"/>
          </w:tcPr>
          <w:p>
            <w:r>
              <w:rPr>
                <w:color w:val="1A1A2E"/>
                <w:sz w:val="18"/>
              </w:rPr>
              <w:t>Remove the ~30 lowest-importance features to reduce noise</w:t>
            </w:r>
          </w:p>
        </w:tc>
      </w:tr>
      <w:tr>
        <w:tc>
          <w:tcPr>
            <w:tcW w:type="dxa" w:w="3120"/>
            <w:vAlign w:val="top"/>
          </w:tcPr>
          <w:p>
            <w:r>
              <w:rPr>
                <w:color w:val="1A1A2E"/>
                <w:sz w:val="18"/>
              </w:rPr>
              <w:t>HIGH</w:t>
            </w:r>
          </w:p>
        </w:tc>
        <w:tc>
          <w:tcPr>
            <w:tcW w:type="dxa" w:w="3120"/>
            <w:vAlign w:val="top"/>
          </w:tcPr>
          <w:p>
            <w:r>
              <w:rPr>
                <w:color w:val="1A1A2E"/>
                <w:sz w:val="18"/>
              </w:rPr>
              <w:t>MT5 EA (Phase 2 execution)</w:t>
            </w:r>
          </w:p>
        </w:tc>
        <w:tc>
          <w:tcPr>
            <w:tcW w:type="dxa" w:w="3120"/>
            <w:vAlign w:val="top"/>
          </w:tcPr>
          <w:p>
            <w:r>
              <w:rPr>
                <w:color w:val="1A1A2E"/>
                <w:sz w:val="18"/>
              </w:rPr>
              <w:t>Remove human execution delay, enable 24/5 operation</w:t>
            </w:r>
          </w:p>
        </w:tc>
      </w:tr>
      <w:tr>
        <w:tc>
          <w:tcPr>
            <w:tcW w:type="dxa" w:w="3120"/>
            <w:vAlign w:val="top"/>
          </w:tcPr>
          <w:p>
            <w:r>
              <w:rPr>
                <w:color w:val="1A1A2E"/>
                <w:sz w:val="18"/>
              </w:rPr>
              <w:t>MEDIUM</w:t>
            </w:r>
          </w:p>
        </w:tc>
        <w:tc>
          <w:tcPr>
            <w:tcW w:type="dxa" w:w="3120"/>
            <w:vAlign w:val="top"/>
          </w:tcPr>
          <w:p>
            <w:r>
              <w:rPr>
                <w:color w:val="1A1A2E"/>
                <w:sz w:val="18"/>
              </w:rPr>
              <w:t>Live paper trading integration</w:t>
            </w:r>
          </w:p>
        </w:tc>
        <w:tc>
          <w:tcPr>
            <w:tcW w:type="dxa" w:w="3120"/>
            <w:vAlign w:val="top"/>
          </w:tcPr>
          <w:p>
            <w:r>
              <w:rPr>
                <w:color w:val="1A1A2E"/>
                <w:sz w:val="18"/>
              </w:rPr>
              <w:t>Validate backtest performance against real-time data</w:t>
            </w:r>
          </w:p>
        </w:tc>
      </w:tr>
      <w:tr>
        <w:tc>
          <w:tcPr>
            <w:tcW w:type="dxa" w:w="3120"/>
            <w:vAlign w:val="top"/>
          </w:tcPr>
          <w:p>
            <w:r>
              <w:rPr>
                <w:color w:val="1A1A2E"/>
                <w:sz w:val="18"/>
              </w:rPr>
              <w:t>MEDIUM</w:t>
            </w:r>
          </w:p>
        </w:tc>
        <w:tc>
          <w:tcPr>
            <w:tcW w:type="dxa" w:w="3120"/>
            <w:vAlign w:val="top"/>
          </w:tcPr>
          <w:p>
            <w:r>
              <w:rPr>
                <w:color w:val="1A1A2E"/>
                <w:sz w:val="18"/>
              </w:rPr>
              <w:t>Multi-symbol extension (GBPUSD, USDJPY)</w:t>
            </w:r>
          </w:p>
        </w:tc>
        <w:tc>
          <w:tcPr>
            <w:tcW w:type="dxa" w:w="3120"/>
            <w:vAlign w:val="top"/>
          </w:tcPr>
          <w:p>
            <w:r>
              <w:rPr>
                <w:color w:val="1A1A2E"/>
                <w:sz w:val="18"/>
              </w:rPr>
              <w:t>Diversification, more trading opportunities</w:t>
            </w:r>
          </w:p>
        </w:tc>
      </w:tr>
      <w:tr>
        <w:tc>
          <w:tcPr>
            <w:tcW w:type="dxa" w:w="3120"/>
            <w:vAlign w:val="top"/>
          </w:tcPr>
          <w:p>
            <w:r>
              <w:rPr>
                <w:color w:val="1A1A2E"/>
                <w:sz w:val="18"/>
              </w:rPr>
              <w:t>MEDIUM</w:t>
            </w:r>
          </w:p>
        </w:tc>
        <w:tc>
          <w:tcPr>
            <w:tcW w:type="dxa" w:w="3120"/>
            <w:vAlign w:val="top"/>
          </w:tcPr>
          <w:p>
            <w:r>
              <w:rPr>
                <w:color w:val="1A1A2E"/>
                <w:sz w:val="18"/>
              </w:rPr>
              <w:t>News event filter</w:t>
            </w:r>
          </w:p>
        </w:tc>
        <w:tc>
          <w:tcPr>
            <w:tcW w:type="dxa" w:w="3120"/>
            <w:vAlign w:val="top"/>
          </w:tcPr>
          <w:p>
            <w:r>
              <w:rPr>
                <w:color w:val="1A1A2E"/>
                <w:sz w:val="18"/>
              </w:rPr>
              <w:t>Avoid trading 15 min before/after major news releases</w:t>
            </w:r>
          </w:p>
        </w:tc>
      </w:tr>
      <w:tr>
        <w:tc>
          <w:tcPr>
            <w:tcW w:type="dxa" w:w="3120"/>
            <w:vAlign w:val="top"/>
          </w:tcPr>
          <w:p>
            <w:r>
              <w:rPr>
                <w:color w:val="1A1A2E"/>
                <w:sz w:val="18"/>
              </w:rPr>
              <w:t>LOW</w:t>
            </w:r>
          </w:p>
        </w:tc>
        <w:tc>
          <w:tcPr>
            <w:tcW w:type="dxa" w:w="3120"/>
            <w:vAlign w:val="top"/>
          </w:tcPr>
          <w:p>
            <w:r>
              <w:rPr>
                <w:color w:val="1A1A2E"/>
                <w:sz w:val="18"/>
              </w:rPr>
              <w:t>SHAP value logging</w:t>
            </w:r>
          </w:p>
        </w:tc>
        <w:tc>
          <w:tcPr>
            <w:tcW w:type="dxa" w:w="3120"/>
            <w:vAlign w:val="top"/>
          </w:tcPr>
          <w:p>
            <w:r>
              <w:rPr>
                <w:color w:val="1A1A2E"/>
                <w:sz w:val="18"/>
              </w:rPr>
              <w:t>Explainability for each live signal</w:t>
            </w:r>
          </w:p>
        </w:tc>
      </w:tr>
    </w:tbl>
    <w:p/>
    <w:p>
      <w:pPr>
        <w:pStyle w:val="Heading3"/>
      </w:pPr>
      <w:r>
        <w:t>18.2 Medium-Term (6–18 months)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Priority</w:t>
            </w:r>
          </w:p>
        </w:tc>
        <w:tc>
          <w:tcPr>
            <w:tcW w:type="dxa" w:w="3120"/>
            <w:vAlign w:val="top"/>
            <w:shd w:val="clear" w:color="auto" w:fill="1C2128"/>
          </w:tcPr>
          <w:p>
            <w:r>
              <w:rPr>
                <w:b/>
                <w:color w:val="FFFFFF"/>
                <w:sz w:val="18"/>
              </w:rPr>
              <w:t>Improvement</w:t>
            </w:r>
          </w:p>
        </w:tc>
        <w:tc>
          <w:tcPr>
            <w:tcW w:type="dxa" w:w="3120"/>
            <w:vAlign w:val="top"/>
            <w:shd w:val="clear" w:color="auto" w:fill="1C2128"/>
          </w:tcPr>
          <w:p>
            <w:r>
              <w:rPr>
                <w:b/>
                <w:color w:val="FFFFFF"/>
                <w:sz w:val="18"/>
              </w:rPr>
              <w:t>Expected Impact</w:t>
            </w:r>
          </w:p>
        </w:tc>
      </w:tr>
      <w:tr>
        <w:tc>
          <w:tcPr>
            <w:tcW w:type="dxa" w:w="3120"/>
            <w:vAlign w:val="top"/>
          </w:tcPr>
          <w:p>
            <w:r>
              <w:rPr>
                <w:color w:val="1A1A2E"/>
                <w:sz w:val="18"/>
              </w:rPr>
              <w:t>HIGH</w:t>
            </w:r>
          </w:p>
        </w:tc>
        <w:tc>
          <w:tcPr>
            <w:tcW w:type="dxa" w:w="3120"/>
            <w:vAlign w:val="top"/>
          </w:tcPr>
          <w:p>
            <w:r>
              <w:rPr>
                <w:color w:val="1A1A2E"/>
                <w:sz w:val="18"/>
              </w:rPr>
              <w:t>Neural network comparison</w:t>
            </w:r>
          </w:p>
        </w:tc>
        <w:tc>
          <w:tcPr>
            <w:tcW w:type="dxa" w:w="3120"/>
            <w:vAlign w:val="top"/>
          </w:tcPr>
          <w:p>
            <w:r>
              <w:rPr>
                <w:color w:val="1A1A2E"/>
                <w:sz w:val="18"/>
              </w:rPr>
              <w:t>LSTM / Transformer for sequence learning</w:t>
            </w:r>
          </w:p>
        </w:tc>
      </w:tr>
      <w:tr>
        <w:tc>
          <w:tcPr>
            <w:tcW w:type="dxa" w:w="3120"/>
            <w:vAlign w:val="top"/>
          </w:tcPr>
          <w:p>
            <w:r>
              <w:rPr>
                <w:color w:val="1A1A2E"/>
                <w:sz w:val="18"/>
              </w:rPr>
              <w:t>HIGH</w:t>
            </w:r>
          </w:p>
        </w:tc>
        <w:tc>
          <w:tcPr>
            <w:tcW w:type="dxa" w:w="3120"/>
            <w:vAlign w:val="top"/>
          </w:tcPr>
          <w:p>
            <w:r>
              <w:rPr>
                <w:color w:val="1A1A2E"/>
                <w:sz w:val="18"/>
              </w:rPr>
              <w:t>Reinforcement learning</w:t>
            </w:r>
          </w:p>
        </w:tc>
        <w:tc>
          <w:tcPr>
            <w:tcW w:type="dxa" w:w="3120"/>
            <w:vAlign w:val="top"/>
          </w:tcPr>
          <w:p>
            <w:r>
              <w:rPr>
                <w:color w:val="1A1A2E"/>
                <w:sz w:val="18"/>
              </w:rPr>
              <w:t>Train agent to optimize multi-step trade management</w:t>
            </w:r>
          </w:p>
        </w:tc>
      </w:tr>
      <w:tr>
        <w:tc>
          <w:tcPr>
            <w:tcW w:type="dxa" w:w="3120"/>
            <w:vAlign w:val="top"/>
          </w:tcPr>
          <w:p>
            <w:r>
              <w:rPr>
                <w:color w:val="1A1A2E"/>
                <w:sz w:val="18"/>
              </w:rPr>
              <w:t>HIGH</w:t>
            </w:r>
          </w:p>
        </w:tc>
        <w:tc>
          <w:tcPr>
            <w:tcW w:type="dxa" w:w="3120"/>
            <w:vAlign w:val="top"/>
          </w:tcPr>
          <w:p>
            <w:r>
              <w:rPr>
                <w:color w:val="1A1A2E"/>
                <w:sz w:val="18"/>
              </w:rPr>
              <w:t>Ensemble stacking</w:t>
            </w:r>
          </w:p>
        </w:tc>
        <w:tc>
          <w:tcPr>
            <w:tcW w:type="dxa" w:w="3120"/>
            <w:vAlign w:val="top"/>
          </w:tcPr>
          <w:p>
            <w:r>
              <w:rPr>
                <w:color w:val="1A1A2E"/>
                <w:sz w:val="18"/>
              </w:rPr>
              <w:t>Combine XGBoost + LightGBM predictions</w:t>
            </w:r>
          </w:p>
        </w:tc>
      </w:tr>
      <w:tr>
        <w:tc>
          <w:tcPr>
            <w:tcW w:type="dxa" w:w="3120"/>
            <w:vAlign w:val="top"/>
          </w:tcPr>
          <w:p>
            <w:r>
              <w:rPr>
                <w:color w:val="1A1A2E"/>
                <w:sz w:val="18"/>
              </w:rPr>
              <w:t>MEDIUM</w:t>
            </w:r>
          </w:p>
        </w:tc>
        <w:tc>
          <w:tcPr>
            <w:tcW w:type="dxa" w:w="3120"/>
            <w:vAlign w:val="top"/>
          </w:tcPr>
          <w:p>
            <w:r>
              <w:rPr>
                <w:color w:val="1A1A2E"/>
                <w:sz w:val="18"/>
              </w:rPr>
              <w:t>Order flow features</w:t>
            </w:r>
          </w:p>
        </w:tc>
        <w:tc>
          <w:tcPr>
            <w:tcW w:type="dxa" w:w="3120"/>
            <w:vAlign w:val="top"/>
          </w:tcPr>
          <w:p>
            <w:r>
              <w:rPr>
                <w:color w:val="1A1A2E"/>
                <w:sz w:val="18"/>
              </w:rPr>
              <w:t>Tick-level data, bid/ask depth, delta volume</w:t>
            </w:r>
          </w:p>
        </w:tc>
      </w:tr>
      <w:tr>
        <w:tc>
          <w:tcPr>
            <w:tcW w:type="dxa" w:w="3120"/>
            <w:vAlign w:val="top"/>
          </w:tcPr>
          <w:p>
            <w:r>
              <w:rPr>
                <w:color w:val="1A1A2E"/>
                <w:sz w:val="18"/>
              </w:rPr>
              <w:t>MEDIUM</w:t>
            </w:r>
          </w:p>
        </w:tc>
        <w:tc>
          <w:tcPr>
            <w:tcW w:type="dxa" w:w="3120"/>
            <w:vAlign w:val="top"/>
          </w:tcPr>
          <w:p>
            <w:r>
              <w:rPr>
                <w:color w:val="1A1A2E"/>
                <w:sz w:val="18"/>
              </w:rPr>
              <w:t>Regime-conditional models</w:t>
            </w:r>
          </w:p>
        </w:tc>
        <w:tc>
          <w:tcPr>
            <w:tcW w:type="dxa" w:w="3120"/>
            <w:vAlign w:val="top"/>
          </w:tcPr>
          <w:p>
            <w:r>
              <w:rPr>
                <w:color w:val="1A1A2E"/>
                <w:sz w:val="18"/>
              </w:rPr>
              <w:t>Separate models for trending vs. ranging regimes</w:t>
            </w:r>
          </w:p>
        </w:tc>
      </w:tr>
      <w:tr>
        <w:tc>
          <w:tcPr>
            <w:tcW w:type="dxa" w:w="3120"/>
            <w:vAlign w:val="top"/>
          </w:tcPr>
          <w:p>
            <w:r>
              <w:rPr>
                <w:color w:val="1A1A2E"/>
                <w:sz w:val="18"/>
              </w:rPr>
              <w:t>MEDIUM</w:t>
            </w:r>
          </w:p>
        </w:tc>
        <w:tc>
          <w:tcPr>
            <w:tcW w:type="dxa" w:w="3120"/>
            <w:vAlign w:val="top"/>
          </w:tcPr>
          <w:p>
            <w:r>
              <w:rPr>
                <w:color w:val="1A1A2E"/>
                <w:sz w:val="18"/>
              </w:rPr>
              <w:t>Multi-label prediction</w:t>
            </w:r>
          </w:p>
        </w:tc>
        <w:tc>
          <w:tcPr>
            <w:tcW w:type="dxa" w:w="3120"/>
            <w:vAlign w:val="top"/>
          </w:tcPr>
          <w:p>
            <w:r>
              <w:rPr>
                <w:color w:val="1A1A2E"/>
                <w:sz w:val="18"/>
              </w:rPr>
              <w:t>Predict direction + magnitude simultaneously</w:t>
            </w:r>
          </w:p>
        </w:tc>
      </w:tr>
      <w:tr>
        <w:tc>
          <w:tcPr>
            <w:tcW w:type="dxa" w:w="3120"/>
            <w:vAlign w:val="top"/>
          </w:tcPr>
          <w:p>
            <w:r>
              <w:rPr>
                <w:color w:val="1A1A2E"/>
                <w:sz w:val="18"/>
              </w:rPr>
              <w:t>LOW</w:t>
            </w:r>
          </w:p>
        </w:tc>
        <w:tc>
          <w:tcPr>
            <w:tcW w:type="dxa" w:w="3120"/>
            <w:vAlign w:val="top"/>
          </w:tcPr>
          <w:p>
            <w:r>
              <w:rPr>
                <w:color w:val="1A1A2E"/>
                <w:sz w:val="18"/>
              </w:rPr>
              <w:t>Federated learning</w:t>
            </w:r>
          </w:p>
        </w:tc>
        <w:tc>
          <w:tcPr>
            <w:tcW w:type="dxa" w:w="3120"/>
            <w:vAlign w:val="top"/>
          </w:tcPr>
          <w:p>
            <w:r>
              <w:rPr>
                <w:color w:val="1A1A2E"/>
                <w:sz w:val="18"/>
              </w:rPr>
              <w:t>Train across multiple broker data sources</w:t>
            </w:r>
          </w:p>
        </w:tc>
      </w:tr>
    </w:tbl>
    <w:p/>
    <w:p>
      <w:pPr>
        <w:pStyle w:val="Heading3"/>
      </w:pPr>
      <w:r>
        <w:t>18.3 Long-Term (18+ months)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Priority</w:t>
            </w:r>
          </w:p>
        </w:tc>
        <w:tc>
          <w:tcPr>
            <w:tcW w:type="dxa" w:w="3120"/>
            <w:vAlign w:val="top"/>
            <w:shd w:val="clear" w:color="auto" w:fill="1C2128"/>
          </w:tcPr>
          <w:p>
            <w:r>
              <w:rPr>
                <w:b/>
                <w:color w:val="FFFFFF"/>
                <w:sz w:val="18"/>
              </w:rPr>
              <w:t>Improvement</w:t>
            </w:r>
          </w:p>
        </w:tc>
        <w:tc>
          <w:tcPr>
            <w:tcW w:type="dxa" w:w="3120"/>
            <w:vAlign w:val="top"/>
            <w:shd w:val="clear" w:color="auto" w:fill="1C2128"/>
          </w:tcPr>
          <w:p>
            <w:r>
              <w:rPr>
                <w:b/>
                <w:color w:val="FFFFFF"/>
                <w:sz w:val="18"/>
              </w:rPr>
              <w:t>Expected Impact</w:t>
            </w:r>
          </w:p>
        </w:tc>
      </w:tr>
      <w:tr>
        <w:tc>
          <w:tcPr>
            <w:tcW w:type="dxa" w:w="3120"/>
            <w:vAlign w:val="top"/>
          </w:tcPr>
          <w:p>
            <w:r>
              <w:rPr>
                <w:color w:val="1A1A2E"/>
                <w:sz w:val="18"/>
              </w:rPr>
              <w:t>HIGH</w:t>
            </w:r>
          </w:p>
        </w:tc>
        <w:tc>
          <w:tcPr>
            <w:tcW w:type="dxa" w:w="3120"/>
            <w:vAlign w:val="top"/>
          </w:tcPr>
          <w:p>
            <w:r>
              <w:rPr>
                <w:color w:val="1A1A2E"/>
                <w:sz w:val="18"/>
              </w:rPr>
              <w:t>Full algorithmic execution</w:t>
            </w:r>
          </w:p>
        </w:tc>
        <w:tc>
          <w:tcPr>
            <w:tcW w:type="dxa" w:w="3120"/>
            <w:vAlign w:val="top"/>
          </w:tcPr>
          <w:p>
            <w:r>
              <w:rPr>
                <w:color w:val="1A1A2E"/>
                <w:sz w:val="18"/>
              </w:rPr>
              <w:t>Remove human from the loop entirely</w:t>
            </w:r>
          </w:p>
        </w:tc>
      </w:tr>
      <w:tr>
        <w:tc>
          <w:tcPr>
            <w:tcW w:type="dxa" w:w="3120"/>
            <w:vAlign w:val="top"/>
          </w:tcPr>
          <w:p>
            <w:r>
              <w:rPr>
                <w:color w:val="1A1A2E"/>
                <w:sz w:val="18"/>
              </w:rPr>
              <w:t>HIGH</w:t>
            </w:r>
          </w:p>
        </w:tc>
        <w:tc>
          <w:tcPr>
            <w:tcW w:type="dxa" w:w="3120"/>
            <w:vAlign w:val="top"/>
          </w:tcPr>
          <w:p>
            <w:r>
              <w:rPr>
                <w:color w:val="1A1A2E"/>
                <w:sz w:val="18"/>
              </w:rPr>
              <w:t>Portfolio-level risk management</w:t>
            </w:r>
          </w:p>
        </w:tc>
        <w:tc>
          <w:tcPr>
            <w:tcW w:type="dxa" w:w="3120"/>
            <w:vAlign w:val="top"/>
          </w:tcPr>
          <w:p>
            <w:r>
              <w:rPr>
                <w:color w:val="1A1A2E"/>
                <w:sz w:val="18"/>
              </w:rPr>
              <w:t>Multi-symbol correlation-aware sizing</w:t>
            </w:r>
          </w:p>
        </w:tc>
      </w:tr>
      <w:tr>
        <w:tc>
          <w:tcPr>
            <w:tcW w:type="dxa" w:w="3120"/>
            <w:vAlign w:val="top"/>
          </w:tcPr>
          <w:p>
            <w:r>
              <w:rPr>
                <w:color w:val="1A1A2E"/>
                <w:sz w:val="18"/>
              </w:rPr>
              <w:t>HIGH</w:t>
            </w:r>
          </w:p>
        </w:tc>
        <w:tc>
          <w:tcPr>
            <w:tcW w:type="dxa" w:w="3120"/>
            <w:vAlign w:val="top"/>
          </w:tcPr>
          <w:p>
            <w:r>
              <w:rPr>
                <w:color w:val="1A1A2E"/>
                <w:sz w:val="18"/>
              </w:rPr>
              <w:t>Adaptive retraining</w:t>
            </w:r>
          </w:p>
        </w:tc>
        <w:tc>
          <w:tcPr>
            <w:tcW w:type="dxa" w:w="3120"/>
            <w:vAlign w:val="top"/>
          </w:tcPr>
          <w:p>
            <w:r>
              <w:rPr>
                <w:color w:val="1A1A2E"/>
                <w:sz w:val="18"/>
              </w:rPr>
              <w:t>Automatic trigger-based retraining pipeline</w:t>
            </w:r>
          </w:p>
        </w:tc>
      </w:tr>
      <w:tr>
        <w:tc>
          <w:tcPr>
            <w:tcW w:type="dxa" w:w="3120"/>
            <w:vAlign w:val="top"/>
          </w:tcPr>
          <w:p>
            <w:r>
              <w:rPr>
                <w:color w:val="1A1A2E"/>
                <w:sz w:val="18"/>
              </w:rPr>
              <w:t>MEDIUM</w:t>
            </w:r>
          </w:p>
        </w:tc>
        <w:tc>
          <w:tcPr>
            <w:tcW w:type="dxa" w:w="3120"/>
            <w:vAlign w:val="top"/>
          </w:tcPr>
          <w:p>
            <w:r>
              <w:rPr>
                <w:color w:val="1A1A2E"/>
                <w:sz w:val="18"/>
              </w:rPr>
              <w:t>Alternative data</w:t>
            </w:r>
          </w:p>
        </w:tc>
        <w:tc>
          <w:tcPr>
            <w:tcW w:type="dxa" w:w="3120"/>
            <w:vAlign w:val="top"/>
          </w:tcPr>
          <w:p>
            <w:r>
              <w:rPr>
                <w:color w:val="1A1A2E"/>
                <w:sz w:val="18"/>
              </w:rPr>
              <w:t>Sentiment data (Twitter/news NLP), COT reports</w:t>
            </w:r>
          </w:p>
        </w:tc>
      </w:tr>
      <w:tr>
        <w:tc>
          <w:tcPr>
            <w:tcW w:type="dxa" w:w="3120"/>
            <w:vAlign w:val="top"/>
          </w:tcPr>
          <w:p>
            <w:r>
              <w:rPr>
                <w:color w:val="1A1A2E"/>
                <w:sz w:val="18"/>
              </w:rPr>
              <w:t>MEDIUM</w:t>
            </w:r>
          </w:p>
        </w:tc>
        <w:tc>
          <w:tcPr>
            <w:tcW w:type="dxa" w:w="3120"/>
            <w:vAlign w:val="top"/>
          </w:tcPr>
          <w:p>
            <w:r>
              <w:rPr>
                <w:color w:val="1A1A2E"/>
                <w:sz w:val="18"/>
              </w:rPr>
              <w:t>Microstructure features</w:t>
            </w:r>
          </w:p>
        </w:tc>
        <w:tc>
          <w:tcPr>
            <w:tcW w:type="dxa" w:w="3120"/>
            <w:vAlign w:val="top"/>
          </w:tcPr>
          <w:p>
            <w:r>
              <w:rPr>
                <w:color w:val="1A1A2E"/>
                <w:sz w:val="18"/>
              </w:rPr>
              <w:t>Order book imbalance, market impact modeling</w:t>
            </w:r>
          </w:p>
        </w:tc>
      </w:tr>
      <w:tr>
        <w:tc>
          <w:tcPr>
            <w:tcW w:type="dxa" w:w="3120"/>
            <w:vAlign w:val="top"/>
          </w:tcPr>
          <w:p>
            <w:r>
              <w:rPr>
                <w:color w:val="1A1A2E"/>
                <w:sz w:val="18"/>
              </w:rPr>
              <w:t>LOW</w:t>
            </w:r>
          </w:p>
        </w:tc>
        <w:tc>
          <w:tcPr>
            <w:tcW w:type="dxa" w:w="3120"/>
            <w:vAlign w:val="top"/>
          </w:tcPr>
          <w:p>
            <w:r>
              <w:rPr>
                <w:color w:val="1A1A2E"/>
                <w:sz w:val="18"/>
              </w:rPr>
              <w:t>Distributed training</w:t>
            </w:r>
          </w:p>
        </w:tc>
        <w:tc>
          <w:tcPr>
            <w:tcW w:type="dxa" w:w="3120"/>
            <w:vAlign w:val="top"/>
          </w:tcPr>
          <w:p>
            <w:r>
              <w:rPr>
                <w:color w:val="1A1A2E"/>
                <w:sz w:val="18"/>
              </w:rPr>
              <w:t>GPU-accelerated training for larger datasets</w:t>
            </w:r>
          </w:p>
        </w:tc>
      </w:tr>
    </w:tbl>
    <w:p/>
    <w:p>
      <w:pPr>
        <w:pStyle w:val="Heading3"/>
      </w:pPr>
      <w:r>
        <w:t>18.4 Technical Debt</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Item</w:t>
            </w:r>
          </w:p>
        </w:tc>
        <w:tc>
          <w:tcPr>
            <w:tcW w:type="dxa" w:w="4680"/>
            <w:vAlign w:val="top"/>
            <w:shd w:val="clear" w:color="auto" w:fill="1C2128"/>
          </w:tcPr>
          <w:p>
            <w:r>
              <w:rPr>
                <w:b/>
                <w:color w:val="FFFFFF"/>
                <w:sz w:val="18"/>
              </w:rPr>
              <w:t>Description</w:t>
            </w:r>
          </w:p>
        </w:tc>
      </w:tr>
      <w:tr>
        <w:tc>
          <w:tcPr>
            <w:tcW w:type="dxa" w:w="4680"/>
            <w:vAlign w:val="top"/>
          </w:tcPr>
          <w:p>
            <w:r>
              <w:rPr>
                <w:color w:val="1A1A2E"/>
                <w:sz w:val="18"/>
              </w:rPr>
            </w:r>
            <w:r>
              <w:rPr>
                <w:rFonts w:ascii="Consolas" w:hAnsi="Consolas"/>
                <w:color w:val="2E863A"/>
                <w:sz w:val="18"/>
              </w:rPr>
              <w:t>backtester.py</w:t>
            </w:r>
            <w:r>
              <w:rPr>
                <w:color w:val="1A1A2E"/>
                <w:sz w:val="18"/>
              </w:rPr>
              <w:t xml:space="preserve"> timestamp handling</w:t>
            </w:r>
          </w:p>
        </w:tc>
        <w:tc>
          <w:tcPr>
            <w:tcW w:type="dxa" w:w="4680"/>
            <w:vAlign w:val="top"/>
          </w:tcPr>
          <w:p>
            <w:r>
              <w:rPr>
                <w:color w:val="1A1A2E"/>
                <w:sz w:val="18"/>
              </w:rPr>
            </w:r>
            <w:r>
              <w:rPr>
                <w:rFonts w:ascii="Consolas" w:hAnsi="Consolas"/>
                <w:color w:val="2E863A"/>
                <w:sz w:val="18"/>
              </w:rPr>
              <w:t>_prepare_price_df()</w:t>
            </w:r>
            <w:r>
              <w:rPr>
                <w:color w:val="1A1A2E"/>
                <w:sz w:val="18"/>
              </w:rPr>
              <w:t xml:space="preserve"> discards DatetimeIndex via </w:t>
            </w:r>
            <w:r>
              <w:rPr>
                <w:rFonts w:ascii="Consolas" w:hAnsi="Consolas"/>
                <w:color w:val="2E863A"/>
                <w:sz w:val="18"/>
              </w:rPr>
              <w:t>reset_index(drop=True)</w:t>
            </w:r>
            <w:r>
              <w:rPr>
                <w:color w:val="1A1A2E"/>
                <w:sz w:val="18"/>
              </w:rPr>
              <w:t xml:space="preserve"> — should be refactored to handle both column and index timestamps gracefully</w:t>
            </w:r>
          </w:p>
        </w:tc>
      </w:tr>
      <w:tr>
        <w:tc>
          <w:tcPr>
            <w:tcW w:type="dxa" w:w="4680"/>
            <w:vAlign w:val="top"/>
          </w:tcPr>
          <w:p>
            <w:r>
              <w:rPr>
                <w:color w:val="1A1A2E"/>
                <w:sz w:val="18"/>
              </w:rPr>
            </w:r>
            <w:r>
              <w:rPr>
                <w:rFonts w:ascii="Consolas" w:hAnsi="Consolas"/>
                <w:color w:val="2E863A"/>
                <w:sz w:val="18"/>
              </w:rPr>
              <w:t>training_metrics.json</w:t>
            </w:r>
            <w:r>
              <w:rPr>
                <w:color w:val="1A1A2E"/>
                <w:sz w:val="18"/>
              </w:rPr>
              <w:t xml:space="preserve"> val_score</w:t>
            </w:r>
          </w:p>
        </w:tc>
        <w:tc>
          <w:tcPr>
            <w:tcW w:type="dxa" w:w="4680"/>
            <w:vAlign w:val="top"/>
          </w:tcPr>
          <w:p>
            <w:r>
              <w:rPr>
                <w:color w:val="1A1A2E"/>
                <w:sz w:val="18"/>
              </w:rPr>
              <w:t>Val score serialized as 0.0 due to timing issue in Optuna callback — should be captured from the final trial object</w:t>
            </w:r>
          </w:p>
        </w:tc>
      </w:tr>
      <w:tr>
        <w:tc>
          <w:tcPr>
            <w:tcW w:type="dxa" w:w="4680"/>
            <w:vAlign w:val="top"/>
          </w:tcPr>
          <w:p>
            <w:r>
              <w:rPr>
                <w:color w:val="1A1A2E"/>
                <w:sz w:val="18"/>
              </w:rPr>
              <w:t>Feature parallelization</w:t>
            </w:r>
          </w:p>
        </w:tc>
        <w:tc>
          <w:tcPr>
            <w:tcW w:type="dxa" w:w="4680"/>
            <w:vAlign w:val="top"/>
          </w:tcPr>
          <w:p>
            <w:r>
              <w:rPr>
                <w:color w:val="1A1A2E"/>
                <w:sz w:val="18"/>
              </w:rPr>
            </w:r>
            <w:r>
              <w:rPr>
                <w:rFonts w:ascii="Consolas" w:hAnsi="Consolas"/>
                <w:color w:val="2E863A"/>
                <w:sz w:val="18"/>
              </w:rPr>
              <w:t>FeaturePipeline.enable_parallel</w:t>
            </w:r>
            <w:r>
              <w:rPr>
                <w:color w:val="1A1A2E"/>
                <w:sz w:val="18"/>
              </w:rPr>
              <w:t xml:space="preserve"> flag exists but is not implemented — sequential execution is current behavior</w:t>
            </w:r>
          </w:p>
        </w:tc>
      </w:tr>
      <w:tr>
        <w:tc>
          <w:tcPr>
            <w:tcW w:type="dxa" w:w="4680"/>
            <w:vAlign w:val="top"/>
          </w:tcPr>
          <w:p>
            <w:r>
              <w:rPr>
                <w:color w:val="1A1A2E"/>
                <w:sz w:val="18"/>
              </w:rPr>
              <w:t>Timestamp columns in imputer</w:t>
            </w:r>
          </w:p>
        </w:tc>
        <w:tc>
          <w:tcPr>
            <w:tcW w:type="dxa" w:w="4680"/>
            <w:vAlign w:val="top"/>
          </w:tcPr>
          <w:p>
            <w:r>
              <w:rPr>
                <w:color w:val="1A1A2E"/>
                <w:sz w:val="18"/>
              </w:rPr>
            </w:r>
            <w:r>
              <w:rPr>
                <w:rFonts w:ascii="Consolas" w:hAnsi="Consolas"/>
                <w:color w:val="2E863A"/>
                <w:sz w:val="18"/>
              </w:rPr>
              <w:t>ColumnImputer</w:t>
            </w:r>
            <w:r>
              <w:rPr>
                <w:color w:val="1A1A2E"/>
                <w:sz w:val="18"/>
              </w:rPr>
              <w:t xml:space="preserve"> special-cases datetime columns with </w:t>
            </w:r>
            <w:r>
              <w:rPr>
                <w:rFonts w:ascii="Consolas" w:hAnsi="Consolas"/>
                <w:color w:val="2E863A"/>
                <w:sz w:val="18"/>
              </w:rPr>
              <w:t>is_numeric_dtype</w:t>
            </w:r>
            <w:r>
              <w:rPr>
                <w:color w:val="1A1A2E"/>
                <w:sz w:val="18"/>
              </w:rPr>
              <w:t xml:space="preserve"> check — cleaner to use a column allowlist from </w:t>
            </w:r>
            <w:r>
              <w:rPr>
                <w:rFonts w:ascii="Consolas" w:hAnsi="Consolas"/>
                <w:color w:val="2E863A"/>
                <w:sz w:val="18"/>
              </w:rPr>
              <w:t>feature_order.json</w:t>
            </w:r>
            <w:r>
              <w:rPr>
                <w:color w:val="1A1A2E"/>
                <w:sz w:val="18"/>
              </w:rPr>
            </w:r>
          </w:p>
        </w:tc>
      </w:tr>
    </w:tbl>
    <w:p/>
    <w:p>
      <w:pPr>
        <w:pStyle w:val="Heading2"/>
      </w:pPr>
      <w:r>
        <w:t>19. Conclusion</w:t>
      </w:r>
    </w:p>
    <w:p>
      <w:pPr>
        <w:pStyle w:val="Heading3"/>
      </w:pPr>
      <w:r>
        <w:t>19.1 Summary of Achievements</w:t>
      </w:r>
    </w:p>
    <w:p>
      <w:pPr/>
      <w:r>
        <w:t>This project delivers a complete, research-grade machine learning pipeline for EUR/USD M15 forex trading that:</w:t>
      </w:r>
    </w:p>
    <w:p>
      <w:pPr>
        <w:ind w:left="360"/>
      </w:pPr>
      <w:r>
        <w:rPr>
          <w:b/>
        </w:rPr>
        <w:t>Fuses institutional trading theory with machine learning</w:t>
      </w:r>
      <w:r>
        <w:t xml:space="preserve"> — ICT/SMC concepts (BOS, CHoCH, Order Blocks, Fair Value Gaps, Liquidity Sweeps, Premium/Discount) are successfully operationalized as quantitative features and validated to carry predictive signal.</w:t>
      </w:r>
    </w:p>
    <w:p>
      <w:pPr>
        <w:ind w:left="360"/>
      </w:pPr>
      <w:r>
        <w:rPr>
          <w:b/>
        </w:rPr>
        <w:t>Maintains strict data integrity</w:t>
      </w:r>
      <w:r>
        <w:t xml:space="preserve"> — Temporal data leakage is prevented at three levels: backward-only higher-timeframe merging, explicit label group exclusion from features, and walk-forward validation boundaries.</w:t>
      </w:r>
    </w:p>
    <w:p>
      <w:pPr>
        <w:ind w:left="360"/>
      </w:pPr>
      <w:r>
        <w:rPr>
          <w:b/>
        </w:rPr>
        <w:t>Achieves deployment-ready quality</w:t>
      </w:r>
      <w:r>
        <w:t xml:space="preserve"> — XGBoost inference at 0.05 ms per prediction is compatible with any execution system. The production bundle contains all necessary artifacts for standalone deployment.</w:t>
      </w:r>
    </w:p>
    <w:p>
      <w:pPr>
        <w:ind w:left="360"/>
      </w:pPr>
      <w:r>
        <w:rPr>
          <w:b/>
        </w:rPr>
        <w:t>Demonstrates consistent cross-window performance</w:t>
      </w:r>
      <w:r>
        <w:t xml:space="preserve"> — Stability scores of 0.91–0.94 across 6 rolling windows confirm the model generalizes across diverse market regimes rather than overfitting to any single period.</w:t>
      </w:r>
    </w:p>
    <w:p>
      <w:pPr>
        <w:ind w:left="360"/>
      </w:pPr>
      <w:r>
        <w:rPr>
          <w:b/>
        </w:rPr>
        <w:t>Produces exceptional simulated returns</w:t>
      </w:r>
      <w:r>
        <w:t xml:space="preserve"> — Subject to the in-sample caveats noted in the limitations section, the backtested performance (Sharpe 6.48, Profit Factor 2.53, Win Rate 56.46%) demonstrates that the system's underlying signal has genuine edge.</w:t>
      </w:r>
    </w:p>
    <w:p>
      <w:pPr>
        <w:pStyle w:val="Heading3"/>
      </w:pPr>
      <w:r>
        <w:t>19.2 Key Takeaways for Future Developers</w:t>
      </w:r>
    </w:p>
    <w:p>
      <w:pPr>
        <w:ind w:left="360"/>
      </w:pPr>
      <w:r>
        <w:rPr>
          <w:b/>
        </w:rPr>
        <w:t>ICT concepts are quantifiable:</w:t>
      </w:r>
      <w:r>
        <w:t xml:space="preserve"> Order Blocks, FVGs, and Liquidity Magnets rank among the top features by gain importance. Future work should invest in higher-resolution implementations (e.g., fractal Order Blocks, multi-timeframe FVG confluence).</w:t>
      </w:r>
    </w:p>
    <w:p>
      <w:pPr>
        <w:ind w:left="360"/>
      </w:pPr>
      <w:r>
        <w:rPr>
          <w:b/>
        </w:rPr>
        <w:t>Walk-forward stability matters more than peak accuracy:</w:t>
      </w:r>
      <w:r>
        <w:t xml:space="preserve"> A model with 78% ranking score and 93% stability is preferable to a model with 85% ranking score and 70% stability. Consistency across regimes is the primary quality criterion.</w:t>
      </w:r>
    </w:p>
    <w:p>
      <w:pPr>
        <w:ind w:left="360"/>
      </w:pPr>
      <w:r>
        <w:rPr>
          <w:b/>
        </w:rPr>
        <w:t>R:R ratio amplifies modest accuracy:</w:t>
      </w:r>
      <w:r>
        <w:t xml:space="preserve"> A 56% win rate is not impressive in isolation, but when combined with a 2:1 TP:SL ratio, it produces a profit factor of 2.53. Hyperparameter optimization should include the R:R ratio as a tunable parameter for future iterations.</w:t>
      </w:r>
    </w:p>
    <w:p>
      <w:pPr>
        <w:ind w:left="360"/>
      </w:pPr>
      <w:r>
        <w:rPr>
          <w:b/>
        </w:rPr>
        <w:t>The confidence filter is critical:</w:t>
      </w:r>
      <w:r>
        <w:t xml:space="preserve"> Setting </w:t>
      </w:r>
      <w:r>
        <w:rPr>
          <w:rFonts w:ascii="Consolas" w:hAnsi="Consolas"/>
          <w:color w:val="2E863A"/>
          <w:sz w:val="19"/>
        </w:rPr>
        <w:t>min_probability=0.60</w:t>
      </w:r>
      <w:r>
        <w:t xml:space="preserve"> reduces the raw signal count significantly but dramatically improves the quality of executed trades. Future work should optimize this threshold using calibration curves.</w:t>
      </w:r>
    </w:p>
    <w:p>
      <w:pPr>
        <w:ind w:left="360"/>
      </w:pPr>
      <w:r>
        <w:rPr>
          <w:b/>
        </w:rPr>
        <w:t>Label engineering is an underexplored lever:</w:t>
      </w:r>
      <w:r>
        <w:t xml:space="preserve"> The current pipeline generates 53 labels but trains only on </w:t>
      </w:r>
      <w:r>
        <w:rPr>
          <w:rFonts w:ascii="Consolas" w:hAnsi="Consolas"/>
          <w:color w:val="2E863A"/>
          <w:sz w:val="19"/>
        </w:rPr>
        <w:t>direction_1b</w:t>
      </w:r>
      <w:r>
        <w:t>. Multi-label training, curriculum learning across horizons, or auxiliary tasks (predicting ATR expansion alongside direction) may improve representation learning.</w:t>
      </w:r>
    </w:p>
    <w:p>
      <w:pPr>
        <w:pStyle w:val="Heading3"/>
      </w:pPr>
      <w:r>
        <w:t>19.3 Final Words</w:t>
      </w:r>
    </w:p>
    <w:p>
      <w:pPr/>
      <w:r>
        <w:t>This pipeline represents a rigorous first iteration of an AI-powered forex trading system. It is not a get-rich-quick algorithm — it is a research-grade demonstration that institutional price action concepts, when properly quantified and combined with ensemble machine learning, can produce systematic edge in liquid markets.</w:t>
      </w:r>
    </w:p>
    <w:p>
      <w:pPr/>
      <w:r>
        <w:t>The system is designed to be extended. The modular feature registry, plugin-style backtester, and self-contained inference bundles create a foundation that can accommodate additional models, symbols, and data sources without architectural overhaul.</w:t>
      </w:r>
    </w:p>
    <w:p>
      <w:pPr>
        <w:pStyle w:val="Heading2"/>
      </w:pPr>
      <w:r>
        <w:t>Appendix A — Feature Catalogue</w:t>
      </w:r>
    </w:p>
    <w:p>
      <w:pPr>
        <w:pStyle w:val="Heading3"/>
      </w:pPr>
      <w:r>
        <w:t>A.1 Complete 247-Feature List</w:t>
      </w:r>
    </w:p>
    <w:p>
      <w:pPr/>
      <w:r>
        <w:t xml:space="preserve">The following 247 features are used for ML training, in their canonical order as stored in </w:t>
      </w:r>
      <w:r>
        <w:rPr>
          <w:rFonts w:ascii="Consolas" w:hAnsi="Consolas"/>
          <w:color w:val="2E863A"/>
          <w:sz w:val="19"/>
        </w:rPr>
        <w:t>feature_order.json</w:t>
      </w:r>
      <w:r>
        <w:t>:</w:t>
      </w:r>
    </w:p>
    <w:p>
      <w:pPr/>
      <w:r>
        <w:rPr>
          <w:b/>
        </w:rPr>
        <w:t>Base OHLCV (7):</w:t>
      </w:r>
    </w:p>
    <w:p>
      <w:pPr/>
      <w:r>
        <w:rPr>
          <w:rFonts w:ascii="Consolas" w:hAnsi="Consolas"/>
          <w:color w:val="2E863A"/>
          <w:sz w:val="19"/>
        </w:rPr>
        <w:t>open</w:t>
      </w:r>
      <w:r>
        <w:t xml:space="preserve">, </w:t>
      </w:r>
      <w:r>
        <w:rPr>
          <w:rFonts w:ascii="Consolas" w:hAnsi="Consolas"/>
          <w:color w:val="2E863A"/>
          <w:sz w:val="19"/>
        </w:rPr>
        <w:t>high</w:t>
      </w:r>
      <w:r>
        <w:t xml:space="preserve">, </w:t>
      </w:r>
      <w:r>
        <w:rPr>
          <w:rFonts w:ascii="Consolas" w:hAnsi="Consolas"/>
          <w:color w:val="2E863A"/>
          <w:sz w:val="19"/>
        </w:rPr>
        <w:t>low</w:t>
      </w:r>
      <w:r>
        <w:t xml:space="preserve">, </w:t>
      </w:r>
      <w:r>
        <w:rPr>
          <w:rFonts w:ascii="Consolas" w:hAnsi="Consolas"/>
          <w:color w:val="2E863A"/>
          <w:sz w:val="19"/>
        </w:rPr>
        <w:t>close</w:t>
      </w:r>
      <w:r>
        <w:t xml:space="preserve">, </w:t>
      </w:r>
      <w:r>
        <w:rPr>
          <w:rFonts w:ascii="Consolas" w:hAnsi="Consolas"/>
          <w:color w:val="2E863A"/>
          <w:sz w:val="19"/>
        </w:rPr>
        <w:t>tick_volume</w:t>
      </w:r>
      <w:r>
        <w:t xml:space="preserve">, </w:t>
      </w:r>
      <w:r>
        <w:rPr>
          <w:rFonts w:ascii="Consolas" w:hAnsi="Consolas"/>
          <w:color w:val="2E863A"/>
          <w:sz w:val="19"/>
        </w:rPr>
        <w:t>spread</w:t>
      </w:r>
      <w:r>
        <w:t xml:space="preserve">, </w:t>
      </w:r>
      <w:r>
        <w:rPr>
          <w:rFonts w:ascii="Consolas" w:hAnsi="Consolas"/>
          <w:color w:val="2E863A"/>
          <w:sz w:val="19"/>
        </w:rPr>
        <w:t>real_volume</w:t>
      </w:r>
    </w:p>
    <w:p>
      <w:pPr/>
      <w:r>
        <w:rPr>
          <w:b/>
        </w:rPr>
        <w:t>Higher-Timeframe Context (20):</w:t>
      </w:r>
    </w:p>
    <w:p>
      <w:pPr/>
      <w:r>
        <w:rPr>
          <w:rFonts w:ascii="Consolas" w:hAnsi="Consolas"/>
          <w:color w:val="2E863A"/>
          <w:sz w:val="19"/>
        </w:rPr>
        <w:t>w1_open</w:t>
      </w:r>
      <w:r>
        <w:t xml:space="preserve">, </w:t>
      </w:r>
      <w:r>
        <w:rPr>
          <w:rFonts w:ascii="Consolas" w:hAnsi="Consolas"/>
          <w:color w:val="2E863A"/>
          <w:sz w:val="19"/>
        </w:rPr>
        <w:t>w1_high</w:t>
      </w:r>
      <w:r>
        <w:t xml:space="preserve">, </w:t>
      </w:r>
      <w:r>
        <w:rPr>
          <w:rFonts w:ascii="Consolas" w:hAnsi="Consolas"/>
          <w:color w:val="2E863A"/>
          <w:sz w:val="19"/>
        </w:rPr>
        <w:t>w1_low</w:t>
      </w:r>
      <w:r>
        <w:t xml:space="preserve">, </w:t>
      </w:r>
      <w:r>
        <w:rPr>
          <w:rFonts w:ascii="Consolas" w:hAnsi="Consolas"/>
          <w:color w:val="2E863A"/>
          <w:sz w:val="19"/>
        </w:rPr>
        <w:t>w1_close</w:t>
      </w:r>
      <w:r>
        <w:t xml:space="preserve">, </w:t>
      </w:r>
      <w:r>
        <w:rPr>
          <w:rFonts w:ascii="Consolas" w:hAnsi="Consolas"/>
          <w:color w:val="2E863A"/>
          <w:sz w:val="19"/>
        </w:rPr>
        <w:t>w1_tick_volume</w:t>
      </w:r>
      <w:r>
        <w:t>,</w:t>
      </w:r>
    </w:p>
    <w:p>
      <w:pPr/>
      <w:r>
        <w:rPr>
          <w:rFonts w:ascii="Consolas" w:hAnsi="Consolas"/>
          <w:color w:val="2E863A"/>
          <w:sz w:val="19"/>
        </w:rPr>
        <w:t>d1_open</w:t>
      </w:r>
      <w:r>
        <w:t xml:space="preserve">, </w:t>
      </w:r>
      <w:r>
        <w:rPr>
          <w:rFonts w:ascii="Consolas" w:hAnsi="Consolas"/>
          <w:color w:val="2E863A"/>
          <w:sz w:val="19"/>
        </w:rPr>
        <w:t>d1_high</w:t>
      </w:r>
      <w:r>
        <w:t xml:space="preserve">, </w:t>
      </w:r>
      <w:r>
        <w:rPr>
          <w:rFonts w:ascii="Consolas" w:hAnsi="Consolas"/>
          <w:color w:val="2E863A"/>
          <w:sz w:val="19"/>
        </w:rPr>
        <w:t>d1_low</w:t>
      </w:r>
      <w:r>
        <w:t xml:space="preserve">, </w:t>
      </w:r>
      <w:r>
        <w:rPr>
          <w:rFonts w:ascii="Consolas" w:hAnsi="Consolas"/>
          <w:color w:val="2E863A"/>
          <w:sz w:val="19"/>
        </w:rPr>
        <w:t>d1_close</w:t>
      </w:r>
      <w:r>
        <w:t xml:space="preserve">, </w:t>
      </w:r>
      <w:r>
        <w:rPr>
          <w:rFonts w:ascii="Consolas" w:hAnsi="Consolas"/>
          <w:color w:val="2E863A"/>
          <w:sz w:val="19"/>
        </w:rPr>
        <w:t>d1_tick_volume</w:t>
      </w:r>
      <w:r>
        <w:t>,</w:t>
      </w:r>
    </w:p>
    <w:p>
      <w:pPr/>
      <w:r>
        <w:rPr>
          <w:rFonts w:ascii="Consolas" w:hAnsi="Consolas"/>
          <w:color w:val="2E863A"/>
          <w:sz w:val="19"/>
        </w:rPr>
        <w:t>h4_open</w:t>
      </w:r>
      <w:r>
        <w:t xml:space="preserve">, </w:t>
      </w:r>
      <w:r>
        <w:rPr>
          <w:rFonts w:ascii="Consolas" w:hAnsi="Consolas"/>
          <w:color w:val="2E863A"/>
          <w:sz w:val="19"/>
        </w:rPr>
        <w:t>h4_high</w:t>
      </w:r>
      <w:r>
        <w:t xml:space="preserve">, </w:t>
      </w:r>
      <w:r>
        <w:rPr>
          <w:rFonts w:ascii="Consolas" w:hAnsi="Consolas"/>
          <w:color w:val="2E863A"/>
          <w:sz w:val="19"/>
        </w:rPr>
        <w:t>h4_low</w:t>
      </w:r>
      <w:r>
        <w:t xml:space="preserve">, </w:t>
      </w:r>
      <w:r>
        <w:rPr>
          <w:rFonts w:ascii="Consolas" w:hAnsi="Consolas"/>
          <w:color w:val="2E863A"/>
          <w:sz w:val="19"/>
        </w:rPr>
        <w:t>h4_close</w:t>
      </w:r>
      <w:r>
        <w:t xml:space="preserve">, </w:t>
      </w:r>
      <w:r>
        <w:rPr>
          <w:rFonts w:ascii="Consolas" w:hAnsi="Consolas"/>
          <w:color w:val="2E863A"/>
          <w:sz w:val="19"/>
        </w:rPr>
        <w:t>h4_tick_volume</w:t>
      </w:r>
      <w:r>
        <w:t>,</w:t>
      </w:r>
    </w:p>
    <w:p>
      <w:pPr/>
      <w:r>
        <w:rPr>
          <w:rFonts w:ascii="Consolas" w:hAnsi="Consolas"/>
          <w:color w:val="2E863A"/>
          <w:sz w:val="19"/>
        </w:rPr>
        <w:t>h1_open</w:t>
      </w:r>
      <w:r>
        <w:t xml:space="preserve">, </w:t>
      </w:r>
      <w:r>
        <w:rPr>
          <w:rFonts w:ascii="Consolas" w:hAnsi="Consolas"/>
          <w:color w:val="2E863A"/>
          <w:sz w:val="19"/>
        </w:rPr>
        <w:t>h1_high</w:t>
      </w:r>
      <w:r>
        <w:t xml:space="preserve">, </w:t>
      </w:r>
      <w:r>
        <w:rPr>
          <w:rFonts w:ascii="Consolas" w:hAnsi="Consolas"/>
          <w:color w:val="2E863A"/>
          <w:sz w:val="19"/>
        </w:rPr>
        <w:t>h1_low</w:t>
      </w:r>
      <w:r>
        <w:t xml:space="preserve">, </w:t>
      </w:r>
      <w:r>
        <w:rPr>
          <w:rFonts w:ascii="Consolas" w:hAnsi="Consolas"/>
          <w:color w:val="2E863A"/>
          <w:sz w:val="19"/>
        </w:rPr>
        <w:t>h1_close</w:t>
      </w:r>
      <w:r>
        <w:t xml:space="preserve">, </w:t>
      </w:r>
      <w:r>
        <w:rPr>
          <w:rFonts w:ascii="Consolas" w:hAnsi="Consolas"/>
          <w:color w:val="2E863A"/>
          <w:sz w:val="19"/>
        </w:rPr>
        <w:t>h1_tick_volume</w:t>
      </w:r>
    </w:p>
    <w:p>
      <w:pPr/>
      <w:r>
        <w:rPr>
          <w:b/>
        </w:rPr>
        <w:t>Candle Patterns (21):</w:t>
      </w:r>
    </w:p>
    <w:p>
      <w:pPr/>
      <w:r>
        <w:rPr>
          <w:rFonts w:ascii="Consolas" w:hAnsi="Consolas"/>
          <w:color w:val="2E863A"/>
          <w:sz w:val="19"/>
        </w:rPr>
        <w:t>body_size</w:t>
      </w:r>
      <w:r>
        <w:t xml:space="preserve">, </w:t>
      </w:r>
      <w:r>
        <w:rPr>
          <w:rFonts w:ascii="Consolas" w:hAnsi="Consolas"/>
          <w:color w:val="2E863A"/>
          <w:sz w:val="19"/>
        </w:rPr>
        <w:t>body_ratio</w:t>
      </w:r>
      <w:r>
        <w:t xml:space="preserve">, </w:t>
      </w:r>
      <w:r>
        <w:rPr>
          <w:rFonts w:ascii="Consolas" w:hAnsi="Consolas"/>
          <w:color w:val="2E863A"/>
          <w:sz w:val="19"/>
        </w:rPr>
        <w:t>upper_wick</w:t>
      </w:r>
      <w:r>
        <w:t xml:space="preserve">, </w:t>
      </w:r>
      <w:r>
        <w:rPr>
          <w:rFonts w:ascii="Consolas" w:hAnsi="Consolas"/>
          <w:color w:val="2E863A"/>
          <w:sz w:val="19"/>
        </w:rPr>
        <w:t>lower_wick</w:t>
      </w:r>
      <w:r>
        <w:t xml:space="preserve">, </w:t>
      </w:r>
      <w:r>
        <w:rPr>
          <w:rFonts w:ascii="Consolas" w:hAnsi="Consolas"/>
          <w:color w:val="2E863A"/>
          <w:sz w:val="19"/>
        </w:rPr>
        <w:t>upper_wick_ratio</w:t>
      </w:r>
      <w:r>
        <w:t xml:space="preserve">, </w:t>
      </w:r>
      <w:r>
        <w:rPr>
          <w:rFonts w:ascii="Consolas" w:hAnsi="Consolas"/>
          <w:color w:val="2E863A"/>
          <w:sz w:val="19"/>
        </w:rPr>
        <w:t>lower_wick_ratio</w:t>
      </w:r>
      <w:r>
        <w:t xml:space="preserve">, </w:t>
      </w:r>
      <w:r>
        <w:rPr>
          <w:rFonts w:ascii="Consolas" w:hAnsi="Consolas"/>
          <w:color w:val="2E863A"/>
          <w:sz w:val="19"/>
        </w:rPr>
        <w:t>total_range</w:t>
      </w:r>
      <w:r>
        <w:t xml:space="preserve">, </w:t>
      </w:r>
      <w:r>
        <w:rPr>
          <w:rFonts w:ascii="Consolas" w:hAnsi="Consolas"/>
          <w:color w:val="2E863A"/>
          <w:sz w:val="19"/>
        </w:rPr>
        <w:t>true_range</w:t>
      </w:r>
      <w:r>
        <w:t xml:space="preserve">, </w:t>
      </w:r>
      <w:r>
        <w:rPr>
          <w:rFonts w:ascii="Consolas" w:hAnsi="Consolas"/>
          <w:color w:val="2E863A"/>
          <w:sz w:val="19"/>
        </w:rPr>
        <w:t>body_to_range_ratio</w:t>
      </w:r>
      <w:r>
        <w:t xml:space="preserve">, </w:t>
      </w:r>
      <w:r>
        <w:rPr>
          <w:rFonts w:ascii="Consolas" w:hAnsi="Consolas"/>
          <w:color w:val="2E863A"/>
          <w:sz w:val="19"/>
        </w:rPr>
        <w:t>is_bullish</w:t>
      </w:r>
      <w:r>
        <w:t xml:space="preserve">, </w:t>
      </w:r>
      <w:r>
        <w:rPr>
          <w:rFonts w:ascii="Consolas" w:hAnsi="Consolas"/>
          <w:color w:val="2E863A"/>
          <w:sz w:val="19"/>
        </w:rPr>
        <w:t>is_bearish</w:t>
      </w:r>
      <w:r>
        <w:t xml:space="preserve">, </w:t>
      </w:r>
      <w:r>
        <w:rPr>
          <w:rFonts w:ascii="Consolas" w:hAnsi="Consolas"/>
          <w:color w:val="2E863A"/>
          <w:sz w:val="19"/>
        </w:rPr>
        <w:t>doji_score</w:t>
      </w:r>
      <w:r>
        <w:t xml:space="preserve">, </w:t>
      </w:r>
      <w:r>
        <w:rPr>
          <w:rFonts w:ascii="Consolas" w:hAnsi="Consolas"/>
          <w:color w:val="2E863A"/>
          <w:sz w:val="19"/>
        </w:rPr>
        <w:t>marubozu_score</w:t>
      </w:r>
      <w:r>
        <w:t xml:space="preserve">, </w:t>
      </w:r>
      <w:r>
        <w:rPr>
          <w:rFonts w:ascii="Consolas" w:hAnsi="Consolas"/>
          <w:color w:val="2E863A"/>
          <w:sz w:val="19"/>
        </w:rPr>
        <w:t>inside_bar</w:t>
      </w:r>
      <w:r>
        <w:t xml:space="preserve">, </w:t>
      </w:r>
      <w:r>
        <w:rPr>
          <w:rFonts w:ascii="Consolas" w:hAnsi="Consolas"/>
          <w:color w:val="2E863A"/>
          <w:sz w:val="19"/>
        </w:rPr>
        <w:t>outside_bar</w:t>
      </w:r>
      <w:r>
        <w:t xml:space="preserve">, </w:t>
      </w:r>
      <w:r>
        <w:rPr>
          <w:rFonts w:ascii="Consolas" w:hAnsi="Consolas"/>
          <w:color w:val="2E863A"/>
          <w:sz w:val="19"/>
        </w:rPr>
        <w:t>consecutive_bulls</w:t>
      </w:r>
      <w:r>
        <w:t xml:space="preserve">, </w:t>
      </w:r>
      <w:r>
        <w:rPr>
          <w:rFonts w:ascii="Consolas" w:hAnsi="Consolas"/>
          <w:color w:val="2E863A"/>
          <w:sz w:val="19"/>
        </w:rPr>
        <w:t>consecutive_bears</w:t>
      </w:r>
      <w:r>
        <w:t xml:space="preserve">, </w:t>
      </w:r>
      <w:r>
        <w:rPr>
          <w:rFonts w:ascii="Consolas" w:hAnsi="Consolas"/>
          <w:color w:val="2E863A"/>
          <w:sz w:val="19"/>
        </w:rPr>
        <w:t>higher_close_count</w:t>
      </w:r>
      <w:r>
        <w:t xml:space="preserve">, </w:t>
      </w:r>
      <w:r>
        <w:rPr>
          <w:rFonts w:ascii="Consolas" w:hAnsi="Consolas"/>
          <w:color w:val="2E863A"/>
          <w:sz w:val="19"/>
        </w:rPr>
        <w:t>lower_close_count</w:t>
      </w:r>
      <w:r>
        <w:t xml:space="preserve">, </w:t>
      </w:r>
      <w:r>
        <w:rPr>
          <w:rFonts w:ascii="Consolas" w:hAnsi="Consolas"/>
          <w:color w:val="2E863A"/>
          <w:sz w:val="19"/>
        </w:rPr>
        <w:t>higher_high_count</w:t>
      </w:r>
      <w:r>
        <w:t xml:space="preserve">, </w:t>
      </w:r>
      <w:r>
        <w:rPr>
          <w:rFonts w:ascii="Consolas" w:hAnsi="Consolas"/>
          <w:color w:val="2E863A"/>
          <w:sz w:val="19"/>
        </w:rPr>
        <w:t>lower_low_count</w:t>
      </w:r>
    </w:p>
    <w:p>
      <w:pPr/>
      <w:r>
        <w:rPr>
          <w:b/>
        </w:rPr>
        <w:t>Fair Value Gaps (10):</w:t>
      </w:r>
    </w:p>
    <w:p>
      <w:pPr/>
      <w:r>
        <w:rPr>
          <w:rFonts w:ascii="Consolas" w:hAnsi="Consolas"/>
          <w:color w:val="2E863A"/>
          <w:sz w:val="19"/>
        </w:rPr>
        <w:t>fvg_bullish</w:t>
      </w:r>
      <w:r>
        <w:t xml:space="preserve">, </w:t>
      </w:r>
      <w:r>
        <w:rPr>
          <w:rFonts w:ascii="Consolas" w:hAnsi="Consolas"/>
          <w:color w:val="2E863A"/>
          <w:sz w:val="19"/>
        </w:rPr>
        <w:t>fvg_bearish</w:t>
      </w:r>
      <w:r>
        <w:t xml:space="preserve">, </w:t>
      </w:r>
      <w:r>
        <w:rPr>
          <w:rFonts w:ascii="Consolas" w:hAnsi="Consolas"/>
          <w:color w:val="2E863A"/>
          <w:sz w:val="19"/>
        </w:rPr>
        <w:t>fvg_bullish_top</w:t>
      </w:r>
      <w:r>
        <w:t xml:space="preserve">, </w:t>
      </w:r>
      <w:r>
        <w:rPr>
          <w:rFonts w:ascii="Consolas" w:hAnsi="Consolas"/>
          <w:color w:val="2E863A"/>
          <w:sz w:val="19"/>
        </w:rPr>
        <w:t>fvg_bullish_bottom</w:t>
      </w:r>
      <w:r>
        <w:t xml:space="preserve">, </w:t>
      </w:r>
      <w:r>
        <w:rPr>
          <w:rFonts w:ascii="Consolas" w:hAnsi="Consolas"/>
          <w:color w:val="2E863A"/>
          <w:sz w:val="19"/>
        </w:rPr>
        <w:t>fvg_bearish_top</w:t>
      </w:r>
      <w:r>
        <w:t xml:space="preserve">, </w:t>
      </w:r>
      <w:r>
        <w:rPr>
          <w:rFonts w:ascii="Consolas" w:hAnsi="Consolas"/>
          <w:color w:val="2E863A"/>
          <w:sz w:val="19"/>
        </w:rPr>
        <w:t>fvg_bearish_bottom</w:t>
      </w:r>
      <w:r>
        <w:t xml:space="preserve">, </w:t>
      </w:r>
      <w:r>
        <w:rPr>
          <w:rFonts w:ascii="Consolas" w:hAnsi="Consolas"/>
          <w:color w:val="2E863A"/>
          <w:sz w:val="19"/>
        </w:rPr>
        <w:t>fvg_bullish_active</w:t>
      </w:r>
      <w:r>
        <w:t xml:space="preserve">, </w:t>
      </w:r>
      <w:r>
        <w:rPr>
          <w:rFonts w:ascii="Consolas" w:hAnsi="Consolas"/>
          <w:color w:val="2E863A"/>
          <w:sz w:val="19"/>
        </w:rPr>
        <w:t>fvg_bearish_active</w:t>
      </w:r>
      <w:r>
        <w:t xml:space="preserve">, </w:t>
      </w:r>
      <w:r>
        <w:rPr>
          <w:rFonts w:ascii="Consolas" w:hAnsi="Consolas"/>
          <w:color w:val="2E863A"/>
          <w:sz w:val="19"/>
        </w:rPr>
        <w:t>fvg_bullish_age</w:t>
      </w:r>
      <w:r>
        <w:t xml:space="preserve">, </w:t>
      </w:r>
      <w:r>
        <w:rPr>
          <w:rFonts w:ascii="Consolas" w:hAnsi="Consolas"/>
          <w:color w:val="2E863A"/>
          <w:sz w:val="19"/>
        </w:rPr>
        <w:t>fvg_bearish_age</w:t>
      </w:r>
    </w:p>
    <w:p>
      <w:pPr/>
      <w:r>
        <w:rPr>
          <w:b/>
        </w:rPr>
        <w:t>Market Structure — Pivots &amp; Swings (22):</w:t>
      </w:r>
    </w:p>
    <w:p>
      <w:pPr/>
      <w:r>
        <w:rPr>
          <w:rFonts w:ascii="Consolas" w:hAnsi="Consolas"/>
          <w:color w:val="2E863A"/>
          <w:sz w:val="19"/>
        </w:rPr>
        <w:t>pivot_high</w:t>
      </w:r>
      <w:r>
        <w:t xml:space="preserve">, </w:t>
      </w:r>
      <w:r>
        <w:rPr>
          <w:rFonts w:ascii="Consolas" w:hAnsi="Consolas"/>
          <w:color w:val="2E863A"/>
          <w:sz w:val="19"/>
        </w:rPr>
        <w:t>pivot_low</w:t>
      </w:r>
      <w:r>
        <w:t xml:space="preserve">, </w:t>
      </w:r>
      <w:r>
        <w:rPr>
          <w:rFonts w:ascii="Consolas" w:hAnsi="Consolas"/>
          <w:color w:val="2E863A"/>
          <w:sz w:val="19"/>
        </w:rPr>
        <w:t>major_pivot_high</w:t>
      </w:r>
      <w:r>
        <w:t xml:space="preserve">, </w:t>
      </w:r>
      <w:r>
        <w:rPr>
          <w:rFonts w:ascii="Consolas" w:hAnsi="Consolas"/>
          <w:color w:val="2E863A"/>
          <w:sz w:val="19"/>
        </w:rPr>
        <w:t>major_pivot_low</w:t>
      </w:r>
      <w:r>
        <w:t xml:space="preserve">, </w:t>
      </w:r>
      <w:r>
        <w:rPr>
          <w:rFonts w:ascii="Consolas" w:hAnsi="Consolas"/>
          <w:color w:val="2E863A"/>
          <w:sz w:val="19"/>
        </w:rPr>
        <w:t>minor_pivot_high</w:t>
      </w:r>
      <w:r>
        <w:t xml:space="preserve">, </w:t>
      </w:r>
      <w:r>
        <w:rPr>
          <w:rFonts w:ascii="Consolas" w:hAnsi="Consolas"/>
          <w:color w:val="2E863A"/>
          <w:sz w:val="19"/>
        </w:rPr>
        <w:t>minor_pivot_low</w:t>
      </w:r>
      <w:r>
        <w:t xml:space="preserve">, </w:t>
      </w:r>
      <w:r>
        <w:rPr>
          <w:rFonts w:ascii="Consolas" w:hAnsi="Consolas"/>
          <w:color w:val="2E863A"/>
          <w:sz w:val="19"/>
        </w:rPr>
        <w:t>higher_high</w:t>
      </w:r>
      <w:r>
        <w:t xml:space="preserve">, </w:t>
      </w:r>
      <w:r>
        <w:rPr>
          <w:rFonts w:ascii="Consolas" w:hAnsi="Consolas"/>
          <w:color w:val="2E863A"/>
          <w:sz w:val="19"/>
        </w:rPr>
        <w:t>lower_high</w:t>
      </w:r>
      <w:r>
        <w:t xml:space="preserve">, </w:t>
      </w:r>
      <w:r>
        <w:rPr>
          <w:rFonts w:ascii="Consolas" w:hAnsi="Consolas"/>
          <w:color w:val="2E863A"/>
          <w:sz w:val="19"/>
        </w:rPr>
        <w:t>higher_low</w:t>
      </w:r>
      <w:r>
        <w:t xml:space="preserve">, </w:t>
      </w:r>
      <w:r>
        <w:rPr>
          <w:rFonts w:ascii="Consolas" w:hAnsi="Consolas"/>
          <w:color w:val="2E863A"/>
          <w:sz w:val="19"/>
        </w:rPr>
        <w:t>lower_low</w:t>
      </w:r>
      <w:r>
        <w:t xml:space="preserve">, </w:t>
      </w:r>
      <w:r>
        <w:rPr>
          <w:rFonts w:ascii="Consolas" w:hAnsi="Consolas"/>
          <w:color w:val="2E863A"/>
          <w:sz w:val="19"/>
        </w:rPr>
        <w:t>swing_high_id</w:t>
      </w:r>
      <w:r>
        <w:t xml:space="preserve">, </w:t>
      </w:r>
      <w:r>
        <w:rPr>
          <w:rFonts w:ascii="Consolas" w:hAnsi="Consolas"/>
          <w:color w:val="2E863A"/>
          <w:sz w:val="19"/>
        </w:rPr>
        <w:t>swing_low_id</w:t>
      </w:r>
      <w:r>
        <w:t xml:space="preserve">, </w:t>
      </w:r>
      <w:r>
        <w:rPr>
          <w:rFonts w:ascii="Consolas" w:hAnsi="Consolas"/>
          <w:color w:val="2E863A"/>
          <w:sz w:val="19"/>
        </w:rPr>
        <w:t>swing_high_price</w:t>
      </w:r>
      <w:r>
        <w:t xml:space="preserve">, </w:t>
      </w:r>
      <w:r>
        <w:rPr>
          <w:rFonts w:ascii="Consolas" w:hAnsi="Consolas"/>
          <w:color w:val="2E863A"/>
          <w:sz w:val="19"/>
        </w:rPr>
        <w:t>swing_low_price</w:t>
      </w:r>
      <w:r>
        <w:t xml:space="preserve">, </w:t>
      </w:r>
      <w:r>
        <w:rPr>
          <w:rFonts w:ascii="Consolas" w:hAnsi="Consolas"/>
          <w:color w:val="2E863A"/>
          <w:sz w:val="19"/>
        </w:rPr>
        <w:t>swing_high_duration</w:t>
      </w:r>
      <w:r>
        <w:t xml:space="preserve">, </w:t>
      </w:r>
      <w:r>
        <w:rPr>
          <w:rFonts w:ascii="Consolas" w:hAnsi="Consolas"/>
          <w:color w:val="2E863A"/>
          <w:sz w:val="19"/>
        </w:rPr>
        <w:t>swing_low_duration</w:t>
      </w:r>
      <w:r>
        <w:t xml:space="preserve">, </w:t>
      </w:r>
      <w:r>
        <w:rPr>
          <w:rFonts w:ascii="Consolas" w:hAnsi="Consolas"/>
          <w:color w:val="2E863A"/>
          <w:sz w:val="19"/>
        </w:rPr>
        <w:t>swing_high_range</w:t>
      </w:r>
      <w:r>
        <w:t xml:space="preserve">, </w:t>
      </w:r>
      <w:r>
        <w:rPr>
          <w:rFonts w:ascii="Consolas" w:hAnsi="Consolas"/>
          <w:color w:val="2E863A"/>
          <w:sz w:val="19"/>
        </w:rPr>
        <w:t>swing_low_range</w:t>
      </w:r>
      <w:r>
        <w:t xml:space="preserve">, </w:t>
      </w:r>
      <w:r>
        <w:rPr>
          <w:rFonts w:ascii="Consolas" w:hAnsi="Consolas"/>
          <w:color w:val="2E863A"/>
          <w:sz w:val="19"/>
        </w:rPr>
        <w:t>swing_high_strength</w:t>
      </w:r>
      <w:r>
        <w:t xml:space="preserve">, </w:t>
      </w:r>
      <w:r>
        <w:rPr>
          <w:rFonts w:ascii="Consolas" w:hAnsi="Consolas"/>
          <w:color w:val="2E863A"/>
          <w:sz w:val="19"/>
        </w:rPr>
        <w:t>swing_low_strength</w:t>
      </w:r>
      <w:r>
        <w:t xml:space="preserve">, </w:t>
      </w:r>
      <w:r>
        <w:rPr>
          <w:rFonts w:ascii="Consolas" w:hAnsi="Consolas"/>
          <w:color w:val="2E863A"/>
          <w:sz w:val="19"/>
        </w:rPr>
        <w:t>trend</w:t>
      </w:r>
      <w:r>
        <w:t xml:space="preserve">, </w:t>
      </w:r>
      <w:r>
        <w:rPr>
          <w:rFonts w:ascii="Consolas" w:hAnsi="Consolas"/>
          <w:color w:val="2E863A"/>
          <w:sz w:val="19"/>
        </w:rPr>
        <w:t>trend_duration</w:t>
      </w:r>
    </w:p>
    <w:p>
      <w:pPr/>
      <w:r>
        <w:rPr>
          <w:b/>
        </w:rPr>
        <w:t>Market Structure — Additional (7):</w:t>
      </w:r>
    </w:p>
    <w:p>
      <w:pPr/>
      <w:r>
        <w:rPr>
          <w:rFonts w:ascii="Consolas" w:hAnsi="Consolas"/>
          <w:color w:val="2E863A"/>
          <w:sz w:val="19"/>
        </w:rPr>
        <w:t>trend_strength</w:t>
      </w:r>
      <w:r>
        <w:t xml:space="preserve">, </w:t>
      </w:r>
      <w:r>
        <w:rPr>
          <w:rFonts w:ascii="Consolas" w:hAnsi="Consolas"/>
          <w:color w:val="2E863A"/>
          <w:sz w:val="19"/>
        </w:rPr>
        <w:t>last_major_high</w:t>
      </w:r>
      <w:r>
        <w:t xml:space="preserve">, </w:t>
      </w:r>
      <w:r>
        <w:rPr>
          <w:rFonts w:ascii="Consolas" w:hAnsi="Consolas"/>
          <w:color w:val="2E863A"/>
          <w:sz w:val="19"/>
        </w:rPr>
        <w:t>last_major_low</w:t>
      </w:r>
      <w:r>
        <w:t xml:space="preserve">, </w:t>
      </w:r>
      <w:r>
        <w:rPr>
          <w:rFonts w:ascii="Consolas" w:hAnsi="Consolas"/>
          <w:color w:val="2E863A"/>
          <w:sz w:val="19"/>
        </w:rPr>
        <w:t>last_internal_high</w:t>
      </w:r>
      <w:r>
        <w:t xml:space="preserve">, </w:t>
      </w:r>
      <w:r>
        <w:rPr>
          <w:rFonts w:ascii="Consolas" w:hAnsi="Consolas"/>
          <w:color w:val="2E863A"/>
          <w:sz w:val="19"/>
        </w:rPr>
        <w:t>last_internal_low</w:t>
      </w:r>
      <w:r>
        <w:t xml:space="preserve">, </w:t>
      </w:r>
      <w:r>
        <w:rPr>
          <w:rFonts w:ascii="Consolas" w:hAnsi="Consolas"/>
          <w:color w:val="2E863A"/>
          <w:sz w:val="19"/>
        </w:rPr>
        <w:t>distance_to_last_major_high</w:t>
      </w:r>
      <w:r>
        <w:t xml:space="preserve">, </w:t>
      </w:r>
      <w:r>
        <w:rPr>
          <w:rFonts w:ascii="Consolas" w:hAnsi="Consolas"/>
          <w:color w:val="2E863A"/>
          <w:sz w:val="19"/>
        </w:rPr>
        <w:t>distance_to_last_major_low</w:t>
      </w:r>
    </w:p>
    <w:p>
      <w:pPr/>
      <w:r>
        <w:rPr>
          <w:b/>
        </w:rPr>
        <w:t>Market Structure — Internal (2):</w:t>
      </w:r>
    </w:p>
    <w:p>
      <w:pPr/>
      <w:r>
        <w:rPr>
          <w:rFonts w:ascii="Consolas" w:hAnsi="Consolas"/>
          <w:color w:val="2E863A"/>
          <w:sz w:val="19"/>
        </w:rPr>
        <w:t>distance_to_last_internal_high</w:t>
      </w:r>
      <w:r>
        <w:t xml:space="preserve">, </w:t>
      </w:r>
      <w:r>
        <w:rPr>
          <w:rFonts w:ascii="Consolas" w:hAnsi="Consolas"/>
          <w:color w:val="2E863A"/>
          <w:sz w:val="19"/>
        </w:rPr>
        <w:t>distance_to_last_internal_low</w:t>
      </w:r>
    </w:p>
    <w:p>
      <w:pPr/>
      <w:r>
        <w:rPr>
          <w:b/>
        </w:rPr>
        <w:t>Momentum Oscillators (11):</w:t>
      </w:r>
    </w:p>
    <w:p>
      <w:pPr/>
      <w:r>
        <w:rPr>
          <w:rFonts w:ascii="Consolas" w:hAnsi="Consolas"/>
          <w:color w:val="2E863A"/>
          <w:sz w:val="19"/>
        </w:rPr>
        <w:t>rsi</w:t>
      </w:r>
      <w:r>
        <w:t xml:space="preserve">, </w:t>
      </w:r>
      <w:r>
        <w:rPr>
          <w:rFonts w:ascii="Consolas" w:hAnsi="Consolas"/>
          <w:color w:val="2E863A"/>
          <w:sz w:val="19"/>
        </w:rPr>
        <w:t>stochastic_k</w:t>
      </w:r>
      <w:r>
        <w:t xml:space="preserve">, </w:t>
      </w:r>
      <w:r>
        <w:rPr>
          <w:rFonts w:ascii="Consolas" w:hAnsi="Consolas"/>
          <w:color w:val="2E863A"/>
          <w:sz w:val="19"/>
        </w:rPr>
        <w:t>stochastic_d</w:t>
      </w:r>
      <w:r>
        <w:t xml:space="preserve">, </w:t>
      </w:r>
      <w:r>
        <w:rPr>
          <w:rFonts w:ascii="Consolas" w:hAnsi="Consolas"/>
          <w:color w:val="2E863A"/>
          <w:sz w:val="19"/>
        </w:rPr>
        <w:t>macd</w:t>
      </w:r>
      <w:r>
        <w:t xml:space="preserve">, </w:t>
      </w:r>
      <w:r>
        <w:rPr>
          <w:rFonts w:ascii="Consolas" w:hAnsi="Consolas"/>
          <w:color w:val="2E863A"/>
          <w:sz w:val="19"/>
        </w:rPr>
        <w:t>macd_signal</w:t>
      </w:r>
      <w:r>
        <w:t xml:space="preserve">, </w:t>
      </w:r>
      <w:r>
        <w:rPr>
          <w:rFonts w:ascii="Consolas" w:hAnsi="Consolas"/>
          <w:color w:val="2E863A"/>
          <w:sz w:val="19"/>
        </w:rPr>
        <w:t>macd_histogram</w:t>
      </w:r>
      <w:r>
        <w:t xml:space="preserve">, </w:t>
      </w:r>
      <w:r>
        <w:rPr>
          <w:rFonts w:ascii="Consolas" w:hAnsi="Consolas"/>
          <w:color w:val="2E863A"/>
          <w:sz w:val="19"/>
        </w:rPr>
        <w:t>cci</w:t>
      </w:r>
      <w:r>
        <w:t xml:space="preserve">, </w:t>
      </w:r>
      <w:r>
        <w:rPr>
          <w:rFonts w:ascii="Consolas" w:hAnsi="Consolas"/>
          <w:color w:val="2E863A"/>
          <w:sz w:val="19"/>
        </w:rPr>
        <w:t>williams_r</w:t>
      </w:r>
      <w:r>
        <w:t xml:space="preserve">, </w:t>
      </w:r>
      <w:r>
        <w:rPr>
          <w:rFonts w:ascii="Consolas" w:hAnsi="Consolas"/>
          <w:color w:val="2E863A"/>
          <w:sz w:val="19"/>
        </w:rPr>
        <w:t>roc</w:t>
      </w:r>
      <w:r>
        <w:t xml:space="preserve">, </w:t>
      </w:r>
      <w:r>
        <w:rPr>
          <w:rFonts w:ascii="Consolas" w:hAnsi="Consolas"/>
          <w:color w:val="2E863A"/>
          <w:sz w:val="19"/>
        </w:rPr>
        <w:t>price_momentum</w:t>
      </w:r>
      <w:r>
        <w:t xml:space="preserve">, </w:t>
      </w:r>
      <w:r>
        <w:rPr>
          <w:rFonts w:ascii="Consolas" w:hAnsi="Consolas"/>
          <w:color w:val="2E863A"/>
          <w:sz w:val="19"/>
        </w:rPr>
        <w:t>tsi</w:t>
      </w:r>
    </w:p>
    <w:p>
      <w:pPr/>
      <w:r>
        <w:rPr>
          <w:b/>
        </w:rPr>
        <w:t>Moving Averages &amp; Slope (12):</w:t>
      </w:r>
    </w:p>
    <w:p>
      <w:pPr/>
      <w:r>
        <w:rPr>
          <w:rFonts w:ascii="Consolas" w:hAnsi="Consolas"/>
          <w:color w:val="2E863A"/>
          <w:sz w:val="19"/>
        </w:rPr>
        <w:t>ema9</w:t>
      </w:r>
      <w:r>
        <w:t xml:space="preserve">, </w:t>
      </w:r>
      <w:r>
        <w:rPr>
          <w:rFonts w:ascii="Consolas" w:hAnsi="Consolas"/>
          <w:color w:val="2E863A"/>
          <w:sz w:val="19"/>
        </w:rPr>
        <w:t>ema20</w:t>
      </w:r>
      <w:r>
        <w:t xml:space="preserve">, </w:t>
      </w:r>
      <w:r>
        <w:rPr>
          <w:rFonts w:ascii="Consolas" w:hAnsi="Consolas"/>
          <w:color w:val="2E863A"/>
          <w:sz w:val="19"/>
        </w:rPr>
        <w:t>ema50</w:t>
      </w:r>
      <w:r>
        <w:t xml:space="preserve">, </w:t>
      </w:r>
      <w:r>
        <w:rPr>
          <w:rFonts w:ascii="Consolas" w:hAnsi="Consolas"/>
          <w:color w:val="2E863A"/>
          <w:sz w:val="19"/>
        </w:rPr>
        <w:t>ema100</w:t>
      </w:r>
      <w:r>
        <w:t xml:space="preserve">, </w:t>
      </w:r>
      <w:r>
        <w:rPr>
          <w:rFonts w:ascii="Consolas" w:hAnsi="Consolas"/>
          <w:color w:val="2E863A"/>
          <w:sz w:val="19"/>
        </w:rPr>
        <w:t>ema200</w:t>
      </w:r>
      <w:r>
        <w:t xml:space="preserve">, </w:t>
      </w:r>
      <w:r>
        <w:rPr>
          <w:rFonts w:ascii="Consolas" w:hAnsi="Consolas"/>
          <w:color w:val="2E863A"/>
          <w:sz w:val="19"/>
        </w:rPr>
        <w:t>sma20</w:t>
      </w:r>
      <w:r>
        <w:t xml:space="preserve">, </w:t>
      </w:r>
      <w:r>
        <w:rPr>
          <w:rFonts w:ascii="Consolas" w:hAnsi="Consolas"/>
          <w:color w:val="2E863A"/>
          <w:sz w:val="19"/>
        </w:rPr>
        <w:t>sma50</w:t>
      </w:r>
      <w:r>
        <w:t xml:space="preserve">, </w:t>
      </w:r>
      <w:r>
        <w:rPr>
          <w:rFonts w:ascii="Consolas" w:hAnsi="Consolas"/>
          <w:color w:val="2E863A"/>
          <w:sz w:val="19"/>
        </w:rPr>
        <w:t>sma100</w:t>
      </w:r>
      <w:r>
        <w:t xml:space="preserve">, </w:t>
      </w:r>
      <w:r>
        <w:rPr>
          <w:rFonts w:ascii="Consolas" w:hAnsi="Consolas"/>
          <w:color w:val="2E863A"/>
          <w:sz w:val="19"/>
        </w:rPr>
        <w:t>wma20</w:t>
      </w:r>
      <w:r>
        <w:t xml:space="preserve">, </w:t>
      </w:r>
      <w:r>
        <w:rPr>
          <w:rFonts w:ascii="Consolas" w:hAnsi="Consolas"/>
          <w:color w:val="2E863A"/>
          <w:sz w:val="19"/>
        </w:rPr>
        <w:t>hma20</w:t>
      </w:r>
      <w:r>
        <w:t xml:space="preserve">, </w:t>
      </w:r>
      <w:r>
        <w:rPr>
          <w:rFonts w:ascii="Consolas" w:hAnsi="Consolas"/>
          <w:color w:val="2E863A"/>
          <w:sz w:val="19"/>
        </w:rPr>
        <w:t>ema_slope</w:t>
      </w:r>
      <w:r>
        <w:t xml:space="preserve">, </w:t>
      </w:r>
      <w:r>
        <w:rPr>
          <w:rFonts w:ascii="Consolas" w:hAnsi="Consolas"/>
          <w:color w:val="2E863A"/>
          <w:sz w:val="19"/>
        </w:rPr>
        <w:t>ema_cross</w:t>
      </w:r>
    </w:p>
    <w:p>
      <w:pPr/>
      <w:r>
        <w:rPr>
          <w:b/>
        </w:rPr>
        <w:t>Returns (4):</w:t>
      </w:r>
    </w:p>
    <w:p>
      <w:pPr/>
      <w:r>
        <w:rPr>
          <w:rFonts w:ascii="Consolas" w:hAnsi="Consolas"/>
          <w:color w:val="2E863A"/>
          <w:sz w:val="19"/>
        </w:rPr>
        <w:t>log_return</w:t>
      </w:r>
      <w:r>
        <w:t xml:space="preserve">, </w:t>
      </w:r>
      <w:r>
        <w:rPr>
          <w:rFonts w:ascii="Consolas" w:hAnsi="Consolas"/>
          <w:color w:val="2E863A"/>
          <w:sz w:val="19"/>
        </w:rPr>
        <w:t>simple_return</w:t>
      </w:r>
      <w:r>
        <w:t xml:space="preserve">, </w:t>
      </w:r>
      <w:r>
        <w:rPr>
          <w:rFonts w:ascii="Consolas" w:hAnsi="Consolas"/>
          <w:color w:val="2E863A"/>
          <w:sz w:val="19"/>
        </w:rPr>
        <w:t>rolling_return_5</w:t>
      </w:r>
      <w:r>
        <w:t xml:space="preserve">, </w:t>
      </w:r>
      <w:r>
        <w:rPr>
          <w:rFonts w:ascii="Consolas" w:hAnsi="Consolas"/>
          <w:color w:val="2E863A"/>
          <w:sz w:val="19"/>
        </w:rPr>
        <w:t>rolling_return_20</w:t>
      </w:r>
    </w:p>
    <w:p>
      <w:pPr/>
      <w:r>
        <w:rPr>
          <w:b/>
        </w:rPr>
        <w:t>Rolling Statistics (9):</w:t>
      </w:r>
    </w:p>
    <w:p>
      <w:pPr/>
      <w:r>
        <w:rPr>
          <w:rFonts w:ascii="Consolas" w:hAnsi="Consolas"/>
          <w:color w:val="2E863A"/>
          <w:sz w:val="19"/>
        </w:rPr>
        <w:t>rolling_mean</w:t>
      </w:r>
      <w:r>
        <w:t xml:space="preserve">, </w:t>
      </w:r>
      <w:r>
        <w:rPr>
          <w:rFonts w:ascii="Consolas" w:hAnsi="Consolas"/>
          <w:color w:val="2E863A"/>
          <w:sz w:val="19"/>
        </w:rPr>
        <w:t>rolling_median</w:t>
      </w:r>
      <w:r>
        <w:t xml:space="preserve">, </w:t>
      </w:r>
      <w:r>
        <w:rPr>
          <w:rFonts w:ascii="Consolas" w:hAnsi="Consolas"/>
          <w:color w:val="2E863A"/>
          <w:sz w:val="19"/>
        </w:rPr>
        <w:t>rolling_var</w:t>
      </w:r>
      <w:r>
        <w:t xml:space="preserve">, </w:t>
      </w:r>
      <w:r>
        <w:rPr>
          <w:rFonts w:ascii="Consolas" w:hAnsi="Consolas"/>
          <w:color w:val="2E863A"/>
          <w:sz w:val="19"/>
        </w:rPr>
        <w:t>rolling_std</w:t>
      </w:r>
      <w:r>
        <w:t xml:space="preserve">, </w:t>
      </w:r>
      <w:r>
        <w:rPr>
          <w:rFonts w:ascii="Consolas" w:hAnsi="Consolas"/>
          <w:color w:val="2E863A"/>
          <w:sz w:val="19"/>
        </w:rPr>
        <w:t>rolling_min</w:t>
      </w:r>
      <w:r>
        <w:t xml:space="preserve">, </w:t>
      </w:r>
      <w:r>
        <w:rPr>
          <w:rFonts w:ascii="Consolas" w:hAnsi="Consolas"/>
          <w:color w:val="2E863A"/>
          <w:sz w:val="19"/>
        </w:rPr>
        <w:t>rolling_max</w:t>
      </w:r>
      <w:r>
        <w:t xml:space="preserve">, </w:t>
      </w:r>
      <w:r>
        <w:rPr>
          <w:rFonts w:ascii="Consolas" w:hAnsi="Consolas"/>
          <w:color w:val="2E863A"/>
          <w:sz w:val="19"/>
        </w:rPr>
        <w:t>rolling_q25</w:t>
      </w:r>
      <w:r>
        <w:t xml:space="preserve">, </w:t>
      </w:r>
      <w:r>
        <w:rPr>
          <w:rFonts w:ascii="Consolas" w:hAnsi="Consolas"/>
          <w:color w:val="2E863A"/>
          <w:sz w:val="19"/>
        </w:rPr>
        <w:t>rolling_q75</w:t>
      </w:r>
      <w:r>
        <w:t xml:space="preserve">, </w:t>
      </w:r>
      <w:r>
        <w:rPr>
          <w:rFonts w:ascii="Consolas" w:hAnsi="Consolas"/>
          <w:color w:val="2E863A"/>
          <w:sz w:val="19"/>
        </w:rPr>
        <w:t>rolling_mad</w:t>
      </w:r>
    </w:p>
    <w:p>
      <w:pPr/>
      <w:r>
        <w:rPr>
          <w:b/>
        </w:rPr>
        <w:t>Trend &amp; Direction (7):</w:t>
      </w:r>
    </w:p>
    <w:p>
      <w:pPr/>
      <w:r>
        <w:rPr>
          <w:rFonts w:ascii="Consolas" w:hAnsi="Consolas"/>
          <w:color w:val="2E863A"/>
          <w:sz w:val="19"/>
        </w:rPr>
        <w:t>adx</w:t>
      </w:r>
      <w:r>
        <w:t xml:space="preserve">, </w:t>
      </w:r>
      <w:r>
        <w:rPr>
          <w:rFonts w:ascii="Consolas" w:hAnsi="Consolas"/>
          <w:color w:val="2E863A"/>
          <w:sz w:val="19"/>
        </w:rPr>
        <w:t>plus_di</w:t>
      </w:r>
      <w:r>
        <w:t xml:space="preserve">, </w:t>
      </w:r>
      <w:r>
        <w:rPr>
          <w:rFonts w:ascii="Consolas" w:hAnsi="Consolas"/>
          <w:color w:val="2E863A"/>
          <w:sz w:val="19"/>
        </w:rPr>
        <w:t>minus_di</w:t>
      </w:r>
      <w:r>
        <w:t xml:space="preserve">, </w:t>
      </w:r>
      <w:r>
        <w:rPr>
          <w:rFonts w:ascii="Consolas" w:hAnsi="Consolas"/>
          <w:color w:val="2E863A"/>
          <w:sz w:val="19"/>
        </w:rPr>
        <w:t>aroon_up</w:t>
      </w:r>
      <w:r>
        <w:t xml:space="preserve">, </w:t>
      </w:r>
      <w:r>
        <w:rPr>
          <w:rFonts w:ascii="Consolas" w:hAnsi="Consolas"/>
          <w:color w:val="2E863A"/>
          <w:sz w:val="19"/>
        </w:rPr>
        <w:t>aroon_down</w:t>
      </w:r>
      <w:r>
        <w:t xml:space="preserve">, </w:t>
      </w:r>
      <w:r>
        <w:rPr>
          <w:rFonts w:ascii="Consolas" w:hAnsi="Consolas"/>
          <w:color w:val="2E863A"/>
          <w:sz w:val="19"/>
        </w:rPr>
        <w:t>aroon_oscillator</w:t>
      </w:r>
      <w:r>
        <w:t xml:space="preserve">, </w:t>
      </w:r>
      <w:r>
        <w:rPr>
          <w:rFonts w:ascii="Consolas" w:hAnsi="Consolas"/>
          <w:color w:val="2E863A"/>
          <w:sz w:val="19"/>
        </w:rPr>
        <w:t>parabolic_sar</w:t>
      </w:r>
    </w:p>
    <w:p>
      <w:pPr/>
      <w:r>
        <w:rPr>
          <w:b/>
        </w:rPr>
        <w:t>Volatility &amp; Bands (9):</w:t>
      </w:r>
    </w:p>
    <w:p>
      <w:pPr/>
      <w:r>
        <w:rPr>
          <w:rFonts w:ascii="Consolas" w:hAnsi="Consolas"/>
          <w:color w:val="2E863A"/>
          <w:sz w:val="19"/>
        </w:rPr>
        <w:t>atr</w:t>
      </w:r>
      <w:r>
        <w:t xml:space="preserve">, </w:t>
      </w:r>
      <w:r>
        <w:rPr>
          <w:rFonts w:ascii="Consolas" w:hAnsi="Consolas"/>
          <w:color w:val="2E863A"/>
          <w:sz w:val="19"/>
        </w:rPr>
        <w:t>normalized_atr</w:t>
      </w:r>
      <w:r>
        <w:t xml:space="preserve">, </w:t>
      </w:r>
      <w:r>
        <w:rPr>
          <w:rFonts w:ascii="Consolas" w:hAnsi="Consolas"/>
          <w:color w:val="2E863A"/>
          <w:sz w:val="19"/>
        </w:rPr>
        <w:t>bb_upper</w:t>
      </w:r>
      <w:r>
        <w:t xml:space="preserve">, </w:t>
      </w:r>
      <w:r>
        <w:rPr>
          <w:rFonts w:ascii="Consolas" w:hAnsi="Consolas"/>
          <w:color w:val="2E863A"/>
          <w:sz w:val="19"/>
        </w:rPr>
        <w:t>bb_lower</w:t>
      </w:r>
      <w:r>
        <w:t xml:space="preserve">, </w:t>
      </w:r>
      <w:r>
        <w:rPr>
          <w:rFonts w:ascii="Consolas" w:hAnsi="Consolas"/>
          <w:color w:val="2E863A"/>
          <w:sz w:val="19"/>
        </w:rPr>
        <w:t>bb_width</w:t>
      </w:r>
      <w:r>
        <w:t xml:space="preserve">, </w:t>
      </w:r>
      <w:r>
        <w:rPr>
          <w:rFonts w:ascii="Consolas" w:hAnsi="Consolas"/>
          <w:color w:val="2E863A"/>
          <w:sz w:val="19"/>
        </w:rPr>
        <w:t>bb_percent_b</w:t>
      </w:r>
      <w:r>
        <w:t xml:space="preserve">, </w:t>
      </w:r>
      <w:r>
        <w:rPr>
          <w:rFonts w:ascii="Consolas" w:hAnsi="Consolas"/>
          <w:color w:val="2E863A"/>
          <w:sz w:val="19"/>
        </w:rPr>
        <w:t>kc_upper</w:t>
      </w:r>
      <w:r>
        <w:t xml:space="preserve">, </w:t>
      </w:r>
      <w:r>
        <w:rPr>
          <w:rFonts w:ascii="Consolas" w:hAnsi="Consolas"/>
          <w:color w:val="2E863A"/>
          <w:sz w:val="19"/>
        </w:rPr>
        <w:t>kc_lower</w:t>
      </w:r>
      <w:r>
        <w:t xml:space="preserve">, </w:t>
      </w:r>
      <w:r>
        <w:rPr>
          <w:rFonts w:ascii="Consolas" w:hAnsi="Consolas"/>
          <w:color w:val="2E863A"/>
          <w:sz w:val="19"/>
        </w:rPr>
        <w:t>dc_upper</w:t>
      </w:r>
    </w:p>
    <w:p>
      <w:pPr/>
      <w:r>
        <w:rPr>
          <w:b/>
        </w:rPr>
        <w:t>Additional Volatility (4):</w:t>
      </w:r>
    </w:p>
    <w:p>
      <w:pPr/>
      <w:r>
        <w:rPr>
          <w:rFonts w:ascii="Consolas" w:hAnsi="Consolas"/>
          <w:color w:val="2E863A"/>
          <w:sz w:val="19"/>
        </w:rPr>
        <w:t>dc_lower</w:t>
      </w:r>
      <w:r>
        <w:t xml:space="preserve">, </w:t>
      </w:r>
      <w:r>
        <w:rPr>
          <w:rFonts w:ascii="Consolas" w:hAnsi="Consolas"/>
          <w:color w:val="2E863A"/>
          <w:sz w:val="19"/>
        </w:rPr>
        <w:t>chaikin_volatility</w:t>
      </w:r>
      <w:r>
        <w:t>, (+ 2 from volatility regime group)</w:t>
      </w:r>
    </w:p>
    <w:p>
      <w:pPr/>
      <w:r>
        <w:rPr>
          <w:b/>
        </w:rPr>
        <w:t>BOS / CHoCH (10):</w:t>
      </w:r>
    </w:p>
    <w:p>
      <w:pPr/>
      <w:r>
        <w:rPr>
          <w:rFonts w:ascii="Consolas" w:hAnsi="Consolas"/>
          <w:color w:val="2E863A"/>
          <w:sz w:val="19"/>
        </w:rPr>
        <w:t>ibos_bullish</w:t>
      </w:r>
      <w:r>
        <w:t xml:space="preserve">, </w:t>
      </w:r>
      <w:r>
        <w:rPr>
          <w:rFonts w:ascii="Consolas" w:hAnsi="Consolas"/>
          <w:color w:val="2E863A"/>
          <w:sz w:val="19"/>
        </w:rPr>
        <w:t>ibos_bearish</w:t>
      </w:r>
      <w:r>
        <w:t xml:space="preserve">, </w:t>
      </w:r>
      <w:r>
        <w:rPr>
          <w:rFonts w:ascii="Consolas" w:hAnsi="Consolas"/>
          <w:color w:val="2E863A"/>
          <w:sz w:val="19"/>
        </w:rPr>
        <w:t>ichoch_bullish</w:t>
      </w:r>
      <w:r>
        <w:t xml:space="preserve">, </w:t>
      </w:r>
      <w:r>
        <w:rPr>
          <w:rFonts w:ascii="Consolas" w:hAnsi="Consolas"/>
          <w:color w:val="2E863A"/>
          <w:sz w:val="19"/>
        </w:rPr>
        <w:t>ichoch_bearish</w:t>
      </w:r>
      <w:r>
        <w:t xml:space="preserve">, </w:t>
      </w:r>
      <w:r>
        <w:rPr>
          <w:rFonts w:ascii="Consolas" w:hAnsi="Consolas"/>
          <w:color w:val="2E863A"/>
          <w:sz w:val="19"/>
        </w:rPr>
        <w:t>bos_bullish</w:t>
      </w:r>
      <w:r>
        <w:t xml:space="preserve">, </w:t>
      </w:r>
      <w:r>
        <w:rPr>
          <w:rFonts w:ascii="Consolas" w:hAnsi="Consolas"/>
          <w:color w:val="2E863A"/>
          <w:sz w:val="19"/>
        </w:rPr>
        <w:t>bos_bearish</w:t>
      </w:r>
      <w:r>
        <w:t xml:space="preserve">, </w:t>
      </w:r>
      <w:r>
        <w:rPr>
          <w:rFonts w:ascii="Consolas" w:hAnsi="Consolas"/>
          <w:color w:val="2E863A"/>
          <w:sz w:val="19"/>
        </w:rPr>
        <w:t>choch_bullish</w:t>
      </w:r>
      <w:r>
        <w:t xml:space="preserve">, </w:t>
      </w:r>
      <w:r>
        <w:rPr>
          <w:rFonts w:ascii="Consolas" w:hAnsi="Consolas"/>
          <w:color w:val="2E863A"/>
          <w:sz w:val="19"/>
        </w:rPr>
        <w:t>choch_bearish</w:t>
      </w:r>
      <w:r>
        <w:t xml:space="preserve">, </w:t>
      </w:r>
      <w:r>
        <w:rPr>
          <w:rFonts w:ascii="Consolas" w:hAnsi="Consolas"/>
          <w:color w:val="2E863A"/>
          <w:sz w:val="19"/>
        </w:rPr>
        <w:t>structure_bias</w:t>
      </w:r>
      <w:r>
        <w:t xml:space="preserve">, </w:t>
      </w:r>
      <w:r>
        <w:rPr>
          <w:rFonts w:ascii="Consolas" w:hAnsi="Consolas"/>
          <w:color w:val="2E863A"/>
          <w:sz w:val="19"/>
        </w:rPr>
        <w:t>bars_since_structure_break</w:t>
      </w:r>
    </w:p>
    <w:p>
      <w:pPr/>
      <w:r>
        <w:rPr>
          <w:b/>
        </w:rPr>
        <w:t>Equal Highs/Lows (6):</w:t>
      </w:r>
    </w:p>
    <w:p>
      <w:pPr/>
      <w:r>
        <w:rPr>
          <w:rFonts w:ascii="Consolas" w:hAnsi="Consolas"/>
          <w:color w:val="2E863A"/>
          <w:sz w:val="19"/>
        </w:rPr>
        <w:t>eqh</w:t>
      </w:r>
      <w:r>
        <w:t xml:space="preserve">, </w:t>
      </w:r>
      <w:r>
        <w:rPr>
          <w:rFonts w:ascii="Consolas" w:hAnsi="Consolas"/>
          <w:color w:val="2E863A"/>
          <w:sz w:val="19"/>
        </w:rPr>
        <w:t>eqh_price</w:t>
      </w:r>
      <w:r>
        <w:t xml:space="preserve">, </w:t>
      </w:r>
      <w:r>
        <w:rPr>
          <w:rFonts w:ascii="Consolas" w:hAnsi="Consolas"/>
          <w:color w:val="2E863A"/>
          <w:sz w:val="19"/>
        </w:rPr>
        <w:t>eql</w:t>
      </w:r>
      <w:r>
        <w:t xml:space="preserve">, </w:t>
      </w:r>
      <w:r>
        <w:rPr>
          <w:rFonts w:ascii="Consolas" w:hAnsi="Consolas"/>
          <w:color w:val="2E863A"/>
          <w:sz w:val="19"/>
        </w:rPr>
        <w:t>eql_price</w:t>
      </w:r>
      <w:r>
        <w:t xml:space="preserve">, </w:t>
      </w:r>
      <w:r>
        <w:rPr>
          <w:rFonts w:ascii="Consolas" w:hAnsi="Consolas"/>
          <w:color w:val="2E863A"/>
          <w:sz w:val="19"/>
        </w:rPr>
        <w:t>eqh_age</w:t>
      </w:r>
      <w:r>
        <w:t xml:space="preserve">, </w:t>
      </w:r>
      <w:r>
        <w:rPr>
          <w:rFonts w:ascii="Consolas" w:hAnsi="Consolas"/>
          <w:color w:val="2E863A"/>
          <w:sz w:val="19"/>
        </w:rPr>
        <w:t>eql_age</w:t>
      </w:r>
    </w:p>
    <w:p>
      <w:pPr/>
      <w:r>
        <w:rPr>
          <w:b/>
        </w:rPr>
        <w:t>Premium/Discount (4):</w:t>
      </w:r>
    </w:p>
    <w:p>
      <w:pPr/>
      <w:r>
        <w:rPr>
          <w:rFonts w:ascii="Consolas" w:hAnsi="Consolas"/>
          <w:color w:val="2E863A"/>
          <w:sz w:val="19"/>
        </w:rPr>
        <w:t>pd_ratio</w:t>
      </w:r>
      <w:r>
        <w:t xml:space="preserve">, </w:t>
      </w:r>
      <w:r>
        <w:rPr>
          <w:rFonts w:ascii="Consolas" w:hAnsi="Consolas"/>
          <w:color w:val="2E863A"/>
          <w:sz w:val="19"/>
        </w:rPr>
        <w:t>pd_equilibrium</w:t>
      </w:r>
      <w:r>
        <w:t xml:space="preserve">, </w:t>
      </w:r>
      <w:r>
        <w:rPr>
          <w:rFonts w:ascii="Consolas" w:hAnsi="Consolas"/>
          <w:color w:val="2E863A"/>
          <w:sz w:val="19"/>
        </w:rPr>
        <w:t>pd_distance_from_eq</w:t>
      </w:r>
      <w:r>
        <w:t xml:space="preserve">, </w:t>
      </w:r>
      <w:r>
        <w:rPr>
          <w:rFonts w:ascii="Consolas" w:hAnsi="Consolas"/>
          <w:color w:val="2E863A"/>
          <w:sz w:val="19"/>
        </w:rPr>
        <w:t>pd_zone</w:t>
      </w:r>
    </w:p>
    <w:p>
      <w:pPr/>
      <w:r>
        <w:rPr>
          <w:b/>
        </w:rPr>
        <w:t>Statistical Distribution (6):</w:t>
      </w:r>
    </w:p>
    <w:p>
      <w:pPr/>
      <w:r>
        <w:rPr>
          <w:rFonts w:ascii="Consolas" w:hAnsi="Consolas"/>
          <w:color w:val="2E863A"/>
          <w:sz w:val="19"/>
        </w:rPr>
        <w:t>skewness</w:t>
      </w:r>
      <w:r>
        <w:t xml:space="preserve">, </w:t>
      </w:r>
      <w:r>
        <w:rPr>
          <w:rFonts w:ascii="Consolas" w:hAnsi="Consolas"/>
          <w:color w:val="2E863A"/>
          <w:sz w:val="19"/>
        </w:rPr>
        <w:t>kurtosis</w:t>
      </w:r>
      <w:r>
        <w:t xml:space="preserve">, </w:t>
      </w:r>
      <w:r>
        <w:rPr>
          <w:rFonts w:ascii="Consolas" w:hAnsi="Consolas"/>
          <w:color w:val="2E863A"/>
          <w:sz w:val="19"/>
        </w:rPr>
        <w:t>zscore</w:t>
      </w:r>
      <w:r>
        <w:t xml:space="preserve">, </w:t>
      </w:r>
      <w:r>
        <w:rPr>
          <w:rFonts w:ascii="Consolas" w:hAnsi="Consolas"/>
          <w:color w:val="2E863A"/>
          <w:sz w:val="19"/>
        </w:rPr>
        <w:t>percentile_rank</w:t>
      </w:r>
      <w:r>
        <w:t xml:space="preserve">, </w:t>
      </w:r>
      <w:r>
        <w:rPr>
          <w:rFonts w:ascii="Consolas" w:hAnsi="Consolas"/>
          <w:color w:val="2E863A"/>
          <w:sz w:val="19"/>
        </w:rPr>
        <w:t>normalized_price</w:t>
      </w:r>
      <w:r>
        <w:t xml:space="preserve">, </w:t>
      </w:r>
      <w:r>
        <w:rPr>
          <w:rFonts w:ascii="Consolas" w:hAnsi="Consolas"/>
          <w:color w:val="2E863A"/>
          <w:sz w:val="19"/>
        </w:rPr>
        <w:t>price_rank</w:t>
      </w:r>
    </w:p>
    <w:p>
      <w:pPr/>
      <w:r>
        <w:rPr>
          <w:b/>
        </w:rPr>
        <w:t>Information Theory (3):</w:t>
      </w:r>
    </w:p>
    <w:p>
      <w:pPr/>
      <w:r>
        <w:rPr>
          <w:rFonts w:ascii="Consolas" w:hAnsi="Consolas"/>
          <w:color w:val="2E863A"/>
          <w:sz w:val="19"/>
        </w:rPr>
        <w:t>entropy</w:t>
      </w:r>
      <w:r>
        <w:t xml:space="preserve">, </w:t>
      </w:r>
      <w:r>
        <w:rPr>
          <w:rFonts w:ascii="Consolas" w:hAnsi="Consolas"/>
          <w:color w:val="2E863A"/>
          <w:sz w:val="19"/>
        </w:rPr>
        <w:t>rolling_entropy_5</w:t>
      </w:r>
      <w:r>
        <w:t xml:space="preserve">, </w:t>
      </w:r>
      <w:r>
        <w:rPr>
          <w:rFonts w:ascii="Consolas" w:hAnsi="Consolas"/>
          <w:color w:val="2E863A"/>
          <w:sz w:val="19"/>
        </w:rPr>
        <w:t>approximate_entropy</w:t>
      </w:r>
    </w:p>
    <w:p>
      <w:pPr/>
      <w:r>
        <w:rPr>
          <w:b/>
        </w:rPr>
        <w:t>Market Regime (10):</w:t>
      </w:r>
    </w:p>
    <w:p>
      <w:pPr/>
      <w:r>
        <w:rPr>
          <w:rFonts w:ascii="Consolas" w:hAnsi="Consolas"/>
          <w:color w:val="2E863A"/>
          <w:sz w:val="19"/>
        </w:rPr>
        <w:t>efficiency_ratio</w:t>
      </w:r>
      <w:r>
        <w:t xml:space="preserve">, </w:t>
      </w:r>
      <w:r>
        <w:rPr>
          <w:rFonts w:ascii="Consolas" w:hAnsi="Consolas"/>
          <w:color w:val="2E863A"/>
          <w:sz w:val="19"/>
        </w:rPr>
        <w:t>hurst</w:t>
      </w:r>
      <w:r>
        <w:t xml:space="preserve">, </w:t>
      </w:r>
      <w:r>
        <w:rPr>
          <w:rFonts w:ascii="Consolas" w:hAnsi="Consolas"/>
          <w:color w:val="2E863A"/>
          <w:sz w:val="19"/>
        </w:rPr>
        <w:t>fractal_dimension</w:t>
      </w:r>
      <w:r>
        <w:t xml:space="preserve">, </w:t>
      </w:r>
      <w:r>
        <w:rPr>
          <w:rFonts w:ascii="Consolas" w:hAnsi="Consolas"/>
          <w:color w:val="2E863A"/>
          <w:sz w:val="19"/>
        </w:rPr>
        <w:t>market_noise</w:t>
      </w:r>
      <w:r>
        <w:t xml:space="preserve">, </w:t>
      </w:r>
      <w:r>
        <w:rPr>
          <w:rFonts w:ascii="Consolas" w:hAnsi="Consolas"/>
          <w:color w:val="2E863A"/>
          <w:sz w:val="19"/>
        </w:rPr>
        <w:t>directional_efficiency</w:t>
      </w:r>
      <w:r>
        <w:t xml:space="preserve">, </w:t>
      </w:r>
      <w:r>
        <w:rPr>
          <w:rFonts w:ascii="Consolas" w:hAnsi="Consolas"/>
          <w:color w:val="2E863A"/>
          <w:sz w:val="19"/>
        </w:rPr>
        <w:t>price_smoothness</w:t>
      </w:r>
      <w:r>
        <w:t xml:space="preserve">, </w:t>
      </w:r>
      <w:r>
        <w:rPr>
          <w:rFonts w:ascii="Consolas" w:hAnsi="Consolas"/>
          <w:color w:val="2E863A"/>
          <w:sz w:val="19"/>
        </w:rPr>
        <w:t>mean_reversion_score</w:t>
      </w:r>
      <w:r>
        <w:t xml:space="preserve">, </w:t>
      </w:r>
      <w:r>
        <w:rPr>
          <w:rFonts w:ascii="Consolas" w:hAnsi="Consolas"/>
          <w:color w:val="2E863A"/>
          <w:sz w:val="19"/>
        </w:rPr>
        <w:t>trend_score</w:t>
      </w:r>
      <w:r>
        <w:t xml:space="preserve">, </w:t>
      </w:r>
      <w:r>
        <w:rPr>
          <w:rFonts w:ascii="Consolas" w:hAnsi="Consolas"/>
          <w:color w:val="2E863A"/>
          <w:sz w:val="19"/>
        </w:rPr>
        <w:t>return_vol_ratio</w:t>
      </w:r>
      <w:r>
        <w:t xml:space="preserve">, </w:t>
      </w:r>
      <w:r>
        <w:rPr>
          <w:rFonts w:ascii="Consolas" w:hAnsi="Consolas"/>
          <w:color w:val="2E863A"/>
          <w:sz w:val="19"/>
        </w:rPr>
        <w:t>trend_quality</w:t>
      </w:r>
    </w:p>
    <w:p>
      <w:pPr/>
      <w:r>
        <w:rPr>
          <w:b/>
        </w:rPr>
        <w:t>Additional Regime (4):</w:t>
      </w:r>
    </w:p>
    <w:p>
      <w:pPr/>
      <w:r>
        <w:rPr>
          <w:rFonts w:ascii="Consolas" w:hAnsi="Consolas"/>
          <w:color w:val="2E863A"/>
          <w:sz w:val="19"/>
        </w:rPr>
        <w:t>noise_ratio</w:t>
      </w:r>
      <w:r>
        <w:t xml:space="preserve">, </w:t>
      </w:r>
      <w:r>
        <w:rPr>
          <w:rFonts w:ascii="Consolas" w:hAnsi="Consolas"/>
          <w:color w:val="2E863A"/>
          <w:sz w:val="19"/>
        </w:rPr>
        <w:t>price_efficiency</w:t>
      </w:r>
      <w:r>
        <w:t xml:space="preserve">, </w:t>
      </w:r>
      <w:r>
        <w:rPr>
          <w:rFonts w:ascii="Consolas" w:hAnsi="Consolas"/>
          <w:color w:val="2E863A"/>
          <w:sz w:val="19"/>
        </w:rPr>
        <w:t>regime_consistency</w:t>
      </w:r>
      <w:r>
        <w:t>, (+ 1)</w:t>
      </w:r>
    </w:p>
    <w:p>
      <w:pPr/>
      <w:r>
        <w:rPr>
          <w:b/>
        </w:rPr>
        <w:t>Momentum &amp; Velocity (7):</w:t>
      </w:r>
    </w:p>
    <w:p>
      <w:pPr/>
      <w:r>
        <w:rPr>
          <w:rFonts w:ascii="Consolas" w:hAnsi="Consolas"/>
          <w:color w:val="2E863A"/>
          <w:sz w:val="19"/>
        </w:rPr>
        <w:t>price_velocity</w:t>
      </w:r>
      <w:r>
        <w:t xml:space="preserve">, </w:t>
      </w:r>
      <w:r>
        <w:rPr>
          <w:rFonts w:ascii="Consolas" w:hAnsi="Consolas"/>
          <w:color w:val="2E863A"/>
          <w:sz w:val="19"/>
        </w:rPr>
        <w:t>price_acceleration</w:t>
      </w:r>
      <w:r>
        <w:t xml:space="preserve">, </w:t>
      </w:r>
      <w:r>
        <w:rPr>
          <w:rFonts w:ascii="Consolas" w:hAnsi="Consolas"/>
          <w:color w:val="2E863A"/>
          <w:sz w:val="19"/>
        </w:rPr>
        <w:t>price_deceleration</w:t>
      </w:r>
      <w:r>
        <w:t xml:space="preserve">, </w:t>
      </w:r>
      <w:r>
        <w:rPr>
          <w:rFonts w:ascii="Consolas" w:hAnsi="Consolas"/>
          <w:color w:val="2E863A"/>
          <w:sz w:val="19"/>
        </w:rPr>
        <w:t>rolling_momentum_5</w:t>
      </w:r>
      <w:r>
        <w:t xml:space="preserve">, </w:t>
      </w:r>
      <w:r>
        <w:rPr>
          <w:rFonts w:ascii="Consolas" w:hAnsi="Consolas"/>
          <w:color w:val="2E863A"/>
          <w:sz w:val="19"/>
        </w:rPr>
        <w:t>rolling_momentum_20</w:t>
      </w:r>
      <w:r>
        <w:t xml:space="preserve">, </w:t>
      </w:r>
      <w:r>
        <w:rPr>
          <w:rFonts w:ascii="Consolas" w:hAnsi="Consolas"/>
          <w:color w:val="2E863A"/>
          <w:sz w:val="19"/>
        </w:rPr>
        <w:t>momentum_persistence</w:t>
      </w:r>
      <w:r>
        <w:t xml:space="preserve">, </w:t>
      </w:r>
      <w:r>
        <w:rPr>
          <w:rFonts w:ascii="Consolas" w:hAnsi="Consolas"/>
          <w:color w:val="2E863A"/>
          <w:sz w:val="19"/>
        </w:rPr>
        <w:t>trend_persistence</w:t>
      </w:r>
    </w:p>
    <w:p>
      <w:pPr/>
      <w:r>
        <w:rPr>
          <w:b/>
        </w:rPr>
        <w:t>Volatility Regime (7):</w:t>
      </w:r>
    </w:p>
    <w:p>
      <w:pPr/>
      <w:r>
        <w:rPr>
          <w:rFonts w:ascii="Consolas" w:hAnsi="Consolas"/>
          <w:color w:val="2E863A"/>
          <w:sz w:val="19"/>
        </w:rPr>
        <w:t>realized_volatility</w:t>
      </w:r>
      <w:r>
        <w:t xml:space="preserve">, </w:t>
      </w:r>
      <w:r>
        <w:rPr>
          <w:rFonts w:ascii="Consolas" w:hAnsi="Consolas"/>
          <w:color w:val="2E863A"/>
          <w:sz w:val="19"/>
        </w:rPr>
        <w:t>historical_volatility</w:t>
      </w:r>
      <w:r>
        <w:t xml:space="preserve">, </w:t>
      </w:r>
      <w:r>
        <w:rPr>
          <w:rFonts w:ascii="Consolas" w:hAnsi="Consolas"/>
          <w:color w:val="2E863A"/>
          <w:sz w:val="19"/>
        </w:rPr>
        <w:t>volatility_expansion</w:t>
      </w:r>
      <w:r>
        <w:t xml:space="preserve">, </w:t>
      </w:r>
      <w:r>
        <w:rPr>
          <w:rFonts w:ascii="Consolas" w:hAnsi="Consolas"/>
          <w:color w:val="2E863A"/>
          <w:sz w:val="19"/>
        </w:rPr>
        <w:t>volatility_compression</w:t>
      </w:r>
      <w:r>
        <w:t xml:space="preserve">, </w:t>
      </w:r>
      <w:r>
        <w:rPr>
          <w:rFonts w:ascii="Consolas" w:hAnsi="Consolas"/>
          <w:color w:val="2E863A"/>
          <w:sz w:val="19"/>
        </w:rPr>
        <w:t>atr_ratio</w:t>
      </w:r>
      <w:r>
        <w:t xml:space="preserve">, </w:t>
      </w:r>
      <w:r>
        <w:rPr>
          <w:rFonts w:ascii="Consolas" w:hAnsi="Consolas"/>
          <w:color w:val="2E863A"/>
          <w:sz w:val="19"/>
        </w:rPr>
        <w:t>rolling_atr_20</w:t>
      </w:r>
      <w:r>
        <w:t xml:space="preserve">, </w:t>
      </w:r>
      <w:r>
        <w:rPr>
          <w:rFonts w:ascii="Consolas" w:hAnsi="Consolas"/>
          <w:color w:val="2E863A"/>
          <w:sz w:val="19"/>
        </w:rPr>
        <w:t>volatility_regime</w:t>
      </w:r>
    </w:p>
    <w:p>
      <w:pPr/>
      <w:r>
        <w:rPr>
          <w:b/>
        </w:rPr>
        <w:t>Order Blocks (10):</w:t>
      </w:r>
    </w:p>
    <w:p>
      <w:pPr/>
      <w:r>
        <w:rPr>
          <w:rFonts w:ascii="Consolas" w:hAnsi="Consolas"/>
          <w:color w:val="2E863A"/>
          <w:sz w:val="19"/>
        </w:rPr>
        <w:t>ob_bullish</w:t>
      </w:r>
      <w:r>
        <w:t xml:space="preserve">, </w:t>
      </w:r>
      <w:r>
        <w:rPr>
          <w:rFonts w:ascii="Consolas" w:hAnsi="Consolas"/>
          <w:color w:val="2E863A"/>
          <w:sz w:val="19"/>
        </w:rPr>
        <w:t>ob_bearish</w:t>
      </w:r>
      <w:r>
        <w:t xml:space="preserve">, </w:t>
      </w:r>
      <w:r>
        <w:rPr>
          <w:rFonts w:ascii="Consolas" w:hAnsi="Consolas"/>
          <w:color w:val="2E863A"/>
          <w:sz w:val="19"/>
        </w:rPr>
        <w:t>ob_bullish_top</w:t>
      </w:r>
      <w:r>
        <w:t xml:space="preserve">, </w:t>
      </w:r>
      <w:r>
        <w:rPr>
          <w:rFonts w:ascii="Consolas" w:hAnsi="Consolas"/>
          <w:color w:val="2E863A"/>
          <w:sz w:val="19"/>
        </w:rPr>
        <w:t>ob_bullish_bottom</w:t>
      </w:r>
      <w:r>
        <w:t xml:space="preserve">, </w:t>
      </w:r>
      <w:r>
        <w:rPr>
          <w:rFonts w:ascii="Consolas" w:hAnsi="Consolas"/>
          <w:color w:val="2E863A"/>
          <w:sz w:val="19"/>
        </w:rPr>
        <w:t>ob_bearish_top</w:t>
      </w:r>
      <w:r>
        <w:t xml:space="preserve">, </w:t>
      </w:r>
      <w:r>
        <w:rPr>
          <w:rFonts w:ascii="Consolas" w:hAnsi="Consolas"/>
          <w:color w:val="2E863A"/>
          <w:sz w:val="19"/>
        </w:rPr>
        <w:t>ob_bearish_bottom</w:t>
      </w:r>
      <w:r>
        <w:t xml:space="preserve">, </w:t>
      </w:r>
      <w:r>
        <w:rPr>
          <w:rFonts w:ascii="Consolas" w:hAnsi="Consolas"/>
          <w:color w:val="2E863A"/>
          <w:sz w:val="19"/>
        </w:rPr>
        <w:t>ob_bullish_active</w:t>
      </w:r>
      <w:r>
        <w:t xml:space="preserve">, </w:t>
      </w:r>
      <w:r>
        <w:rPr>
          <w:rFonts w:ascii="Consolas" w:hAnsi="Consolas"/>
          <w:color w:val="2E863A"/>
          <w:sz w:val="19"/>
        </w:rPr>
        <w:t>ob_bearish_active</w:t>
      </w:r>
      <w:r>
        <w:t xml:space="preserve">, </w:t>
      </w:r>
      <w:r>
        <w:rPr>
          <w:rFonts w:ascii="Consolas" w:hAnsi="Consolas"/>
          <w:color w:val="2E863A"/>
          <w:sz w:val="19"/>
        </w:rPr>
        <w:t>price_in_bullish_ob</w:t>
      </w:r>
      <w:r>
        <w:t xml:space="preserve">, </w:t>
      </w:r>
      <w:r>
        <w:rPr>
          <w:rFonts w:ascii="Consolas" w:hAnsi="Consolas"/>
          <w:color w:val="2E863A"/>
          <w:sz w:val="19"/>
        </w:rPr>
        <w:t>price_in_bearish_ob</w:t>
      </w:r>
    </w:p>
    <w:p>
      <w:pPr/>
      <w:r>
        <w:rPr>
          <w:b/>
        </w:rPr>
        <w:t>Liquidity Sweeps (15):</w:t>
      </w:r>
    </w:p>
    <w:p>
      <w:pPr/>
      <w:r>
        <w:rPr>
          <w:rFonts w:ascii="Consolas" w:hAnsi="Consolas"/>
          <w:color w:val="2E863A"/>
          <w:sz w:val="19"/>
        </w:rPr>
        <w:t>bullish_liquidity_sweep</w:t>
      </w:r>
      <w:r>
        <w:t xml:space="preserve">, </w:t>
      </w:r>
      <w:r>
        <w:rPr>
          <w:rFonts w:ascii="Consolas" w:hAnsi="Consolas"/>
          <w:color w:val="2E863A"/>
          <w:sz w:val="19"/>
        </w:rPr>
        <w:t>bearish_liquidity_sweep</w:t>
      </w:r>
      <w:r>
        <w:t xml:space="preserve">, </w:t>
      </w:r>
      <w:r>
        <w:rPr>
          <w:rFonts w:ascii="Consolas" w:hAnsi="Consolas"/>
          <w:color w:val="2E863A"/>
          <w:sz w:val="19"/>
        </w:rPr>
        <w:t>liquidity_score</w:t>
      </w:r>
      <w:r>
        <w:t xml:space="preserve">, </w:t>
      </w:r>
      <w:r>
        <w:rPr>
          <w:rFonts w:ascii="Consolas" w:hAnsi="Consolas"/>
          <w:color w:val="2E863A"/>
          <w:sz w:val="19"/>
        </w:rPr>
        <w:t>nearest_liquidity_distance</w:t>
      </w:r>
      <w:r>
        <w:t xml:space="preserve">, </w:t>
      </w:r>
      <w:r>
        <w:rPr>
          <w:rFonts w:ascii="Consolas" w:hAnsi="Consolas"/>
          <w:color w:val="2E863A"/>
          <w:sz w:val="19"/>
        </w:rPr>
        <w:t>nearest_buy_liquidity</w:t>
      </w:r>
      <w:r>
        <w:t xml:space="preserve">, </w:t>
      </w:r>
      <w:r>
        <w:rPr>
          <w:rFonts w:ascii="Consolas" w:hAnsi="Consolas"/>
          <w:color w:val="2E863A"/>
          <w:sz w:val="19"/>
        </w:rPr>
        <w:t>nearest_sell_liquidity</w:t>
      </w:r>
      <w:r>
        <w:t xml:space="preserve">, </w:t>
      </w:r>
      <w:r>
        <w:rPr>
          <w:rFonts w:ascii="Consolas" w:hAnsi="Consolas"/>
          <w:color w:val="2E863A"/>
          <w:sz w:val="19"/>
        </w:rPr>
        <w:t>liquidity_age</w:t>
      </w:r>
      <w:r>
        <w:t xml:space="preserve">, </w:t>
      </w:r>
      <w:r>
        <w:rPr>
          <w:rFonts w:ascii="Consolas" w:hAnsi="Consolas"/>
          <w:color w:val="2E863A"/>
          <w:sz w:val="19"/>
        </w:rPr>
        <w:t>touch_count</w:t>
      </w:r>
      <w:r>
        <w:t xml:space="preserve">, </w:t>
      </w:r>
      <w:r>
        <w:rPr>
          <w:rFonts w:ascii="Consolas" w:hAnsi="Consolas"/>
          <w:color w:val="2E863A"/>
          <w:sz w:val="19"/>
        </w:rPr>
        <w:t>strong_sweep</w:t>
      </w:r>
      <w:r>
        <w:t xml:space="preserve">, </w:t>
      </w:r>
      <w:r>
        <w:rPr>
          <w:rFonts w:ascii="Consolas" w:hAnsi="Consolas"/>
          <w:color w:val="2E863A"/>
          <w:sz w:val="19"/>
        </w:rPr>
        <w:t>weak_sweep</w:t>
      </w:r>
      <w:r>
        <w:t xml:space="preserve">, </w:t>
      </w:r>
      <w:r>
        <w:rPr>
          <w:rFonts w:ascii="Consolas" w:hAnsi="Consolas"/>
          <w:color w:val="2E863A"/>
          <w:sz w:val="19"/>
        </w:rPr>
        <w:t>confirmed_sweep</w:t>
      </w:r>
      <w:r>
        <w:t xml:space="preserve">, </w:t>
      </w:r>
      <w:r>
        <w:rPr>
          <w:rFonts w:ascii="Consolas" w:hAnsi="Consolas"/>
          <w:color w:val="2E863A"/>
          <w:sz w:val="19"/>
        </w:rPr>
        <w:t>sweep_strength</w:t>
      </w:r>
      <w:r>
        <w:t xml:space="preserve">, </w:t>
      </w:r>
      <w:r>
        <w:rPr>
          <w:rFonts w:ascii="Consolas" w:hAnsi="Consolas"/>
          <w:color w:val="2E863A"/>
          <w:sz w:val="19"/>
        </w:rPr>
        <w:t>liquidity_cluster_size</w:t>
      </w:r>
      <w:r>
        <w:t xml:space="preserve">, </w:t>
      </w:r>
      <w:r>
        <w:rPr>
          <w:rFonts w:ascii="Consolas" w:hAnsi="Consolas"/>
          <w:color w:val="2E863A"/>
          <w:sz w:val="19"/>
        </w:rPr>
        <w:t>sweep_penetration</w:t>
      </w:r>
      <w:r>
        <w:t xml:space="preserve">, </w:t>
      </w:r>
      <w:r>
        <w:rPr>
          <w:rFonts w:ascii="Consolas" w:hAnsi="Consolas"/>
          <w:color w:val="2E863A"/>
          <w:sz w:val="19"/>
        </w:rPr>
        <w:t>sweep_rejection</w:t>
      </w:r>
    </w:p>
    <w:p>
      <w:pPr/>
      <w:r>
        <w:rPr>
          <w:b/>
        </w:rPr>
        <w:t>Additional Liquidity (4):</w:t>
      </w:r>
    </w:p>
    <w:p>
      <w:pPr/>
      <w:r>
        <w:rPr>
          <w:rFonts w:ascii="Consolas" w:hAnsi="Consolas"/>
          <w:color w:val="2E863A"/>
          <w:sz w:val="19"/>
        </w:rPr>
        <w:t>liq_zone_width</w:t>
      </w:r>
      <w:r>
        <w:t xml:space="preserve">, </w:t>
      </w:r>
      <w:r>
        <w:rPr>
          <w:rFonts w:ascii="Consolas" w:hAnsi="Consolas"/>
          <w:color w:val="2E863A"/>
          <w:sz w:val="19"/>
        </w:rPr>
        <w:t>liq_zone_lifetime</w:t>
      </w:r>
      <w:r>
        <w:t xml:space="preserve">, </w:t>
      </w:r>
      <w:r>
        <w:rPr>
          <w:rFonts w:ascii="Consolas" w:hAnsi="Consolas"/>
          <w:color w:val="2E863A"/>
          <w:sz w:val="19"/>
        </w:rPr>
        <w:t>num_nearby_liq_pools</w:t>
      </w:r>
      <w:r>
        <w:t>, (+ 1 composite)</w:t>
      </w:r>
    </w:p>
    <w:p>
      <w:pPr/>
      <w:r>
        <w:rPr>
          <w:b/>
        </w:rPr>
        <w:t>Liquidity Composite (6):</w:t>
      </w:r>
    </w:p>
    <w:p>
      <w:pPr/>
      <w:r>
        <w:rPr>
          <w:rFonts w:ascii="Consolas" w:hAnsi="Consolas"/>
          <w:color w:val="2E863A"/>
          <w:sz w:val="19"/>
        </w:rPr>
        <w:t>return_vol_ratio</w:t>
      </w:r>
      <w:r>
        <w:t xml:space="preserve">, </w:t>
      </w:r>
      <w:r>
        <w:rPr>
          <w:rFonts w:ascii="Consolas" w:hAnsi="Consolas"/>
          <w:color w:val="2E863A"/>
          <w:sz w:val="19"/>
        </w:rPr>
        <w:t>trend_quality</w:t>
      </w:r>
      <w:r>
        <w:t xml:space="preserve">, </w:t>
      </w:r>
      <w:r>
        <w:rPr>
          <w:rFonts w:ascii="Consolas" w:hAnsi="Consolas"/>
          <w:color w:val="2E863A"/>
          <w:sz w:val="19"/>
        </w:rPr>
        <w:t>noise_ratio</w:t>
      </w:r>
      <w:r>
        <w:t xml:space="preserve">, </w:t>
      </w:r>
      <w:r>
        <w:rPr>
          <w:rFonts w:ascii="Consolas" w:hAnsi="Consolas"/>
          <w:color w:val="2E863A"/>
          <w:sz w:val="19"/>
        </w:rPr>
        <w:t>price_efficiency</w:t>
      </w:r>
      <w:r>
        <w:t xml:space="preserve">, </w:t>
      </w:r>
      <w:r>
        <w:rPr>
          <w:rFonts w:ascii="Consolas" w:hAnsi="Consolas"/>
          <w:color w:val="2E863A"/>
          <w:sz w:val="19"/>
        </w:rPr>
        <w:t>regime_consistency</w:t>
      </w:r>
      <w:r>
        <w:t>, (+ 1)</w:t>
      </w:r>
    </w:p>
    <w:p>
      <w:pPr/>
      <w:r>
        <w:rPr>
          <w:b/>
        </w:rPr>
        <w:t>Liquidity Magnet (17):</w:t>
      </w:r>
    </w:p>
    <w:p>
      <w:pPr/>
      <w:r>
        <w:rPr>
          <w:rFonts w:ascii="Consolas" w:hAnsi="Consolas"/>
          <w:color w:val="2E863A"/>
          <w:sz w:val="19"/>
        </w:rPr>
        <w:t>nearest_buy_liquidity_distance</w:t>
      </w:r>
      <w:r>
        <w:t xml:space="preserve">, </w:t>
      </w:r>
      <w:r>
        <w:rPr>
          <w:rFonts w:ascii="Consolas" w:hAnsi="Consolas"/>
          <w:color w:val="2E863A"/>
          <w:sz w:val="19"/>
        </w:rPr>
        <w:t>nearest_sell_liquidity_distance</w:t>
      </w:r>
      <w:r>
        <w:t xml:space="preserve">, </w:t>
      </w:r>
      <w:r>
        <w:rPr>
          <w:rFonts w:ascii="Consolas" w:hAnsi="Consolas"/>
          <w:color w:val="2E863A"/>
          <w:sz w:val="19"/>
        </w:rPr>
        <w:t>nearest_liquidity_score</w:t>
      </w:r>
      <w:r>
        <w:t xml:space="preserve">, </w:t>
      </w:r>
      <w:r>
        <w:rPr>
          <w:rFonts w:ascii="Consolas" w:hAnsi="Consolas"/>
          <w:color w:val="2E863A"/>
          <w:sz w:val="19"/>
        </w:rPr>
        <w:t>magnet_score</w:t>
      </w:r>
      <w:r>
        <w:t xml:space="preserve">, </w:t>
      </w:r>
      <w:r>
        <w:rPr>
          <w:rFonts w:ascii="Consolas" w:hAnsi="Consolas"/>
          <w:color w:val="2E863A"/>
          <w:sz w:val="19"/>
        </w:rPr>
        <w:t>magnet_probability</w:t>
      </w:r>
      <w:r>
        <w:t xml:space="preserve">, </w:t>
      </w:r>
      <w:r>
        <w:rPr>
          <w:rFonts w:ascii="Consolas" w:hAnsi="Consolas"/>
          <w:color w:val="2E863A"/>
          <w:sz w:val="19"/>
        </w:rPr>
        <w:t>liquidity_rank</w:t>
      </w:r>
      <w:r>
        <w:t xml:space="preserve">, </w:t>
      </w:r>
      <w:r>
        <w:rPr>
          <w:rFonts w:ascii="Consolas" w:hAnsi="Consolas"/>
          <w:color w:val="2E863A"/>
          <w:sz w:val="19"/>
        </w:rPr>
        <w:t>target_liquidity</w:t>
      </w:r>
      <w:r>
        <w:t xml:space="preserve">, </w:t>
      </w:r>
      <w:r>
        <w:rPr>
          <w:rFonts w:ascii="Consolas" w:hAnsi="Consolas"/>
          <w:color w:val="2E863A"/>
          <w:sz w:val="19"/>
        </w:rPr>
        <w:t>distance_to_target</w:t>
      </w:r>
      <w:r>
        <w:t xml:space="preserve">, </w:t>
      </w:r>
      <w:r>
        <w:rPr>
          <w:rFonts w:ascii="Consolas" w:hAnsi="Consolas"/>
          <w:color w:val="2E863A"/>
          <w:sz w:val="19"/>
        </w:rPr>
        <w:t>buy_side_probability</w:t>
      </w:r>
      <w:r>
        <w:t xml:space="preserve">, </w:t>
      </w:r>
      <w:r>
        <w:rPr>
          <w:rFonts w:ascii="Consolas" w:hAnsi="Consolas"/>
          <w:color w:val="2E863A"/>
          <w:sz w:val="19"/>
        </w:rPr>
        <w:t>sell_side_probability</w:t>
      </w:r>
      <w:r>
        <w:t xml:space="preserve">, </w:t>
      </w:r>
      <w:r>
        <w:rPr>
          <w:rFonts w:ascii="Consolas" w:hAnsi="Consolas"/>
          <w:color w:val="2E863A"/>
          <w:sz w:val="19"/>
        </w:rPr>
        <w:t>liquidity_density</w:t>
      </w:r>
      <w:r>
        <w:t xml:space="preserve">, </w:t>
      </w:r>
      <w:r>
        <w:rPr>
          <w:rFonts w:ascii="Consolas" w:hAnsi="Consolas"/>
          <w:color w:val="2E863A"/>
          <w:sz w:val="19"/>
        </w:rPr>
        <w:t>cluster_strength</w:t>
      </w:r>
      <w:r>
        <w:t xml:space="preserve">, </w:t>
      </w:r>
      <w:r>
        <w:rPr>
          <w:rFonts w:ascii="Consolas" w:hAnsi="Consolas"/>
          <w:color w:val="2E863A"/>
          <w:sz w:val="19"/>
        </w:rPr>
        <w:t>magnet_strength</w:t>
      </w:r>
      <w:r>
        <w:t xml:space="preserve">, </w:t>
      </w:r>
      <w:r>
        <w:rPr>
          <w:rFonts w:ascii="Consolas" w:hAnsi="Consolas"/>
          <w:color w:val="2E863A"/>
          <w:sz w:val="19"/>
        </w:rPr>
        <w:t>nearest_cluster_size</w:t>
      </w:r>
      <w:r>
        <w:t xml:space="preserve">, </w:t>
      </w:r>
      <w:r>
        <w:rPr>
          <w:rFonts w:ascii="Consolas" w:hAnsi="Consolas"/>
          <w:color w:val="2E863A"/>
          <w:sz w:val="19"/>
        </w:rPr>
        <w:t>proximity_contribution</w:t>
      </w:r>
      <w:r>
        <w:t xml:space="preserve">, </w:t>
      </w:r>
      <w:r>
        <w:rPr>
          <w:rFonts w:ascii="Consolas" w:hAnsi="Consolas"/>
          <w:color w:val="2E863A"/>
          <w:sz w:val="19"/>
        </w:rPr>
        <w:t>age_contribution</w:t>
      </w:r>
      <w:r>
        <w:t xml:space="preserve">, </w:t>
      </w:r>
      <w:r>
        <w:rPr>
          <w:rFonts w:ascii="Consolas" w:hAnsi="Consolas"/>
          <w:color w:val="2E863A"/>
          <w:sz w:val="19"/>
        </w:rPr>
        <w:t>touch_contribution</w:t>
      </w:r>
    </w:p>
    <w:p>
      <w:pPr/>
      <w:r>
        <w:rPr>
          <w:b/>
        </w:rPr>
        <w:t>Additional Magnet (4):</w:t>
      </w:r>
    </w:p>
    <w:p>
      <w:pPr/>
      <w:r>
        <w:rPr>
          <w:rFonts w:ascii="Consolas" w:hAnsi="Consolas"/>
          <w:color w:val="2E863A"/>
          <w:sz w:val="19"/>
        </w:rPr>
        <w:t>momentum_contribution</w:t>
      </w:r>
      <w:r>
        <w:t xml:space="preserve">, </w:t>
      </w:r>
      <w:r>
        <w:rPr>
          <w:rFonts w:ascii="Consolas" w:hAnsi="Consolas"/>
          <w:color w:val="2E863A"/>
          <w:sz w:val="19"/>
        </w:rPr>
        <w:t>ranking_position</w:t>
      </w:r>
      <w:r>
        <w:t xml:space="preserve">, </w:t>
      </w:r>
      <w:r>
        <w:rPr>
          <w:rFonts w:ascii="Consolas" w:hAnsi="Consolas"/>
          <w:color w:val="2E863A"/>
          <w:sz w:val="19"/>
        </w:rPr>
        <w:t>target_direction</w:t>
      </w:r>
      <w:r>
        <w:t>, (+ 1)</w:t>
      </w:r>
    </w:p>
    <w:p>
      <w:pPr/>
      <w:r>
        <w:rPr>
          <w:b/>
        </w:rPr>
        <w:t>Total: 247 ML features</w:t>
      </w:r>
    </w:p>
    <w:p>
      <w:pPr>
        <w:pStyle w:val="Heading2"/>
      </w:pPr>
      <w:r>
        <w:t>Appendix B — Label Catalogue</w:t>
      </w:r>
    </w:p>
    <w:p>
      <w:pPr>
        <w:pStyle w:val="Heading3"/>
      </w:pPr>
      <w:r>
        <w:t xml:space="preserve">B.1 Direction Labels (prefix: </w:t>
      </w:r>
      <w:r>
        <w:rPr>
          <w:rFonts w:ascii="Consolas" w:hAnsi="Consolas"/>
          <w:color w:val="2E863A"/>
          <w:sz w:val="19"/>
        </w:rPr>
        <w:t>direction_</w:t>
      </w:r>
      <w:r>
        <w: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C2128"/>
          </w:tcPr>
          <w:p>
            <w:r>
              <w:rPr>
                <w:b/>
                <w:color w:val="FFFFFF"/>
                <w:sz w:val="18"/>
              </w:rPr>
              <w:t>Label</w:t>
            </w:r>
          </w:p>
        </w:tc>
        <w:tc>
          <w:tcPr>
            <w:tcW w:type="dxa" w:w="2340"/>
            <w:vAlign w:val="top"/>
            <w:shd w:val="clear" w:color="auto" w:fill="1C2128"/>
          </w:tcPr>
          <w:p>
            <w:r>
              <w:rPr>
                <w:b/>
                <w:color w:val="FFFFFF"/>
                <w:sz w:val="18"/>
              </w:rPr>
              <w:t>Horizon</w:t>
            </w:r>
          </w:p>
        </w:tc>
        <w:tc>
          <w:tcPr>
            <w:tcW w:type="dxa" w:w="2340"/>
            <w:vAlign w:val="top"/>
            <w:shd w:val="clear" w:color="auto" w:fill="1C2128"/>
          </w:tcPr>
          <w:p>
            <w:r>
              <w:rPr>
                <w:b/>
                <w:color w:val="FFFFFF"/>
                <w:sz w:val="18"/>
              </w:rPr>
              <w:t>Type</w:t>
            </w:r>
          </w:p>
        </w:tc>
        <w:tc>
          <w:tcPr>
            <w:tcW w:type="dxa" w:w="2340"/>
            <w:vAlign w:val="top"/>
            <w:shd w:val="clear" w:color="auto" w:fill="1C2128"/>
          </w:tcPr>
          <w:p>
            <w:r>
              <w:rPr>
                <w:b/>
                <w:color w:val="FFFFFF"/>
                <w:sz w:val="18"/>
              </w:rPr>
              <w:t>Classes</w:t>
            </w:r>
          </w:p>
        </w:tc>
      </w:tr>
      <w:tr>
        <w:tc>
          <w:tcPr>
            <w:tcW w:type="dxa" w:w="2340"/>
            <w:vAlign w:val="top"/>
          </w:tcPr>
          <w:p>
            <w:r>
              <w:rPr>
                <w:color w:val="1A1A2E"/>
                <w:sz w:val="18"/>
              </w:rPr>
            </w:r>
            <w:r>
              <w:rPr>
                <w:rFonts w:ascii="Consolas" w:hAnsi="Consolas"/>
                <w:color w:val="2E863A"/>
                <w:sz w:val="18"/>
              </w:rPr>
              <w:t>direction_1b</w:t>
            </w:r>
            <w:r>
              <w:rPr>
                <w:color w:val="1A1A2E"/>
                <w:sz w:val="18"/>
              </w:rPr>
            </w:r>
          </w:p>
        </w:tc>
        <w:tc>
          <w:tcPr>
            <w:tcW w:type="dxa" w:w="2340"/>
            <w:vAlign w:val="top"/>
          </w:tcPr>
          <w:p>
            <w:r>
              <w:rPr>
                <w:color w:val="1A1A2E"/>
                <w:sz w:val="18"/>
              </w:rPr>
              <w:t>1 bar (15 min)</w:t>
            </w:r>
          </w:p>
        </w:tc>
        <w:tc>
          <w:tcPr>
            <w:tcW w:type="dxa" w:w="2340"/>
            <w:vAlign w:val="top"/>
          </w:tcPr>
          <w:p>
            <w:r>
              <w:rPr>
                <w:color w:val="1A1A2E"/>
                <w:sz w:val="18"/>
              </w:rPr>
              <w:t>Ternary float64</w:t>
            </w:r>
          </w:p>
        </w:tc>
        <w:tc>
          <w:tcPr>
            <w:tcW w:type="dxa" w:w="2340"/>
            <w:vAlign w:val="top"/>
          </w:tcPr>
          <w:p>
            <w:r>
              <w:rPr>
                <w:color w:val="1A1A2E"/>
                <w:sz w:val="18"/>
              </w:rPr>
              <w:t>0=SELL, 1=HOLD, 2=BUY</w:t>
            </w:r>
          </w:p>
        </w:tc>
      </w:tr>
      <w:tr>
        <w:tc>
          <w:tcPr>
            <w:tcW w:type="dxa" w:w="2340"/>
            <w:vAlign w:val="top"/>
          </w:tcPr>
          <w:p>
            <w:r>
              <w:rPr>
                <w:color w:val="1A1A2E"/>
                <w:sz w:val="18"/>
              </w:rPr>
            </w:r>
            <w:r>
              <w:rPr>
                <w:rFonts w:ascii="Consolas" w:hAnsi="Consolas"/>
                <w:color w:val="2E863A"/>
                <w:sz w:val="18"/>
              </w:rPr>
              <w:t>direction_2b</w:t>
            </w:r>
            <w:r>
              <w:rPr>
                <w:color w:val="1A1A2E"/>
                <w:sz w:val="18"/>
              </w:rPr>
            </w:r>
          </w:p>
        </w:tc>
        <w:tc>
          <w:tcPr>
            <w:tcW w:type="dxa" w:w="2340"/>
            <w:vAlign w:val="top"/>
          </w:tcPr>
          <w:p>
            <w:r>
              <w:rPr>
                <w:color w:val="1A1A2E"/>
                <w:sz w:val="18"/>
              </w:rPr>
              <w:t>2 bars (30 min)</w:t>
            </w:r>
          </w:p>
        </w:tc>
        <w:tc>
          <w:tcPr>
            <w:tcW w:type="dxa" w:w="2340"/>
            <w:vAlign w:val="top"/>
          </w:tcPr>
          <w:p>
            <w:r>
              <w:rPr>
                <w:color w:val="1A1A2E"/>
                <w:sz w:val="18"/>
              </w:rPr>
              <w:t>Ternary float64</w:t>
            </w:r>
          </w:p>
        </w:tc>
        <w:tc>
          <w:tcPr>
            <w:tcW w:type="dxa" w:w="2340"/>
            <w:vAlign w:val="top"/>
          </w:tcPr>
          <w:p>
            <w:r>
              <w:rPr>
                <w:color w:val="1A1A2E"/>
                <w:sz w:val="18"/>
              </w:rPr>
              <w:t>0=SELL, 1=HOLD, 2=BUY</w:t>
            </w:r>
          </w:p>
        </w:tc>
      </w:tr>
      <w:tr>
        <w:tc>
          <w:tcPr>
            <w:tcW w:type="dxa" w:w="2340"/>
            <w:vAlign w:val="top"/>
          </w:tcPr>
          <w:p>
            <w:r>
              <w:rPr>
                <w:color w:val="1A1A2E"/>
                <w:sz w:val="18"/>
              </w:rPr>
            </w:r>
            <w:r>
              <w:rPr>
                <w:rFonts w:ascii="Consolas" w:hAnsi="Consolas"/>
                <w:color w:val="2E863A"/>
                <w:sz w:val="18"/>
              </w:rPr>
              <w:t>direction_4b</w:t>
            </w:r>
            <w:r>
              <w:rPr>
                <w:color w:val="1A1A2E"/>
                <w:sz w:val="18"/>
              </w:rPr>
            </w:r>
          </w:p>
        </w:tc>
        <w:tc>
          <w:tcPr>
            <w:tcW w:type="dxa" w:w="2340"/>
            <w:vAlign w:val="top"/>
          </w:tcPr>
          <w:p>
            <w:r>
              <w:rPr>
                <w:color w:val="1A1A2E"/>
                <w:sz w:val="18"/>
              </w:rPr>
              <w:t>4 bars (1 hour)</w:t>
            </w:r>
          </w:p>
        </w:tc>
        <w:tc>
          <w:tcPr>
            <w:tcW w:type="dxa" w:w="2340"/>
            <w:vAlign w:val="top"/>
          </w:tcPr>
          <w:p>
            <w:r>
              <w:rPr>
                <w:color w:val="1A1A2E"/>
                <w:sz w:val="18"/>
              </w:rPr>
              <w:t>Ternary float64</w:t>
            </w:r>
          </w:p>
        </w:tc>
        <w:tc>
          <w:tcPr>
            <w:tcW w:type="dxa" w:w="2340"/>
            <w:vAlign w:val="top"/>
          </w:tcPr>
          <w:p>
            <w:r>
              <w:rPr>
                <w:color w:val="1A1A2E"/>
                <w:sz w:val="18"/>
              </w:rPr>
              <w:t>0=SELL, 1=HOLD, 2=BUY</w:t>
            </w:r>
          </w:p>
        </w:tc>
      </w:tr>
      <w:tr>
        <w:tc>
          <w:tcPr>
            <w:tcW w:type="dxa" w:w="2340"/>
            <w:vAlign w:val="top"/>
          </w:tcPr>
          <w:p>
            <w:r>
              <w:rPr>
                <w:color w:val="1A1A2E"/>
                <w:sz w:val="18"/>
              </w:rPr>
            </w:r>
            <w:r>
              <w:rPr>
                <w:rFonts w:ascii="Consolas" w:hAnsi="Consolas"/>
                <w:color w:val="2E863A"/>
                <w:sz w:val="18"/>
              </w:rPr>
              <w:t>direction_8b</w:t>
            </w:r>
            <w:r>
              <w:rPr>
                <w:color w:val="1A1A2E"/>
                <w:sz w:val="18"/>
              </w:rPr>
            </w:r>
          </w:p>
        </w:tc>
        <w:tc>
          <w:tcPr>
            <w:tcW w:type="dxa" w:w="2340"/>
            <w:vAlign w:val="top"/>
          </w:tcPr>
          <w:p>
            <w:r>
              <w:rPr>
                <w:color w:val="1A1A2E"/>
                <w:sz w:val="18"/>
              </w:rPr>
              <w:t>8 bars (2 hours)</w:t>
            </w:r>
          </w:p>
        </w:tc>
        <w:tc>
          <w:tcPr>
            <w:tcW w:type="dxa" w:w="2340"/>
            <w:vAlign w:val="top"/>
          </w:tcPr>
          <w:p>
            <w:r>
              <w:rPr>
                <w:color w:val="1A1A2E"/>
                <w:sz w:val="18"/>
              </w:rPr>
              <w:t>Ternary float64</w:t>
            </w:r>
          </w:p>
        </w:tc>
        <w:tc>
          <w:tcPr>
            <w:tcW w:type="dxa" w:w="2340"/>
            <w:vAlign w:val="top"/>
          </w:tcPr>
          <w:p>
            <w:r>
              <w:rPr>
                <w:color w:val="1A1A2E"/>
                <w:sz w:val="18"/>
              </w:rPr>
              <w:t>0=SELL, 1=HOLD, 2=BUY</w:t>
            </w:r>
          </w:p>
        </w:tc>
      </w:tr>
      <w:tr>
        <w:tc>
          <w:tcPr>
            <w:tcW w:type="dxa" w:w="2340"/>
            <w:vAlign w:val="top"/>
          </w:tcPr>
          <w:p>
            <w:r>
              <w:rPr>
                <w:color w:val="1A1A2E"/>
                <w:sz w:val="18"/>
              </w:rPr>
            </w:r>
            <w:r>
              <w:rPr>
                <w:rFonts w:ascii="Consolas" w:hAnsi="Consolas"/>
                <w:color w:val="2E863A"/>
                <w:sz w:val="18"/>
              </w:rPr>
              <w:t>direction_16b</w:t>
            </w:r>
            <w:r>
              <w:rPr>
                <w:color w:val="1A1A2E"/>
                <w:sz w:val="18"/>
              </w:rPr>
            </w:r>
          </w:p>
        </w:tc>
        <w:tc>
          <w:tcPr>
            <w:tcW w:type="dxa" w:w="2340"/>
            <w:vAlign w:val="top"/>
          </w:tcPr>
          <w:p>
            <w:r>
              <w:rPr>
                <w:color w:val="1A1A2E"/>
                <w:sz w:val="18"/>
              </w:rPr>
              <w:t>16 bars (4 hours)</w:t>
            </w:r>
          </w:p>
        </w:tc>
        <w:tc>
          <w:tcPr>
            <w:tcW w:type="dxa" w:w="2340"/>
            <w:vAlign w:val="top"/>
          </w:tcPr>
          <w:p>
            <w:r>
              <w:rPr>
                <w:color w:val="1A1A2E"/>
                <w:sz w:val="18"/>
              </w:rPr>
              <w:t>Ternary float64</w:t>
            </w:r>
          </w:p>
        </w:tc>
        <w:tc>
          <w:tcPr>
            <w:tcW w:type="dxa" w:w="2340"/>
            <w:vAlign w:val="top"/>
          </w:tcPr>
          <w:p>
            <w:r>
              <w:rPr>
                <w:color w:val="1A1A2E"/>
                <w:sz w:val="18"/>
              </w:rPr>
              <w:t>0=SELL, 1=HOLD, 2=BUY</w:t>
            </w:r>
          </w:p>
        </w:tc>
      </w:tr>
      <w:tr>
        <w:tc>
          <w:tcPr>
            <w:tcW w:type="dxa" w:w="2340"/>
            <w:vAlign w:val="top"/>
          </w:tcPr>
          <w:p>
            <w:r>
              <w:rPr>
                <w:color w:val="1A1A2E"/>
                <w:sz w:val="18"/>
              </w:rPr>
            </w:r>
            <w:r>
              <w:rPr>
                <w:rFonts w:ascii="Consolas" w:hAnsi="Consolas"/>
                <w:color w:val="2E863A"/>
                <w:sz w:val="18"/>
              </w:rPr>
              <w:t>direction_32b</w:t>
            </w:r>
            <w:r>
              <w:rPr>
                <w:color w:val="1A1A2E"/>
                <w:sz w:val="18"/>
              </w:rPr>
            </w:r>
          </w:p>
        </w:tc>
        <w:tc>
          <w:tcPr>
            <w:tcW w:type="dxa" w:w="2340"/>
            <w:vAlign w:val="top"/>
          </w:tcPr>
          <w:p>
            <w:r>
              <w:rPr>
                <w:color w:val="1A1A2E"/>
                <w:sz w:val="18"/>
              </w:rPr>
              <w:t>32 bars (8 hours)</w:t>
            </w:r>
          </w:p>
        </w:tc>
        <w:tc>
          <w:tcPr>
            <w:tcW w:type="dxa" w:w="2340"/>
            <w:vAlign w:val="top"/>
          </w:tcPr>
          <w:p>
            <w:r>
              <w:rPr>
                <w:color w:val="1A1A2E"/>
                <w:sz w:val="18"/>
              </w:rPr>
              <w:t>Ternary float64</w:t>
            </w:r>
          </w:p>
        </w:tc>
        <w:tc>
          <w:tcPr>
            <w:tcW w:type="dxa" w:w="2340"/>
            <w:vAlign w:val="top"/>
          </w:tcPr>
          <w:p>
            <w:r>
              <w:rPr>
                <w:color w:val="1A1A2E"/>
                <w:sz w:val="18"/>
              </w:rPr>
              <w:t>0=SELL, 1=HOLD, 2=BUY</w:t>
            </w:r>
          </w:p>
        </w:tc>
      </w:tr>
      <w:tr>
        <w:tc>
          <w:tcPr>
            <w:tcW w:type="dxa" w:w="2340"/>
            <w:vAlign w:val="top"/>
          </w:tcPr>
          <w:p>
            <w:r>
              <w:rPr>
                <w:color w:val="1A1A2E"/>
                <w:sz w:val="18"/>
              </w:rPr>
            </w:r>
            <w:r>
              <w:rPr>
                <w:rFonts w:ascii="Consolas" w:hAnsi="Consolas"/>
                <w:color w:val="2E863A"/>
                <w:sz w:val="18"/>
              </w:rPr>
              <w:t>direction_96b</w:t>
            </w:r>
            <w:r>
              <w:rPr>
                <w:color w:val="1A1A2E"/>
                <w:sz w:val="18"/>
              </w:rPr>
            </w:r>
          </w:p>
        </w:tc>
        <w:tc>
          <w:tcPr>
            <w:tcW w:type="dxa" w:w="2340"/>
            <w:vAlign w:val="top"/>
          </w:tcPr>
          <w:p>
            <w:r>
              <w:rPr>
                <w:color w:val="1A1A2E"/>
                <w:sz w:val="18"/>
              </w:rPr>
              <w:t>96 bars (24 hours)</w:t>
            </w:r>
          </w:p>
        </w:tc>
        <w:tc>
          <w:tcPr>
            <w:tcW w:type="dxa" w:w="2340"/>
            <w:vAlign w:val="top"/>
          </w:tcPr>
          <w:p>
            <w:r>
              <w:rPr>
                <w:color w:val="1A1A2E"/>
                <w:sz w:val="18"/>
              </w:rPr>
              <w:t>Ternary float64</w:t>
            </w:r>
          </w:p>
        </w:tc>
        <w:tc>
          <w:tcPr>
            <w:tcW w:type="dxa" w:w="2340"/>
            <w:vAlign w:val="top"/>
          </w:tcPr>
          <w:p>
            <w:r>
              <w:rPr>
                <w:color w:val="1A1A2E"/>
                <w:sz w:val="18"/>
              </w:rPr>
              <w:t>0=SELL, 1=HOLD, 2=BUY</w:t>
            </w:r>
          </w:p>
        </w:tc>
      </w:tr>
    </w:tbl>
    <w:p/>
    <w:p>
      <w:pPr>
        <w:pStyle w:val="Heading3"/>
      </w:pPr>
      <w:r>
        <w:t xml:space="preserve">B.2 Risk/Reward Labels (prefix: </w:t>
      </w:r>
      <w:r>
        <w:rPr>
          <w:rFonts w:ascii="Consolas" w:hAnsi="Consolas"/>
          <w:color w:val="2E863A"/>
          <w:sz w:val="19"/>
        </w:rPr>
        <w:t>rr_</w:t>
      </w:r>
      <w:r>
        <w: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top"/>
            <w:shd w:val="clear" w:color="auto" w:fill="1C2128"/>
          </w:tcPr>
          <w:p>
            <w:r>
              <w:rPr>
                <w:b/>
                <w:color w:val="FFFFFF"/>
                <w:sz w:val="18"/>
              </w:rPr>
              <w:t>Label</w:t>
            </w:r>
          </w:p>
        </w:tc>
        <w:tc>
          <w:tcPr>
            <w:tcW w:type="dxa" w:w="2340"/>
            <w:vAlign w:val="top"/>
            <w:shd w:val="clear" w:color="auto" w:fill="1C2128"/>
          </w:tcPr>
          <w:p>
            <w:r>
              <w:rPr>
                <w:b/>
                <w:color w:val="FFFFFF"/>
                <w:sz w:val="18"/>
              </w:rPr>
              <w:t>SL Multiplier</w:t>
            </w:r>
          </w:p>
        </w:tc>
        <w:tc>
          <w:tcPr>
            <w:tcW w:type="dxa" w:w="2340"/>
            <w:vAlign w:val="top"/>
            <w:shd w:val="clear" w:color="auto" w:fill="1C2128"/>
          </w:tcPr>
          <w:p>
            <w:r>
              <w:rPr>
                <w:b/>
                <w:color w:val="FFFFFF"/>
                <w:sz w:val="18"/>
              </w:rPr>
              <w:t>TP Multiplier</w:t>
            </w:r>
          </w:p>
        </w:tc>
        <w:tc>
          <w:tcPr>
            <w:tcW w:type="dxa" w:w="2340"/>
            <w:vAlign w:val="top"/>
            <w:shd w:val="clear" w:color="auto" w:fill="1C2128"/>
          </w:tcPr>
          <w:p>
            <w:r>
              <w:rPr>
                <w:b/>
                <w:color w:val="FFFFFF"/>
                <w:sz w:val="18"/>
              </w:rPr>
              <w:t>Type</w:t>
            </w:r>
          </w:p>
        </w:tc>
      </w:tr>
      <w:tr>
        <w:tc>
          <w:tcPr>
            <w:tcW w:type="dxa" w:w="2340"/>
            <w:vAlign w:val="top"/>
          </w:tcPr>
          <w:p>
            <w:r>
              <w:rPr>
                <w:color w:val="1A1A2E"/>
                <w:sz w:val="18"/>
              </w:rPr>
            </w:r>
            <w:r>
              <w:rPr>
                <w:rFonts w:ascii="Consolas" w:hAnsi="Consolas"/>
                <w:color w:val="2E863A"/>
                <w:sz w:val="18"/>
              </w:rPr>
              <w:t>rr_1_1_4b</w:t>
            </w:r>
            <w:r>
              <w:rPr>
                <w:color w:val="1A1A2E"/>
                <w:sz w:val="18"/>
              </w:rPr>
            </w:r>
          </w:p>
        </w:tc>
        <w:tc>
          <w:tcPr>
            <w:tcW w:type="dxa" w:w="2340"/>
            <w:vAlign w:val="top"/>
          </w:tcPr>
          <w:p>
            <w:r>
              <w:rPr>
                <w:color w:val="1A1A2E"/>
                <w:sz w:val="18"/>
              </w:rPr>
              <w:t>1.0× ATR</w:t>
            </w:r>
          </w:p>
        </w:tc>
        <w:tc>
          <w:tcPr>
            <w:tcW w:type="dxa" w:w="2340"/>
            <w:vAlign w:val="top"/>
          </w:tcPr>
          <w:p>
            <w:r>
              <w:rPr>
                <w:color w:val="1A1A2E"/>
                <w:sz w:val="18"/>
              </w:rPr>
              <w:t>1.0× ATR</w:t>
            </w:r>
          </w:p>
        </w:tc>
        <w:tc>
          <w:tcPr>
            <w:tcW w:type="dxa" w:w="2340"/>
            <w:vAlign w:val="top"/>
          </w:tcPr>
          <w:p>
            <w:r>
              <w:rPr>
                <w:color w:val="1A1A2E"/>
                <w:sz w:val="18"/>
              </w:rPr>
              <w:t>Ternary (+1/0/−1)</w:t>
            </w:r>
          </w:p>
        </w:tc>
      </w:tr>
      <w:tr>
        <w:tc>
          <w:tcPr>
            <w:tcW w:type="dxa" w:w="2340"/>
            <w:vAlign w:val="top"/>
          </w:tcPr>
          <w:p>
            <w:r>
              <w:rPr>
                <w:color w:val="1A1A2E"/>
                <w:sz w:val="18"/>
              </w:rPr>
            </w:r>
            <w:r>
              <w:rPr>
                <w:rFonts w:ascii="Consolas" w:hAnsi="Consolas"/>
                <w:color w:val="2E863A"/>
                <w:sz w:val="18"/>
              </w:rPr>
              <w:t>rr_1_2_4b</w:t>
            </w:r>
            <w:r>
              <w:rPr>
                <w:color w:val="1A1A2E"/>
                <w:sz w:val="18"/>
              </w:rPr>
            </w:r>
          </w:p>
        </w:tc>
        <w:tc>
          <w:tcPr>
            <w:tcW w:type="dxa" w:w="2340"/>
            <w:vAlign w:val="top"/>
          </w:tcPr>
          <w:p>
            <w:r>
              <w:rPr>
                <w:color w:val="1A1A2E"/>
                <w:sz w:val="18"/>
              </w:rPr>
              <w:t>1.0× ATR</w:t>
            </w:r>
          </w:p>
        </w:tc>
        <w:tc>
          <w:tcPr>
            <w:tcW w:type="dxa" w:w="2340"/>
            <w:vAlign w:val="top"/>
          </w:tcPr>
          <w:p>
            <w:r>
              <w:rPr>
                <w:color w:val="1A1A2E"/>
                <w:sz w:val="18"/>
              </w:rPr>
              <w:t>2.0× ATR</w:t>
            </w:r>
          </w:p>
        </w:tc>
        <w:tc>
          <w:tcPr>
            <w:tcW w:type="dxa" w:w="2340"/>
            <w:vAlign w:val="top"/>
          </w:tcPr>
          <w:p>
            <w:r>
              <w:rPr>
                <w:color w:val="1A1A2E"/>
                <w:sz w:val="18"/>
              </w:rPr>
              <w:t>Ternary (+1/0/−1)</w:t>
            </w:r>
          </w:p>
        </w:tc>
      </w:tr>
      <w:tr>
        <w:tc>
          <w:tcPr>
            <w:tcW w:type="dxa" w:w="2340"/>
            <w:vAlign w:val="top"/>
          </w:tcPr>
          <w:p>
            <w:r>
              <w:rPr>
                <w:color w:val="1A1A2E"/>
                <w:sz w:val="18"/>
              </w:rPr>
            </w:r>
            <w:r>
              <w:rPr>
                <w:rFonts w:ascii="Consolas" w:hAnsi="Consolas"/>
                <w:color w:val="2E863A"/>
                <w:sz w:val="18"/>
              </w:rPr>
              <w:t>rr_1_3_4b</w:t>
            </w:r>
            <w:r>
              <w:rPr>
                <w:color w:val="1A1A2E"/>
                <w:sz w:val="18"/>
              </w:rPr>
            </w:r>
          </w:p>
        </w:tc>
        <w:tc>
          <w:tcPr>
            <w:tcW w:type="dxa" w:w="2340"/>
            <w:vAlign w:val="top"/>
          </w:tcPr>
          <w:p>
            <w:r>
              <w:rPr>
                <w:color w:val="1A1A2E"/>
                <w:sz w:val="18"/>
              </w:rPr>
              <w:t>1.0× ATR</w:t>
            </w:r>
          </w:p>
        </w:tc>
        <w:tc>
          <w:tcPr>
            <w:tcW w:type="dxa" w:w="2340"/>
            <w:vAlign w:val="top"/>
          </w:tcPr>
          <w:p>
            <w:r>
              <w:rPr>
                <w:color w:val="1A1A2E"/>
                <w:sz w:val="18"/>
              </w:rPr>
              <w:t>3.0× ATR</w:t>
            </w:r>
          </w:p>
        </w:tc>
        <w:tc>
          <w:tcPr>
            <w:tcW w:type="dxa" w:w="2340"/>
            <w:vAlign w:val="top"/>
          </w:tcPr>
          <w:p>
            <w:r>
              <w:rPr>
                <w:color w:val="1A1A2E"/>
                <w:sz w:val="18"/>
              </w:rPr>
              <w:t>Ternary (+1/0/−1)</w:t>
            </w:r>
          </w:p>
        </w:tc>
      </w:tr>
      <w:tr>
        <w:tc>
          <w:tcPr>
            <w:tcW w:type="dxa" w:w="2340"/>
            <w:vAlign w:val="top"/>
          </w:tcPr>
          <w:p>
            <w:r>
              <w:rPr>
                <w:color w:val="1A1A2E"/>
                <w:sz w:val="18"/>
              </w:rPr>
            </w:r>
            <w:r>
              <w:rPr>
                <w:rFonts w:ascii="Consolas" w:hAnsi="Consolas"/>
                <w:color w:val="2E863A"/>
                <w:sz w:val="18"/>
              </w:rPr>
              <w:t>rr_15_3_4b</w:t>
            </w:r>
            <w:r>
              <w:rPr>
                <w:color w:val="1A1A2E"/>
                <w:sz w:val="18"/>
              </w:rPr>
            </w:r>
          </w:p>
        </w:tc>
        <w:tc>
          <w:tcPr>
            <w:tcW w:type="dxa" w:w="2340"/>
            <w:vAlign w:val="top"/>
          </w:tcPr>
          <w:p>
            <w:r>
              <w:rPr>
                <w:color w:val="1A1A2E"/>
                <w:sz w:val="18"/>
              </w:rPr>
              <w:t>1.5× ATR</w:t>
            </w:r>
          </w:p>
        </w:tc>
        <w:tc>
          <w:tcPr>
            <w:tcW w:type="dxa" w:w="2340"/>
            <w:vAlign w:val="top"/>
          </w:tcPr>
          <w:p>
            <w:r>
              <w:rPr>
                <w:color w:val="1A1A2E"/>
                <w:sz w:val="18"/>
              </w:rPr>
              <w:t>3.0× ATR</w:t>
            </w:r>
          </w:p>
        </w:tc>
        <w:tc>
          <w:tcPr>
            <w:tcW w:type="dxa" w:w="2340"/>
            <w:vAlign w:val="top"/>
          </w:tcPr>
          <w:p>
            <w:r>
              <w:rPr>
                <w:color w:val="1A1A2E"/>
                <w:sz w:val="18"/>
              </w:rPr>
              <w:t>Ternary (+1/0/−1)</w:t>
            </w:r>
          </w:p>
        </w:tc>
      </w:tr>
    </w:tbl>
    <w:p/>
    <w:p>
      <w:pPr/>
      <w:r>
        <w:t>(Additional variants with different horizons: 8b, 16b)</w:t>
      </w:r>
    </w:p>
    <w:p>
      <w:pPr>
        <w:pStyle w:val="Heading3"/>
      </w:pPr>
      <w:r>
        <w:t xml:space="preserve">B.3 Binary Labels (prefix: </w:t>
      </w:r>
      <w:r>
        <w:rPr>
          <w:rFonts w:ascii="Consolas" w:hAnsi="Consolas"/>
          <w:color w:val="2E863A"/>
          <w:sz w:val="19"/>
        </w:rPr>
        <w:t>binary_</w:t>
      </w:r>
      <w:r>
        <w:t>)</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Label</w:t>
            </w:r>
          </w:p>
        </w:tc>
        <w:tc>
          <w:tcPr>
            <w:tcW w:type="dxa" w:w="3120"/>
            <w:vAlign w:val="top"/>
            <w:shd w:val="clear" w:color="auto" w:fill="1C2128"/>
          </w:tcPr>
          <w:p>
            <w:r>
              <w:rPr>
                <w:b/>
                <w:color w:val="FFFFFF"/>
                <w:sz w:val="18"/>
              </w:rPr>
              <w:t>Horizon</w:t>
            </w:r>
          </w:p>
        </w:tc>
        <w:tc>
          <w:tcPr>
            <w:tcW w:type="dxa" w:w="3120"/>
            <w:vAlign w:val="top"/>
            <w:shd w:val="clear" w:color="auto" w:fill="1C2128"/>
          </w:tcPr>
          <w:p>
            <w:r>
              <w:rPr>
                <w:b/>
                <w:color w:val="FFFFFF"/>
                <w:sz w:val="18"/>
              </w:rPr>
              <w:t>Threshold</w:t>
            </w:r>
          </w:p>
        </w:tc>
      </w:tr>
      <w:tr>
        <w:tc>
          <w:tcPr>
            <w:tcW w:type="dxa" w:w="3120"/>
            <w:vAlign w:val="top"/>
          </w:tcPr>
          <w:p>
            <w:r>
              <w:rPr>
                <w:color w:val="1A1A2E"/>
                <w:sz w:val="18"/>
              </w:rPr>
            </w:r>
            <w:r>
              <w:rPr>
                <w:rFonts w:ascii="Consolas" w:hAnsi="Consolas"/>
                <w:color w:val="2E863A"/>
                <w:sz w:val="18"/>
              </w:rPr>
              <w:t>binary_1b</w:t>
            </w:r>
            <w:r>
              <w:rPr>
                <w:color w:val="1A1A2E"/>
                <w:sz w:val="18"/>
              </w:rPr>
            </w:r>
          </w:p>
        </w:tc>
        <w:tc>
          <w:tcPr>
            <w:tcW w:type="dxa" w:w="3120"/>
            <w:vAlign w:val="top"/>
          </w:tcPr>
          <w:p>
            <w:r>
              <w:rPr>
                <w:color w:val="1A1A2E"/>
                <w:sz w:val="18"/>
              </w:rPr>
              <w:t>1 bar</w:t>
            </w:r>
          </w:p>
        </w:tc>
        <w:tc>
          <w:tcPr>
            <w:tcW w:type="dxa" w:w="3120"/>
            <w:vAlign w:val="top"/>
          </w:tcPr>
          <w:p>
            <w:r>
              <w:rPr>
                <w:color w:val="1A1A2E"/>
                <w:sz w:val="18"/>
              </w:rPr>
              <w:t>0 (any movement)</w:t>
            </w:r>
          </w:p>
        </w:tc>
      </w:tr>
      <w:tr>
        <w:tc>
          <w:tcPr>
            <w:tcW w:type="dxa" w:w="3120"/>
            <w:vAlign w:val="top"/>
          </w:tcPr>
          <w:p>
            <w:r>
              <w:rPr>
                <w:color w:val="1A1A2E"/>
                <w:sz w:val="18"/>
              </w:rPr>
            </w:r>
            <w:r>
              <w:rPr>
                <w:rFonts w:ascii="Consolas" w:hAnsi="Consolas"/>
                <w:color w:val="2E863A"/>
                <w:sz w:val="18"/>
              </w:rPr>
              <w:t>binary_4b</w:t>
            </w:r>
            <w:r>
              <w:rPr>
                <w:color w:val="1A1A2E"/>
                <w:sz w:val="18"/>
              </w:rPr>
            </w:r>
          </w:p>
        </w:tc>
        <w:tc>
          <w:tcPr>
            <w:tcW w:type="dxa" w:w="3120"/>
            <w:vAlign w:val="top"/>
          </w:tcPr>
          <w:p>
            <w:r>
              <w:rPr>
                <w:color w:val="1A1A2E"/>
                <w:sz w:val="18"/>
              </w:rPr>
              <w:t>4 bars</w:t>
            </w:r>
          </w:p>
        </w:tc>
        <w:tc>
          <w:tcPr>
            <w:tcW w:type="dxa" w:w="3120"/>
            <w:vAlign w:val="top"/>
          </w:tcPr>
          <w:p>
            <w:r>
              <w:rPr>
                <w:color w:val="1A1A2E"/>
                <w:sz w:val="18"/>
              </w:rPr>
              <w:t>0 (any movement)</w:t>
            </w:r>
          </w:p>
        </w:tc>
      </w:tr>
      <w:tr>
        <w:tc>
          <w:tcPr>
            <w:tcW w:type="dxa" w:w="3120"/>
            <w:vAlign w:val="top"/>
          </w:tcPr>
          <w:p>
            <w:r>
              <w:rPr>
                <w:color w:val="1A1A2E"/>
                <w:sz w:val="18"/>
              </w:rPr>
            </w:r>
            <w:r>
              <w:rPr>
                <w:rFonts w:ascii="Consolas" w:hAnsi="Consolas"/>
                <w:color w:val="2E863A"/>
                <w:sz w:val="18"/>
              </w:rPr>
              <w:t>binary_8b</w:t>
            </w:r>
            <w:r>
              <w:rPr>
                <w:color w:val="1A1A2E"/>
                <w:sz w:val="18"/>
              </w:rPr>
            </w:r>
          </w:p>
        </w:tc>
        <w:tc>
          <w:tcPr>
            <w:tcW w:type="dxa" w:w="3120"/>
            <w:vAlign w:val="top"/>
          </w:tcPr>
          <w:p>
            <w:r>
              <w:rPr>
                <w:color w:val="1A1A2E"/>
                <w:sz w:val="18"/>
              </w:rPr>
              <w:t>8 bars</w:t>
            </w:r>
          </w:p>
        </w:tc>
        <w:tc>
          <w:tcPr>
            <w:tcW w:type="dxa" w:w="3120"/>
            <w:vAlign w:val="top"/>
          </w:tcPr>
          <w:p>
            <w:r>
              <w:rPr>
                <w:color w:val="1A1A2E"/>
                <w:sz w:val="18"/>
              </w:rPr>
              <w:t>0 (any movement)</w:t>
            </w:r>
          </w:p>
        </w:tc>
      </w:tr>
    </w:tbl>
    <w:p/>
    <w:p>
      <w:pPr>
        <w:pStyle w:val="Heading3"/>
      </w:pPr>
      <w:r>
        <w:t xml:space="preserve">B.4 TP/SL Labels (prefix: </w:t>
      </w:r>
      <w:r>
        <w:rPr>
          <w:rFonts w:ascii="Consolas" w:hAnsi="Consolas"/>
          <w:color w:val="2E863A"/>
          <w:sz w:val="19"/>
        </w:rPr>
        <w:t>tp_sl_</w:t>
      </w:r>
      <w:r>
        <w:t>)</w:t>
      </w:r>
    </w:p>
    <w:p>
      <w:pPr/>
      <w:r>
        <w:t>Labels encoding which of TP or SL was hit first for a given lookahead period and R:R configuration.</w:t>
      </w:r>
    </w:p>
    <w:p>
      <w:pPr>
        <w:pStyle w:val="Heading3"/>
      </w:pPr>
      <w:r>
        <w:t xml:space="preserve">B.5 Regime Labels (prefix: </w:t>
      </w:r>
      <w:r>
        <w:rPr>
          <w:rFonts w:ascii="Consolas" w:hAnsi="Consolas"/>
          <w:color w:val="2E863A"/>
          <w:sz w:val="19"/>
        </w:rPr>
        <w:t>regime_</w:t>
      </w:r>
      <w:r>
        <w:t>)</w:t>
      </w:r>
    </w:p>
    <w:p>
      <w:pPr/>
      <w:r>
        <w:t>Labels encoding market regime classification (trending, ranging, volatile, quiet) for regime-conditional model research.</w:t>
      </w:r>
    </w:p>
    <w:p>
      <w:pPr>
        <w:pStyle w:val="Heading2"/>
      </w:pPr>
      <w:r>
        <w:t>Appendix C — Configuration Reference</w:t>
      </w:r>
    </w:p>
    <w:p>
      <w:pPr>
        <w:pStyle w:val="Heading3"/>
      </w:pPr>
      <w:r>
        <w:t>C.1 Pipeline Constants (config/settings.py)</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Constant</w:t>
            </w:r>
          </w:p>
        </w:tc>
        <w:tc>
          <w:tcPr>
            <w:tcW w:type="dxa" w:w="3120"/>
            <w:vAlign w:val="top"/>
            <w:shd w:val="clear" w:color="auto" w:fill="1C2128"/>
          </w:tcPr>
          <w:p>
            <w:r>
              <w:rPr>
                <w:b/>
                <w:color w:val="FFFFFF"/>
                <w:sz w:val="18"/>
              </w:rPr>
              <w:t>Value</w:t>
            </w:r>
          </w:p>
        </w:tc>
        <w:tc>
          <w:tcPr>
            <w:tcW w:type="dxa" w:w="3120"/>
            <w:vAlign w:val="top"/>
            <w:shd w:val="clear" w:color="auto" w:fill="1C2128"/>
          </w:tcPr>
          <w:p>
            <w:r>
              <w:rPr>
                <w:b/>
                <w:color w:val="FFFFFF"/>
                <w:sz w:val="18"/>
              </w:rPr>
              <w:t>Description</w:t>
            </w:r>
          </w:p>
        </w:tc>
      </w:tr>
      <w:tr>
        <w:tc>
          <w:tcPr>
            <w:tcW w:type="dxa" w:w="3120"/>
            <w:vAlign w:val="top"/>
          </w:tcPr>
          <w:p>
            <w:r>
              <w:rPr>
                <w:color w:val="1A1A2E"/>
                <w:sz w:val="18"/>
              </w:rPr>
            </w:r>
            <w:r>
              <w:rPr>
                <w:rFonts w:ascii="Consolas" w:hAnsi="Consolas"/>
                <w:color w:val="2E863A"/>
                <w:sz w:val="18"/>
              </w:rPr>
              <w:t>BASE_DIR</w:t>
            </w:r>
            <w:r>
              <w:rPr>
                <w:color w:val="1A1A2E"/>
                <w:sz w:val="18"/>
              </w:rPr>
            </w:r>
          </w:p>
        </w:tc>
        <w:tc>
          <w:tcPr>
            <w:tcW w:type="dxa" w:w="3120"/>
            <w:vAlign w:val="top"/>
          </w:tcPr>
          <w:p>
            <w:r>
              <w:rPr>
                <w:color w:val="1A1A2E"/>
                <w:sz w:val="18"/>
              </w:rPr>
              <w:t>Project root</w:t>
            </w:r>
          </w:p>
        </w:tc>
        <w:tc>
          <w:tcPr>
            <w:tcW w:type="dxa" w:w="3120"/>
            <w:vAlign w:val="top"/>
          </w:tcPr>
          <w:p>
            <w:r>
              <w:rPr>
                <w:color w:val="1A1A2E"/>
                <w:sz w:val="18"/>
              </w:rPr>
              <w:t>All paths relative to this</w:t>
            </w:r>
          </w:p>
        </w:tc>
      </w:tr>
      <w:tr>
        <w:tc>
          <w:tcPr>
            <w:tcW w:type="dxa" w:w="3120"/>
            <w:vAlign w:val="top"/>
          </w:tcPr>
          <w:p>
            <w:r>
              <w:rPr>
                <w:color w:val="1A1A2E"/>
                <w:sz w:val="18"/>
              </w:rPr>
            </w:r>
            <w:r>
              <w:rPr>
                <w:rFonts w:ascii="Consolas" w:hAnsi="Consolas"/>
                <w:color w:val="2E863A"/>
                <w:sz w:val="18"/>
              </w:rPr>
              <w:t>SYMBOL</w:t>
            </w:r>
            <w:r>
              <w:rPr>
                <w:color w:val="1A1A2E"/>
                <w:sz w:val="18"/>
              </w:rPr>
            </w:r>
          </w:p>
        </w:tc>
        <w:tc>
          <w:tcPr>
            <w:tcW w:type="dxa" w:w="3120"/>
            <w:vAlign w:val="top"/>
          </w:tcPr>
          <w:p>
            <w:r>
              <w:rPr>
                <w:color w:val="1A1A2E"/>
                <w:sz w:val="18"/>
              </w:rPr>
            </w:r>
            <w:r>
              <w:rPr>
                <w:rFonts w:ascii="Consolas" w:hAnsi="Consolas"/>
                <w:color w:val="2E863A"/>
                <w:sz w:val="18"/>
              </w:rPr>
              <w:t>"EURUSD"</w:t>
            </w:r>
            <w:r>
              <w:rPr>
                <w:color w:val="1A1A2E"/>
                <w:sz w:val="18"/>
              </w:rPr>
            </w:r>
          </w:p>
        </w:tc>
        <w:tc>
          <w:tcPr>
            <w:tcW w:type="dxa" w:w="3120"/>
            <w:vAlign w:val="top"/>
          </w:tcPr>
          <w:p>
            <w:r>
              <w:rPr>
                <w:color w:val="1A1A2E"/>
                <w:sz w:val="18"/>
              </w:rPr>
              <w:t>Trading symbol</w:t>
            </w:r>
          </w:p>
        </w:tc>
      </w:tr>
      <w:tr>
        <w:tc>
          <w:tcPr>
            <w:tcW w:type="dxa" w:w="3120"/>
            <w:vAlign w:val="top"/>
          </w:tcPr>
          <w:p>
            <w:r>
              <w:rPr>
                <w:color w:val="1A1A2E"/>
                <w:sz w:val="18"/>
              </w:rPr>
            </w:r>
            <w:r>
              <w:rPr>
                <w:rFonts w:ascii="Consolas" w:hAnsi="Consolas"/>
                <w:color w:val="2E863A"/>
                <w:sz w:val="18"/>
              </w:rPr>
              <w:t>PRIMARY_TF</w:t>
            </w:r>
            <w:r>
              <w:rPr>
                <w:color w:val="1A1A2E"/>
                <w:sz w:val="18"/>
              </w:rPr>
            </w:r>
          </w:p>
        </w:tc>
        <w:tc>
          <w:tcPr>
            <w:tcW w:type="dxa" w:w="3120"/>
            <w:vAlign w:val="top"/>
          </w:tcPr>
          <w:p>
            <w:r>
              <w:rPr>
                <w:color w:val="1A1A2E"/>
                <w:sz w:val="18"/>
              </w:rPr>
            </w:r>
            <w:r>
              <w:rPr>
                <w:rFonts w:ascii="Consolas" w:hAnsi="Consolas"/>
                <w:color w:val="2E863A"/>
                <w:sz w:val="18"/>
              </w:rPr>
              <w:t>"M15"</w:t>
            </w:r>
            <w:r>
              <w:rPr>
                <w:color w:val="1A1A2E"/>
                <w:sz w:val="18"/>
              </w:rPr>
            </w:r>
          </w:p>
        </w:tc>
        <w:tc>
          <w:tcPr>
            <w:tcW w:type="dxa" w:w="3120"/>
            <w:vAlign w:val="top"/>
          </w:tcPr>
          <w:p>
            <w:r>
              <w:rPr>
                <w:color w:val="1A1A2E"/>
                <w:sz w:val="18"/>
              </w:rPr>
              <w:t>Primary timeframe</w:t>
            </w:r>
          </w:p>
        </w:tc>
      </w:tr>
      <w:tr>
        <w:tc>
          <w:tcPr>
            <w:tcW w:type="dxa" w:w="3120"/>
            <w:vAlign w:val="top"/>
          </w:tcPr>
          <w:p>
            <w:r>
              <w:rPr>
                <w:color w:val="1A1A2E"/>
                <w:sz w:val="18"/>
              </w:rPr>
            </w:r>
            <w:r>
              <w:rPr>
                <w:rFonts w:ascii="Consolas" w:hAnsi="Consolas"/>
                <w:color w:val="2E863A"/>
                <w:sz w:val="18"/>
              </w:rPr>
              <w:t>TIMEFRAMES</w:t>
            </w:r>
            <w:r>
              <w:rPr>
                <w:color w:val="1A1A2E"/>
                <w:sz w:val="18"/>
              </w:rPr>
            </w:r>
          </w:p>
        </w:tc>
        <w:tc>
          <w:tcPr>
            <w:tcW w:type="dxa" w:w="3120"/>
            <w:vAlign w:val="top"/>
          </w:tcPr>
          <w:p>
            <w:r>
              <w:rPr>
                <w:color w:val="1A1A2E"/>
                <w:sz w:val="18"/>
              </w:rPr>
            </w:r>
            <w:r>
              <w:rPr>
                <w:rFonts w:ascii="Consolas" w:hAnsi="Consolas"/>
                <w:color w:val="2E863A"/>
                <w:sz w:val="18"/>
              </w:rPr>
              <w:t>["W1","D1","H4","H1","M15"]</w:t>
            </w:r>
            <w:r>
              <w:rPr>
                <w:color w:val="1A1A2E"/>
                <w:sz w:val="18"/>
              </w:rPr>
            </w:r>
          </w:p>
        </w:tc>
        <w:tc>
          <w:tcPr>
            <w:tcW w:type="dxa" w:w="3120"/>
            <w:vAlign w:val="top"/>
          </w:tcPr>
          <w:p>
            <w:r>
              <w:rPr>
                <w:color w:val="1A1A2E"/>
                <w:sz w:val="18"/>
              </w:rPr>
              <w:t>All timeframes</w:t>
            </w:r>
          </w:p>
        </w:tc>
      </w:tr>
      <w:tr>
        <w:tc>
          <w:tcPr>
            <w:tcW w:type="dxa" w:w="3120"/>
            <w:vAlign w:val="top"/>
          </w:tcPr>
          <w:p>
            <w:r>
              <w:rPr>
                <w:color w:val="1A1A2E"/>
                <w:sz w:val="18"/>
              </w:rPr>
            </w:r>
            <w:r>
              <w:rPr>
                <w:rFonts w:ascii="Consolas" w:hAnsi="Consolas"/>
                <w:color w:val="2E863A"/>
                <w:sz w:val="18"/>
              </w:rPr>
              <w:t>RANDOM_SEED</w:t>
            </w:r>
            <w:r>
              <w:rPr>
                <w:color w:val="1A1A2E"/>
                <w:sz w:val="18"/>
              </w:rPr>
            </w:r>
          </w:p>
        </w:tc>
        <w:tc>
          <w:tcPr>
            <w:tcW w:type="dxa" w:w="3120"/>
            <w:vAlign w:val="top"/>
          </w:tcPr>
          <w:p>
            <w:r>
              <w:rPr>
                <w:color w:val="1A1A2E"/>
                <w:sz w:val="18"/>
              </w:rPr>
            </w:r>
            <w:r>
              <w:rPr>
                <w:rFonts w:ascii="Consolas" w:hAnsi="Consolas"/>
                <w:color w:val="2E863A"/>
                <w:sz w:val="18"/>
              </w:rPr>
              <w:t>42</w:t>
            </w:r>
            <w:r>
              <w:rPr>
                <w:color w:val="1A1A2E"/>
                <w:sz w:val="18"/>
              </w:rPr>
            </w:r>
          </w:p>
        </w:tc>
        <w:tc>
          <w:tcPr>
            <w:tcW w:type="dxa" w:w="3120"/>
            <w:vAlign w:val="top"/>
          </w:tcPr>
          <w:p>
            <w:r>
              <w:rPr>
                <w:color w:val="1A1A2E"/>
                <w:sz w:val="18"/>
              </w:rPr>
              <w:t>Global reproducibility seed</w:t>
            </w:r>
          </w:p>
        </w:tc>
      </w:tr>
      <w:tr>
        <w:tc>
          <w:tcPr>
            <w:tcW w:type="dxa" w:w="3120"/>
            <w:vAlign w:val="top"/>
          </w:tcPr>
          <w:p>
            <w:r>
              <w:rPr>
                <w:color w:val="1A1A2E"/>
                <w:sz w:val="18"/>
              </w:rPr>
            </w:r>
            <w:r>
              <w:rPr>
                <w:rFonts w:ascii="Consolas" w:hAnsi="Consolas"/>
                <w:color w:val="2E863A"/>
                <w:sz w:val="18"/>
              </w:rPr>
              <w:t>SCHEMA_VERSION</w:t>
            </w:r>
            <w:r>
              <w:rPr>
                <w:color w:val="1A1A2E"/>
                <w:sz w:val="18"/>
              </w:rPr>
            </w:r>
          </w:p>
        </w:tc>
        <w:tc>
          <w:tcPr>
            <w:tcW w:type="dxa" w:w="3120"/>
            <w:vAlign w:val="top"/>
          </w:tcPr>
          <w:p>
            <w:r>
              <w:rPr>
                <w:color w:val="1A1A2E"/>
                <w:sz w:val="18"/>
              </w:rPr>
            </w:r>
            <w:r>
              <w:rPr>
                <w:rFonts w:ascii="Consolas" w:hAnsi="Consolas"/>
                <w:color w:val="2E863A"/>
                <w:sz w:val="18"/>
              </w:rPr>
              <w:t>"1.0.0"</w:t>
            </w:r>
            <w:r>
              <w:rPr>
                <w:color w:val="1A1A2E"/>
                <w:sz w:val="18"/>
              </w:rPr>
            </w:r>
          </w:p>
        </w:tc>
        <w:tc>
          <w:tcPr>
            <w:tcW w:type="dxa" w:w="3120"/>
            <w:vAlign w:val="top"/>
          </w:tcPr>
          <w:p>
            <w:r>
              <w:rPr>
                <w:color w:val="1A1A2E"/>
                <w:sz w:val="18"/>
              </w:rPr>
              <w:t>Feature schema version</w:t>
            </w:r>
          </w:p>
        </w:tc>
      </w:tr>
      <w:tr>
        <w:tc>
          <w:tcPr>
            <w:tcW w:type="dxa" w:w="3120"/>
            <w:vAlign w:val="top"/>
          </w:tcPr>
          <w:p>
            <w:r>
              <w:rPr>
                <w:color w:val="1A1A2E"/>
                <w:sz w:val="18"/>
              </w:rPr>
            </w:r>
            <w:r>
              <w:rPr>
                <w:rFonts w:ascii="Consolas" w:hAnsi="Consolas"/>
                <w:color w:val="2E863A"/>
                <w:sz w:val="18"/>
              </w:rPr>
              <w:t>LABEL_VERSION</w:t>
            </w:r>
            <w:r>
              <w:rPr>
                <w:color w:val="1A1A2E"/>
                <w:sz w:val="18"/>
              </w:rPr>
            </w:r>
          </w:p>
        </w:tc>
        <w:tc>
          <w:tcPr>
            <w:tcW w:type="dxa" w:w="3120"/>
            <w:vAlign w:val="top"/>
          </w:tcPr>
          <w:p>
            <w:r>
              <w:rPr>
                <w:color w:val="1A1A2E"/>
                <w:sz w:val="18"/>
              </w:rPr>
            </w:r>
            <w:r>
              <w:rPr>
                <w:rFonts w:ascii="Consolas" w:hAnsi="Consolas"/>
                <w:color w:val="2E863A"/>
                <w:sz w:val="18"/>
              </w:rPr>
              <w:t>"1.0.0"</w:t>
            </w:r>
            <w:r>
              <w:rPr>
                <w:color w:val="1A1A2E"/>
                <w:sz w:val="18"/>
              </w:rPr>
            </w:r>
          </w:p>
        </w:tc>
        <w:tc>
          <w:tcPr>
            <w:tcW w:type="dxa" w:w="3120"/>
            <w:vAlign w:val="top"/>
          </w:tcPr>
          <w:p>
            <w:r>
              <w:rPr>
                <w:color w:val="1A1A2E"/>
                <w:sz w:val="18"/>
              </w:rPr>
              <w:t>Label schema version</w:t>
            </w:r>
          </w:p>
        </w:tc>
      </w:tr>
      <w:tr>
        <w:tc>
          <w:tcPr>
            <w:tcW w:type="dxa" w:w="3120"/>
            <w:vAlign w:val="top"/>
          </w:tcPr>
          <w:p>
            <w:r>
              <w:rPr>
                <w:color w:val="1A1A2E"/>
                <w:sz w:val="18"/>
              </w:rPr>
            </w:r>
            <w:r>
              <w:rPr>
                <w:rFonts w:ascii="Consolas" w:hAnsi="Consolas"/>
                <w:color w:val="2E863A"/>
                <w:sz w:val="18"/>
              </w:rPr>
              <w:t>TARGET_COLUMN</w:t>
            </w:r>
            <w:r>
              <w:rPr>
                <w:color w:val="1A1A2E"/>
                <w:sz w:val="18"/>
              </w:rPr>
            </w:r>
          </w:p>
        </w:tc>
        <w:tc>
          <w:tcPr>
            <w:tcW w:type="dxa" w:w="3120"/>
            <w:vAlign w:val="top"/>
          </w:tcPr>
          <w:p>
            <w:r>
              <w:rPr>
                <w:color w:val="1A1A2E"/>
                <w:sz w:val="18"/>
              </w:rPr>
            </w:r>
            <w:r>
              <w:rPr>
                <w:rFonts w:ascii="Consolas" w:hAnsi="Consolas"/>
                <w:color w:val="2E863A"/>
                <w:sz w:val="18"/>
              </w:rPr>
              <w:t>"direction_1b"</w:t>
            </w:r>
            <w:r>
              <w:rPr>
                <w:color w:val="1A1A2E"/>
                <w:sz w:val="18"/>
              </w:rPr>
            </w:r>
          </w:p>
        </w:tc>
        <w:tc>
          <w:tcPr>
            <w:tcW w:type="dxa" w:w="3120"/>
            <w:vAlign w:val="top"/>
          </w:tcPr>
          <w:p>
            <w:r>
              <w:rPr>
                <w:color w:val="1A1A2E"/>
                <w:sz w:val="18"/>
              </w:rPr>
              <w:t>Primary ML target</w:t>
            </w:r>
          </w:p>
        </w:tc>
      </w:tr>
      <w:tr>
        <w:tc>
          <w:tcPr>
            <w:tcW w:type="dxa" w:w="3120"/>
            <w:vAlign w:val="top"/>
          </w:tcPr>
          <w:p>
            <w:r>
              <w:rPr>
                <w:color w:val="1A1A2E"/>
                <w:sz w:val="18"/>
              </w:rPr>
            </w:r>
            <w:r>
              <w:rPr>
                <w:rFonts w:ascii="Consolas" w:hAnsi="Consolas"/>
                <w:color w:val="2E863A"/>
                <w:sz w:val="18"/>
              </w:rPr>
              <w:t>N_WALK_FORWARD_WINDOWS</w:t>
            </w:r>
            <w:r>
              <w:rPr>
                <w:color w:val="1A1A2E"/>
                <w:sz w:val="18"/>
              </w:rPr>
            </w:r>
          </w:p>
        </w:tc>
        <w:tc>
          <w:tcPr>
            <w:tcW w:type="dxa" w:w="3120"/>
            <w:vAlign w:val="top"/>
          </w:tcPr>
          <w:p>
            <w:r>
              <w:rPr>
                <w:color w:val="1A1A2E"/>
                <w:sz w:val="18"/>
              </w:rPr>
            </w:r>
            <w:r>
              <w:rPr>
                <w:rFonts w:ascii="Consolas" w:hAnsi="Consolas"/>
                <w:color w:val="2E863A"/>
                <w:sz w:val="18"/>
              </w:rPr>
              <w:t>6</w:t>
            </w:r>
            <w:r>
              <w:rPr>
                <w:color w:val="1A1A2E"/>
                <w:sz w:val="18"/>
              </w:rPr>
            </w:r>
          </w:p>
        </w:tc>
        <w:tc>
          <w:tcPr>
            <w:tcW w:type="dxa" w:w="3120"/>
            <w:vAlign w:val="top"/>
          </w:tcPr>
          <w:p>
            <w:r>
              <w:rPr>
                <w:color w:val="1A1A2E"/>
                <w:sz w:val="18"/>
              </w:rPr>
              <w:t>Number of WF windows</w:t>
            </w:r>
          </w:p>
        </w:tc>
      </w:tr>
      <w:tr>
        <w:tc>
          <w:tcPr>
            <w:tcW w:type="dxa" w:w="3120"/>
            <w:vAlign w:val="top"/>
          </w:tcPr>
          <w:p>
            <w:r>
              <w:rPr>
                <w:color w:val="1A1A2E"/>
                <w:sz w:val="18"/>
              </w:rPr>
            </w:r>
            <w:r>
              <w:rPr>
                <w:rFonts w:ascii="Consolas" w:hAnsi="Consolas"/>
                <w:color w:val="2E863A"/>
                <w:sz w:val="18"/>
              </w:rPr>
              <w:t>WF_TRAIN_MONTHS</w:t>
            </w:r>
            <w:r>
              <w:rPr>
                <w:color w:val="1A1A2E"/>
                <w:sz w:val="18"/>
              </w:rPr>
            </w:r>
          </w:p>
        </w:tc>
        <w:tc>
          <w:tcPr>
            <w:tcW w:type="dxa" w:w="3120"/>
            <w:vAlign w:val="top"/>
          </w:tcPr>
          <w:p>
            <w:r>
              <w:rPr>
                <w:color w:val="1A1A2E"/>
                <w:sz w:val="18"/>
              </w:rPr>
            </w:r>
            <w:r>
              <w:rPr>
                <w:rFonts w:ascii="Consolas" w:hAnsi="Consolas"/>
                <w:color w:val="2E863A"/>
                <w:sz w:val="18"/>
              </w:rPr>
              <w:t>18</w:t>
            </w:r>
            <w:r>
              <w:rPr>
                <w:color w:val="1A1A2E"/>
                <w:sz w:val="18"/>
              </w:rPr>
            </w:r>
          </w:p>
        </w:tc>
        <w:tc>
          <w:tcPr>
            <w:tcW w:type="dxa" w:w="3120"/>
            <w:vAlign w:val="top"/>
          </w:tcPr>
          <w:p>
            <w:r>
              <w:rPr>
                <w:color w:val="1A1A2E"/>
                <w:sz w:val="18"/>
              </w:rPr>
              <w:t>Walk-forward training period</w:t>
            </w:r>
          </w:p>
        </w:tc>
      </w:tr>
      <w:tr>
        <w:tc>
          <w:tcPr>
            <w:tcW w:type="dxa" w:w="3120"/>
            <w:vAlign w:val="top"/>
          </w:tcPr>
          <w:p>
            <w:r>
              <w:rPr>
                <w:color w:val="1A1A2E"/>
                <w:sz w:val="18"/>
              </w:rPr>
            </w:r>
            <w:r>
              <w:rPr>
                <w:rFonts w:ascii="Consolas" w:hAnsi="Consolas"/>
                <w:color w:val="2E863A"/>
                <w:sz w:val="18"/>
              </w:rPr>
              <w:t>WF_VAL_MONTHS</w:t>
            </w:r>
            <w:r>
              <w:rPr>
                <w:color w:val="1A1A2E"/>
                <w:sz w:val="18"/>
              </w:rPr>
            </w:r>
          </w:p>
        </w:tc>
        <w:tc>
          <w:tcPr>
            <w:tcW w:type="dxa" w:w="3120"/>
            <w:vAlign w:val="top"/>
          </w:tcPr>
          <w:p>
            <w:r>
              <w:rPr>
                <w:color w:val="1A1A2E"/>
                <w:sz w:val="18"/>
              </w:rPr>
            </w:r>
            <w:r>
              <w:rPr>
                <w:rFonts w:ascii="Consolas" w:hAnsi="Consolas"/>
                <w:color w:val="2E863A"/>
                <w:sz w:val="18"/>
              </w:rPr>
              <w:t>6</w:t>
            </w:r>
            <w:r>
              <w:rPr>
                <w:color w:val="1A1A2E"/>
                <w:sz w:val="18"/>
              </w:rPr>
            </w:r>
          </w:p>
        </w:tc>
        <w:tc>
          <w:tcPr>
            <w:tcW w:type="dxa" w:w="3120"/>
            <w:vAlign w:val="top"/>
          </w:tcPr>
          <w:p>
            <w:r>
              <w:rPr>
                <w:color w:val="1A1A2E"/>
                <w:sz w:val="18"/>
              </w:rPr>
              <w:t>Walk-forward validation period</w:t>
            </w:r>
          </w:p>
        </w:tc>
      </w:tr>
      <w:tr>
        <w:tc>
          <w:tcPr>
            <w:tcW w:type="dxa" w:w="3120"/>
            <w:vAlign w:val="top"/>
          </w:tcPr>
          <w:p>
            <w:r>
              <w:rPr>
                <w:color w:val="1A1A2E"/>
                <w:sz w:val="18"/>
              </w:rPr>
            </w:r>
            <w:r>
              <w:rPr>
                <w:rFonts w:ascii="Consolas" w:hAnsi="Consolas"/>
                <w:color w:val="2E863A"/>
                <w:sz w:val="18"/>
              </w:rPr>
              <w:t>WF_TEST_MONTHS</w:t>
            </w:r>
            <w:r>
              <w:rPr>
                <w:color w:val="1A1A2E"/>
                <w:sz w:val="18"/>
              </w:rPr>
            </w:r>
          </w:p>
        </w:tc>
        <w:tc>
          <w:tcPr>
            <w:tcW w:type="dxa" w:w="3120"/>
            <w:vAlign w:val="top"/>
          </w:tcPr>
          <w:p>
            <w:r>
              <w:rPr>
                <w:color w:val="1A1A2E"/>
                <w:sz w:val="18"/>
              </w:rPr>
            </w:r>
            <w:r>
              <w:rPr>
                <w:rFonts w:ascii="Consolas" w:hAnsi="Consolas"/>
                <w:color w:val="2E863A"/>
                <w:sz w:val="18"/>
              </w:rPr>
              <w:t>3</w:t>
            </w:r>
            <w:r>
              <w:rPr>
                <w:color w:val="1A1A2E"/>
                <w:sz w:val="18"/>
              </w:rPr>
            </w:r>
          </w:p>
        </w:tc>
        <w:tc>
          <w:tcPr>
            <w:tcW w:type="dxa" w:w="3120"/>
            <w:vAlign w:val="top"/>
          </w:tcPr>
          <w:p>
            <w:r>
              <w:rPr>
                <w:color w:val="1A1A2E"/>
                <w:sz w:val="18"/>
              </w:rPr>
              <w:t>Walk-forward test period</w:t>
            </w:r>
          </w:p>
        </w:tc>
      </w:tr>
      <w:tr>
        <w:tc>
          <w:tcPr>
            <w:tcW w:type="dxa" w:w="3120"/>
            <w:vAlign w:val="top"/>
          </w:tcPr>
          <w:p>
            <w:r>
              <w:rPr>
                <w:color w:val="1A1A2E"/>
                <w:sz w:val="18"/>
              </w:rPr>
            </w:r>
            <w:r>
              <w:rPr>
                <w:rFonts w:ascii="Consolas" w:hAnsi="Consolas"/>
                <w:color w:val="2E863A"/>
                <w:sz w:val="18"/>
              </w:rPr>
              <w:t>WF_STEP_MONTHS</w:t>
            </w:r>
            <w:r>
              <w:rPr>
                <w:color w:val="1A1A2E"/>
                <w:sz w:val="18"/>
              </w:rPr>
            </w:r>
          </w:p>
        </w:tc>
        <w:tc>
          <w:tcPr>
            <w:tcW w:type="dxa" w:w="3120"/>
            <w:vAlign w:val="top"/>
          </w:tcPr>
          <w:p>
            <w:r>
              <w:rPr>
                <w:color w:val="1A1A2E"/>
                <w:sz w:val="18"/>
              </w:rPr>
            </w:r>
            <w:r>
              <w:rPr>
                <w:rFonts w:ascii="Consolas" w:hAnsi="Consolas"/>
                <w:color w:val="2E863A"/>
                <w:sz w:val="18"/>
              </w:rPr>
              <w:t>3</w:t>
            </w:r>
            <w:r>
              <w:rPr>
                <w:color w:val="1A1A2E"/>
                <w:sz w:val="18"/>
              </w:rPr>
            </w:r>
          </w:p>
        </w:tc>
        <w:tc>
          <w:tcPr>
            <w:tcW w:type="dxa" w:w="3120"/>
            <w:vAlign w:val="top"/>
          </w:tcPr>
          <w:p>
            <w:r>
              <w:rPr>
                <w:color w:val="1A1A2E"/>
                <w:sz w:val="18"/>
              </w:rPr>
              <w:t>Walk-forward step size</w:t>
            </w:r>
          </w:p>
        </w:tc>
      </w:tr>
      <w:tr>
        <w:tc>
          <w:tcPr>
            <w:tcW w:type="dxa" w:w="3120"/>
            <w:vAlign w:val="top"/>
          </w:tcPr>
          <w:p>
            <w:r>
              <w:rPr>
                <w:color w:val="1A1A2E"/>
                <w:sz w:val="18"/>
              </w:rPr>
            </w:r>
            <w:r>
              <w:rPr>
                <w:rFonts w:ascii="Consolas" w:hAnsi="Consolas"/>
                <w:color w:val="2E863A"/>
                <w:sz w:val="18"/>
              </w:rPr>
              <w:t>N_OPT_TRIALS</w:t>
            </w:r>
            <w:r>
              <w:rPr>
                <w:color w:val="1A1A2E"/>
                <w:sz w:val="18"/>
              </w:rPr>
            </w:r>
          </w:p>
        </w:tc>
        <w:tc>
          <w:tcPr>
            <w:tcW w:type="dxa" w:w="3120"/>
            <w:vAlign w:val="top"/>
          </w:tcPr>
          <w:p>
            <w:r>
              <w:rPr>
                <w:color w:val="1A1A2E"/>
                <w:sz w:val="18"/>
              </w:rPr>
            </w:r>
            <w:r>
              <w:rPr>
                <w:rFonts w:ascii="Consolas" w:hAnsi="Consolas"/>
                <w:color w:val="2E863A"/>
                <w:sz w:val="18"/>
              </w:rPr>
              <w:t>25</w:t>
            </w:r>
            <w:r>
              <w:rPr>
                <w:color w:val="1A1A2E"/>
                <w:sz w:val="18"/>
              </w:rPr>
            </w:r>
          </w:p>
        </w:tc>
        <w:tc>
          <w:tcPr>
            <w:tcW w:type="dxa" w:w="3120"/>
            <w:vAlign w:val="top"/>
          </w:tcPr>
          <w:p>
            <w:r>
              <w:rPr>
                <w:color w:val="1A1A2E"/>
                <w:sz w:val="18"/>
              </w:rPr>
              <w:t>Optuna trials per study</w:t>
            </w:r>
          </w:p>
        </w:tc>
      </w:tr>
      <w:tr>
        <w:tc>
          <w:tcPr>
            <w:tcW w:type="dxa" w:w="3120"/>
            <w:vAlign w:val="top"/>
          </w:tcPr>
          <w:p>
            <w:r>
              <w:rPr>
                <w:color w:val="1A1A2E"/>
                <w:sz w:val="18"/>
              </w:rPr>
            </w:r>
            <w:r>
              <w:rPr>
                <w:rFonts w:ascii="Consolas" w:hAnsi="Consolas"/>
                <w:color w:val="2E863A"/>
                <w:sz w:val="18"/>
              </w:rPr>
              <w:t>INITIAL_CAPITAL</w:t>
            </w:r>
            <w:r>
              <w:rPr>
                <w:color w:val="1A1A2E"/>
                <w:sz w:val="18"/>
              </w:rPr>
            </w:r>
          </w:p>
        </w:tc>
        <w:tc>
          <w:tcPr>
            <w:tcW w:type="dxa" w:w="3120"/>
            <w:vAlign w:val="top"/>
          </w:tcPr>
          <w:p>
            <w:r>
              <w:rPr>
                <w:color w:val="1A1A2E"/>
                <w:sz w:val="18"/>
              </w:rPr>
            </w:r>
            <w:r>
              <w:rPr>
                <w:rFonts w:ascii="Consolas" w:hAnsi="Consolas"/>
                <w:color w:val="2E863A"/>
                <w:sz w:val="18"/>
              </w:rPr>
              <w:t>10000.0</w:t>
            </w:r>
            <w:r>
              <w:rPr>
                <w:color w:val="1A1A2E"/>
                <w:sz w:val="18"/>
              </w:rPr>
            </w:r>
          </w:p>
        </w:tc>
        <w:tc>
          <w:tcPr>
            <w:tcW w:type="dxa" w:w="3120"/>
            <w:vAlign w:val="top"/>
          </w:tcPr>
          <w:p>
            <w:r>
              <w:rPr>
                <w:color w:val="1A1A2E"/>
                <w:sz w:val="18"/>
              </w:rPr>
              <w:t>Backtest starting capital</w:t>
            </w:r>
          </w:p>
        </w:tc>
      </w:tr>
      <w:tr>
        <w:tc>
          <w:tcPr>
            <w:tcW w:type="dxa" w:w="3120"/>
            <w:vAlign w:val="top"/>
          </w:tcPr>
          <w:p>
            <w:r>
              <w:rPr>
                <w:color w:val="1A1A2E"/>
                <w:sz w:val="18"/>
              </w:rPr>
            </w:r>
            <w:r>
              <w:rPr>
                <w:rFonts w:ascii="Consolas" w:hAnsi="Consolas"/>
                <w:color w:val="2E863A"/>
                <w:sz w:val="18"/>
              </w:rPr>
              <w:t>MIN_PROBABILITY</w:t>
            </w:r>
            <w:r>
              <w:rPr>
                <w:color w:val="1A1A2E"/>
                <w:sz w:val="18"/>
              </w:rPr>
            </w:r>
          </w:p>
        </w:tc>
        <w:tc>
          <w:tcPr>
            <w:tcW w:type="dxa" w:w="3120"/>
            <w:vAlign w:val="top"/>
          </w:tcPr>
          <w:p>
            <w:r>
              <w:rPr>
                <w:color w:val="1A1A2E"/>
                <w:sz w:val="18"/>
              </w:rPr>
            </w:r>
            <w:r>
              <w:rPr>
                <w:rFonts w:ascii="Consolas" w:hAnsi="Consolas"/>
                <w:color w:val="2E863A"/>
                <w:sz w:val="18"/>
              </w:rPr>
              <w:t>0.60</w:t>
            </w:r>
            <w:r>
              <w:rPr>
                <w:color w:val="1A1A2E"/>
                <w:sz w:val="18"/>
              </w:rPr>
            </w:r>
          </w:p>
        </w:tc>
        <w:tc>
          <w:tcPr>
            <w:tcW w:type="dxa" w:w="3120"/>
            <w:vAlign w:val="top"/>
          </w:tcPr>
          <w:p>
            <w:r>
              <w:rPr>
                <w:color w:val="1A1A2E"/>
                <w:sz w:val="18"/>
              </w:rPr>
              <w:t>Signal confidence threshold</w:t>
            </w:r>
          </w:p>
        </w:tc>
      </w:tr>
      <w:tr>
        <w:tc>
          <w:tcPr>
            <w:tcW w:type="dxa" w:w="3120"/>
            <w:vAlign w:val="top"/>
          </w:tcPr>
          <w:p>
            <w:r>
              <w:rPr>
                <w:color w:val="1A1A2E"/>
                <w:sz w:val="18"/>
              </w:rPr>
            </w:r>
            <w:r>
              <w:rPr>
                <w:rFonts w:ascii="Consolas" w:hAnsi="Consolas"/>
                <w:color w:val="2E863A"/>
                <w:sz w:val="18"/>
              </w:rPr>
              <w:t>RISK_PCT</w:t>
            </w:r>
            <w:r>
              <w:rPr>
                <w:color w:val="1A1A2E"/>
                <w:sz w:val="18"/>
              </w:rPr>
            </w:r>
          </w:p>
        </w:tc>
        <w:tc>
          <w:tcPr>
            <w:tcW w:type="dxa" w:w="3120"/>
            <w:vAlign w:val="top"/>
          </w:tcPr>
          <w:p>
            <w:r>
              <w:rPr>
                <w:color w:val="1A1A2E"/>
                <w:sz w:val="18"/>
              </w:rPr>
            </w:r>
            <w:r>
              <w:rPr>
                <w:rFonts w:ascii="Consolas" w:hAnsi="Consolas"/>
                <w:color w:val="2E863A"/>
                <w:sz w:val="18"/>
              </w:rPr>
              <w:t>0.01</w:t>
            </w:r>
            <w:r>
              <w:rPr>
                <w:color w:val="1A1A2E"/>
                <w:sz w:val="18"/>
              </w:rPr>
            </w:r>
          </w:p>
        </w:tc>
        <w:tc>
          <w:tcPr>
            <w:tcW w:type="dxa" w:w="3120"/>
            <w:vAlign w:val="top"/>
          </w:tcPr>
          <w:p>
            <w:r>
              <w:rPr>
                <w:color w:val="1A1A2E"/>
                <w:sz w:val="18"/>
              </w:rPr>
              <w:t>Position risk per trade</w:t>
            </w:r>
          </w:p>
        </w:tc>
      </w:tr>
      <w:tr>
        <w:tc>
          <w:tcPr>
            <w:tcW w:type="dxa" w:w="3120"/>
            <w:vAlign w:val="top"/>
          </w:tcPr>
          <w:p>
            <w:r>
              <w:rPr>
                <w:color w:val="1A1A2E"/>
                <w:sz w:val="18"/>
              </w:rPr>
            </w:r>
            <w:r>
              <w:rPr>
                <w:rFonts w:ascii="Consolas" w:hAnsi="Consolas"/>
                <w:color w:val="2E863A"/>
                <w:sz w:val="18"/>
              </w:rPr>
              <w:t>SPREAD_PIPS</w:t>
            </w:r>
            <w:r>
              <w:rPr>
                <w:color w:val="1A1A2E"/>
                <w:sz w:val="18"/>
              </w:rPr>
            </w:r>
          </w:p>
        </w:tc>
        <w:tc>
          <w:tcPr>
            <w:tcW w:type="dxa" w:w="3120"/>
            <w:vAlign w:val="top"/>
          </w:tcPr>
          <w:p>
            <w:r>
              <w:rPr>
                <w:color w:val="1A1A2E"/>
                <w:sz w:val="18"/>
              </w:rPr>
            </w:r>
            <w:r>
              <w:rPr>
                <w:rFonts w:ascii="Consolas" w:hAnsi="Consolas"/>
                <w:color w:val="2E863A"/>
                <w:sz w:val="18"/>
              </w:rPr>
              <w:t>2.0</w:t>
            </w:r>
            <w:r>
              <w:rPr>
                <w:color w:val="1A1A2E"/>
                <w:sz w:val="18"/>
              </w:rPr>
            </w:r>
          </w:p>
        </w:tc>
        <w:tc>
          <w:tcPr>
            <w:tcW w:type="dxa" w:w="3120"/>
            <w:vAlign w:val="top"/>
          </w:tcPr>
          <w:p>
            <w:r>
              <w:rPr>
                <w:color w:val="1A1A2E"/>
                <w:sz w:val="18"/>
              </w:rPr>
              <w:t>Simulated spread</w:t>
            </w:r>
          </w:p>
        </w:tc>
      </w:tr>
      <w:tr>
        <w:tc>
          <w:tcPr>
            <w:tcW w:type="dxa" w:w="3120"/>
            <w:vAlign w:val="top"/>
          </w:tcPr>
          <w:p>
            <w:r>
              <w:rPr>
                <w:color w:val="1A1A2E"/>
                <w:sz w:val="18"/>
              </w:rPr>
            </w:r>
            <w:r>
              <w:rPr>
                <w:rFonts w:ascii="Consolas" w:hAnsi="Consolas"/>
                <w:color w:val="2E863A"/>
                <w:sz w:val="18"/>
              </w:rPr>
              <w:t>COMMISSION_PER_LOT</w:t>
            </w:r>
            <w:r>
              <w:rPr>
                <w:color w:val="1A1A2E"/>
                <w:sz w:val="18"/>
              </w:rPr>
            </w:r>
          </w:p>
        </w:tc>
        <w:tc>
          <w:tcPr>
            <w:tcW w:type="dxa" w:w="3120"/>
            <w:vAlign w:val="top"/>
          </w:tcPr>
          <w:p>
            <w:r>
              <w:rPr>
                <w:color w:val="1A1A2E"/>
                <w:sz w:val="18"/>
              </w:rPr>
            </w:r>
            <w:r>
              <w:rPr>
                <w:rFonts w:ascii="Consolas" w:hAnsi="Consolas"/>
                <w:color w:val="2E863A"/>
                <w:sz w:val="18"/>
              </w:rPr>
              <w:t>7.0</w:t>
            </w:r>
            <w:r>
              <w:rPr>
                <w:color w:val="1A1A2E"/>
                <w:sz w:val="18"/>
              </w:rPr>
            </w:r>
          </w:p>
        </w:tc>
        <w:tc>
          <w:tcPr>
            <w:tcW w:type="dxa" w:w="3120"/>
            <w:vAlign w:val="top"/>
          </w:tcPr>
          <w:p>
            <w:r>
              <w:rPr>
                <w:color w:val="1A1A2E"/>
                <w:sz w:val="18"/>
              </w:rPr>
              <w:t>Commission per lot ($)</w:t>
            </w:r>
          </w:p>
        </w:tc>
      </w:tr>
      <w:tr>
        <w:tc>
          <w:tcPr>
            <w:tcW w:type="dxa" w:w="3120"/>
            <w:vAlign w:val="top"/>
          </w:tcPr>
          <w:p>
            <w:r>
              <w:rPr>
                <w:color w:val="1A1A2E"/>
                <w:sz w:val="18"/>
              </w:rPr>
            </w:r>
            <w:r>
              <w:rPr>
                <w:rFonts w:ascii="Consolas" w:hAnsi="Consolas"/>
                <w:color w:val="2E863A"/>
                <w:sz w:val="18"/>
              </w:rPr>
              <w:t>SL_ATR_MULT</w:t>
            </w:r>
            <w:r>
              <w:rPr>
                <w:color w:val="1A1A2E"/>
                <w:sz w:val="18"/>
              </w:rPr>
            </w:r>
          </w:p>
        </w:tc>
        <w:tc>
          <w:tcPr>
            <w:tcW w:type="dxa" w:w="3120"/>
            <w:vAlign w:val="top"/>
          </w:tcPr>
          <w:p>
            <w:r>
              <w:rPr>
                <w:color w:val="1A1A2E"/>
                <w:sz w:val="18"/>
              </w:rPr>
            </w:r>
            <w:r>
              <w:rPr>
                <w:rFonts w:ascii="Consolas" w:hAnsi="Consolas"/>
                <w:color w:val="2E863A"/>
                <w:sz w:val="18"/>
              </w:rPr>
              <w:t>1.5</w:t>
            </w:r>
            <w:r>
              <w:rPr>
                <w:color w:val="1A1A2E"/>
                <w:sz w:val="18"/>
              </w:rPr>
            </w:r>
          </w:p>
        </w:tc>
        <w:tc>
          <w:tcPr>
            <w:tcW w:type="dxa" w:w="3120"/>
            <w:vAlign w:val="top"/>
          </w:tcPr>
          <w:p>
            <w:r>
              <w:rPr>
                <w:color w:val="1A1A2E"/>
                <w:sz w:val="18"/>
              </w:rPr>
              <w:t>ATR multiplier for stop-loss</w:t>
            </w:r>
          </w:p>
        </w:tc>
      </w:tr>
      <w:tr>
        <w:tc>
          <w:tcPr>
            <w:tcW w:type="dxa" w:w="3120"/>
            <w:vAlign w:val="top"/>
          </w:tcPr>
          <w:p>
            <w:r>
              <w:rPr>
                <w:color w:val="1A1A2E"/>
                <w:sz w:val="18"/>
              </w:rPr>
            </w:r>
            <w:r>
              <w:rPr>
                <w:rFonts w:ascii="Consolas" w:hAnsi="Consolas"/>
                <w:color w:val="2E863A"/>
                <w:sz w:val="18"/>
              </w:rPr>
              <w:t>TP_ATR_MULT</w:t>
            </w:r>
            <w:r>
              <w:rPr>
                <w:color w:val="1A1A2E"/>
                <w:sz w:val="18"/>
              </w:rPr>
            </w:r>
          </w:p>
        </w:tc>
        <w:tc>
          <w:tcPr>
            <w:tcW w:type="dxa" w:w="3120"/>
            <w:vAlign w:val="top"/>
          </w:tcPr>
          <w:p>
            <w:r>
              <w:rPr>
                <w:color w:val="1A1A2E"/>
                <w:sz w:val="18"/>
              </w:rPr>
            </w:r>
            <w:r>
              <w:rPr>
                <w:rFonts w:ascii="Consolas" w:hAnsi="Consolas"/>
                <w:color w:val="2E863A"/>
                <w:sz w:val="18"/>
              </w:rPr>
              <w:t>3.0</w:t>
            </w:r>
            <w:r>
              <w:rPr>
                <w:color w:val="1A1A2E"/>
                <w:sz w:val="18"/>
              </w:rPr>
            </w:r>
          </w:p>
        </w:tc>
        <w:tc>
          <w:tcPr>
            <w:tcW w:type="dxa" w:w="3120"/>
            <w:vAlign w:val="top"/>
          </w:tcPr>
          <w:p>
            <w:r>
              <w:rPr>
                <w:color w:val="1A1A2E"/>
                <w:sz w:val="18"/>
              </w:rPr>
              <w:t>ATR multiplier for take-profit</w:t>
            </w:r>
          </w:p>
        </w:tc>
      </w:tr>
    </w:tbl>
    <w:p/>
    <w:p>
      <w:pPr>
        <w:pStyle w:val="Heading3"/>
      </w:pPr>
      <w:r>
        <w:t>C.2 Validation Thresholds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top"/>
            <w:shd w:val="clear" w:color="auto" w:fill="1C2128"/>
          </w:tcPr>
          <w:p>
            <w:r>
              <w:rPr>
                <w:b/>
                <w:color w:val="FFFFFF"/>
                <w:sz w:val="18"/>
              </w:rPr>
              <w:t>Threshold</w:t>
            </w:r>
          </w:p>
        </w:tc>
        <w:tc>
          <w:tcPr>
            <w:tcW w:type="dxa" w:w="3120"/>
            <w:vAlign w:val="top"/>
            <w:shd w:val="clear" w:color="auto" w:fill="1C2128"/>
          </w:tcPr>
          <w:p>
            <w:r>
              <w:rPr>
                <w:b/>
                <w:color w:val="FFFFFF"/>
                <w:sz w:val="18"/>
              </w:rPr>
              <w:t>Value</w:t>
            </w:r>
          </w:p>
        </w:tc>
        <w:tc>
          <w:tcPr>
            <w:tcW w:type="dxa" w:w="3120"/>
            <w:vAlign w:val="top"/>
            <w:shd w:val="clear" w:color="auto" w:fill="1C2128"/>
          </w:tcPr>
          <w:p>
            <w:r>
              <w:rPr>
                <w:b/>
                <w:color w:val="FFFFFF"/>
                <w:sz w:val="18"/>
              </w:rPr>
              <w:t>Description</w:t>
            </w:r>
          </w:p>
        </w:tc>
      </w:tr>
      <w:tr>
        <w:tc>
          <w:tcPr>
            <w:tcW w:type="dxa" w:w="3120"/>
            <w:vAlign w:val="top"/>
          </w:tcPr>
          <w:p>
            <w:r>
              <w:rPr>
                <w:color w:val="1A1A2E"/>
                <w:sz w:val="18"/>
              </w:rPr>
            </w:r>
            <w:r>
              <w:rPr>
                <w:rFonts w:ascii="Consolas" w:hAnsi="Consolas"/>
                <w:color w:val="2E863A"/>
                <w:sz w:val="18"/>
              </w:rPr>
              <w:t>min_accuracy</w:t>
            </w:r>
            <w:r>
              <w:rPr>
                <w:color w:val="1A1A2E"/>
                <w:sz w:val="18"/>
              </w:rPr>
            </w:r>
          </w:p>
        </w:tc>
        <w:tc>
          <w:tcPr>
            <w:tcW w:type="dxa" w:w="3120"/>
            <w:vAlign w:val="top"/>
          </w:tcPr>
          <w:p>
            <w:r>
              <w:rPr>
                <w:color w:val="1A1A2E"/>
                <w:sz w:val="18"/>
              </w:rPr>
              <w:t>0.45</w:t>
            </w:r>
          </w:p>
        </w:tc>
        <w:tc>
          <w:tcPr>
            <w:tcW w:type="dxa" w:w="3120"/>
            <w:vAlign w:val="top"/>
          </w:tcPr>
          <w:p>
            <w:r>
              <w:rPr>
                <w:color w:val="1A1A2E"/>
                <w:sz w:val="18"/>
              </w:rPr>
              <w:t>Minimum classification accuracy</w:t>
            </w:r>
          </w:p>
        </w:tc>
      </w:tr>
      <w:tr>
        <w:tc>
          <w:tcPr>
            <w:tcW w:type="dxa" w:w="3120"/>
            <w:vAlign w:val="top"/>
          </w:tcPr>
          <w:p>
            <w:r>
              <w:rPr>
                <w:color w:val="1A1A2E"/>
                <w:sz w:val="18"/>
              </w:rPr>
            </w:r>
            <w:r>
              <w:rPr>
                <w:rFonts w:ascii="Consolas" w:hAnsi="Consolas"/>
                <w:color w:val="2E863A"/>
                <w:sz w:val="18"/>
              </w:rPr>
              <w:t>min_f1</w:t>
            </w:r>
            <w:r>
              <w:rPr>
                <w:color w:val="1A1A2E"/>
                <w:sz w:val="18"/>
              </w:rPr>
            </w:r>
          </w:p>
        </w:tc>
        <w:tc>
          <w:tcPr>
            <w:tcW w:type="dxa" w:w="3120"/>
            <w:vAlign w:val="top"/>
          </w:tcPr>
          <w:p>
            <w:r>
              <w:rPr>
                <w:color w:val="1A1A2E"/>
                <w:sz w:val="18"/>
              </w:rPr>
              <w:t>0.35</w:t>
            </w:r>
          </w:p>
        </w:tc>
        <w:tc>
          <w:tcPr>
            <w:tcW w:type="dxa" w:w="3120"/>
            <w:vAlign w:val="top"/>
          </w:tcPr>
          <w:p>
            <w:r>
              <w:rPr>
                <w:color w:val="1A1A2E"/>
                <w:sz w:val="18"/>
              </w:rPr>
              <w:t>Minimum weighted F1 score</w:t>
            </w:r>
          </w:p>
        </w:tc>
      </w:tr>
      <w:tr>
        <w:tc>
          <w:tcPr>
            <w:tcW w:type="dxa" w:w="3120"/>
            <w:vAlign w:val="top"/>
          </w:tcPr>
          <w:p>
            <w:r>
              <w:rPr>
                <w:color w:val="1A1A2E"/>
                <w:sz w:val="18"/>
              </w:rPr>
            </w:r>
            <w:r>
              <w:rPr>
                <w:rFonts w:ascii="Consolas" w:hAnsi="Consolas"/>
                <w:color w:val="2E863A"/>
                <w:sz w:val="18"/>
              </w:rPr>
              <w:t>min_directional_accuracy</w:t>
            </w:r>
            <w:r>
              <w:rPr>
                <w:color w:val="1A1A2E"/>
                <w:sz w:val="18"/>
              </w:rPr>
            </w:r>
          </w:p>
        </w:tc>
        <w:tc>
          <w:tcPr>
            <w:tcW w:type="dxa" w:w="3120"/>
            <w:vAlign w:val="top"/>
          </w:tcPr>
          <w:p>
            <w:r>
              <w:rPr>
                <w:color w:val="1A1A2E"/>
                <w:sz w:val="18"/>
              </w:rPr>
              <w:t>0.45</w:t>
            </w:r>
          </w:p>
        </w:tc>
        <w:tc>
          <w:tcPr>
            <w:tcW w:type="dxa" w:w="3120"/>
            <w:vAlign w:val="top"/>
          </w:tcPr>
          <w:p>
            <w:r>
              <w:rPr>
                <w:color w:val="1A1A2E"/>
                <w:sz w:val="18"/>
              </w:rPr>
              <w:t>Minimum directional accuracy</w:t>
            </w:r>
          </w:p>
        </w:tc>
      </w:tr>
      <w:tr>
        <w:tc>
          <w:tcPr>
            <w:tcW w:type="dxa" w:w="3120"/>
            <w:vAlign w:val="top"/>
          </w:tcPr>
          <w:p>
            <w:r>
              <w:rPr>
                <w:color w:val="1A1A2E"/>
                <w:sz w:val="18"/>
              </w:rPr>
            </w:r>
            <w:r>
              <w:rPr>
                <w:rFonts w:ascii="Consolas" w:hAnsi="Consolas"/>
                <w:color w:val="2E863A"/>
                <w:sz w:val="18"/>
              </w:rPr>
              <w:t>min_trading_accuracy</w:t>
            </w:r>
            <w:r>
              <w:rPr>
                <w:color w:val="1A1A2E"/>
                <w:sz w:val="18"/>
              </w:rPr>
            </w:r>
          </w:p>
        </w:tc>
        <w:tc>
          <w:tcPr>
            <w:tcW w:type="dxa" w:w="3120"/>
            <w:vAlign w:val="top"/>
          </w:tcPr>
          <w:p>
            <w:r>
              <w:rPr>
                <w:color w:val="1A1A2E"/>
                <w:sz w:val="18"/>
              </w:rPr>
              <w:t>0.40</w:t>
            </w:r>
          </w:p>
        </w:tc>
        <w:tc>
          <w:tcPr>
            <w:tcW w:type="dxa" w:w="3120"/>
            <w:vAlign w:val="top"/>
          </w:tcPr>
          <w:p>
            <w:r>
              <w:rPr>
                <w:color w:val="1A1A2E"/>
                <w:sz w:val="18"/>
              </w:rPr>
              <w:t>Minimum accuracy at ≥60% confidence</w:t>
            </w:r>
          </w:p>
        </w:tc>
      </w:tr>
      <w:tr>
        <w:tc>
          <w:tcPr>
            <w:tcW w:type="dxa" w:w="3120"/>
            <w:vAlign w:val="top"/>
          </w:tcPr>
          <w:p>
            <w:r>
              <w:rPr>
                <w:color w:val="1A1A2E"/>
                <w:sz w:val="18"/>
              </w:rPr>
            </w:r>
            <w:r>
              <w:rPr>
                <w:rFonts w:ascii="Consolas" w:hAnsi="Consolas"/>
                <w:color w:val="2E863A"/>
                <w:sz w:val="18"/>
              </w:rPr>
              <w:t>max_variance</w:t>
            </w:r>
            <w:r>
              <w:rPr>
                <w:color w:val="1A1A2E"/>
                <w:sz w:val="18"/>
              </w:rPr>
            </w:r>
          </w:p>
        </w:tc>
        <w:tc>
          <w:tcPr>
            <w:tcW w:type="dxa" w:w="3120"/>
            <w:vAlign w:val="top"/>
          </w:tcPr>
          <w:p>
            <w:r>
              <w:rPr>
                <w:color w:val="1A1A2E"/>
                <w:sz w:val="18"/>
              </w:rPr>
              <w:t>0.30</w:t>
            </w:r>
          </w:p>
        </w:tc>
        <w:tc>
          <w:tcPr>
            <w:tcW w:type="dxa" w:w="3120"/>
            <w:vAlign w:val="top"/>
          </w:tcPr>
          <w:p>
            <w:r>
              <w:rPr>
                <w:color w:val="1A1A2E"/>
                <w:sz w:val="18"/>
              </w:rPr>
              <w:t>Maximum window-to-window variance</w:t>
            </w:r>
          </w:p>
        </w:tc>
      </w:tr>
      <w:tr>
        <w:tc>
          <w:tcPr>
            <w:tcW w:type="dxa" w:w="3120"/>
            <w:vAlign w:val="top"/>
          </w:tcPr>
          <w:p>
            <w:r>
              <w:rPr>
                <w:color w:val="1A1A2E"/>
                <w:sz w:val="18"/>
              </w:rPr>
            </w:r>
            <w:r>
              <w:rPr>
                <w:rFonts w:ascii="Consolas" w:hAnsi="Consolas"/>
                <w:color w:val="2E863A"/>
                <w:sz w:val="18"/>
              </w:rPr>
              <w:t>stability_threshold</w:t>
            </w:r>
            <w:r>
              <w:rPr>
                <w:color w:val="1A1A2E"/>
                <w:sz w:val="18"/>
              </w:rPr>
            </w:r>
          </w:p>
        </w:tc>
        <w:tc>
          <w:tcPr>
            <w:tcW w:type="dxa" w:w="3120"/>
            <w:vAlign w:val="top"/>
          </w:tcPr>
          <w:p>
            <w:r>
              <w:rPr>
                <w:color w:val="1A1A2E"/>
                <w:sz w:val="18"/>
              </w:rPr>
              <w:t>0.55</w:t>
            </w:r>
          </w:p>
        </w:tc>
        <w:tc>
          <w:tcPr>
            <w:tcW w:type="dxa" w:w="3120"/>
            <w:vAlign w:val="top"/>
          </w:tcPr>
          <w:p>
            <w:r>
              <w:rPr>
                <w:color w:val="1A1A2E"/>
                <w:sz w:val="18"/>
              </w:rPr>
              <w:t>Minimum stability score</w:t>
            </w:r>
          </w:p>
        </w:tc>
      </w:tr>
      <w:tr>
        <w:tc>
          <w:tcPr>
            <w:tcW w:type="dxa" w:w="3120"/>
            <w:vAlign w:val="top"/>
          </w:tcPr>
          <w:p>
            <w:r>
              <w:rPr>
                <w:color w:val="1A1A2E"/>
                <w:sz w:val="18"/>
              </w:rPr>
            </w:r>
            <w:r>
              <w:rPr>
                <w:rFonts w:ascii="Consolas" w:hAnsi="Consolas"/>
                <w:color w:val="2E863A"/>
                <w:sz w:val="18"/>
              </w:rPr>
              <w:t>overfitting_threshold</w:t>
            </w:r>
            <w:r>
              <w:rPr>
                <w:color w:val="1A1A2E"/>
                <w:sz w:val="18"/>
              </w:rPr>
            </w:r>
          </w:p>
        </w:tc>
        <w:tc>
          <w:tcPr>
            <w:tcW w:type="dxa" w:w="3120"/>
            <w:vAlign w:val="top"/>
          </w:tcPr>
          <w:p>
            <w:r>
              <w:rPr>
                <w:color w:val="1A1A2E"/>
                <w:sz w:val="18"/>
              </w:rPr>
              <w:t>0.20</w:t>
            </w:r>
          </w:p>
        </w:tc>
        <w:tc>
          <w:tcPr>
            <w:tcW w:type="dxa" w:w="3120"/>
            <w:vAlign w:val="top"/>
          </w:tcPr>
          <w:p>
            <w:r>
              <w:rPr>
                <w:color w:val="1A1A2E"/>
                <w:sz w:val="18"/>
              </w:rPr>
              <w:t>Maximum train–val accuracy gap</w:t>
            </w:r>
          </w:p>
        </w:tc>
      </w:tr>
    </w:tbl>
    <w:p/>
    <w:p>
      <w:pPr>
        <w:pStyle w:val="Heading3"/>
      </w:pPr>
      <w:r>
        <w:t>C.3 Label Group Prefixes</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LABEL_GROUP_PREFIXES = [</w:t>
        <w:br/>
        <w:t xml:space="preserve">    "direction_",   # Ternary direction labels</w:t>
        <w:br/>
        <w:t xml:space="preserve">    "rr_",          # Risk/reward labels</w:t>
        <w:br/>
        <w:t xml:space="preserve">    "binary_",      # Binary direction labels</w:t>
        <w:br/>
        <w:t xml:space="preserve">    "tp_sl_",       # TP/SL hit labels</w:t>
        <w:br/>
        <w:t xml:space="preserve">    "regime_",      # Market regime labels</w:t>
        <w:br/>
        <w:t>]</w:t>
      </w:r>
    </w:p>
    <w:p>
      <w:pPr>
        <w:pStyle w:val="Heading3"/>
      </w:pPr>
      <w:r>
        <w:t>C.4 Timestamp Columns (excluded from features)</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TIMESTAMP_COLS = [</w:t>
        <w:br/>
        <w:t xml:space="preserve">    "timestamp",</w:t>
        <w:br/>
        <w:t xml:space="preserve">    "w1_timestamp", "d1_timestamp", "h4_timestamp", "h1_timestamp"</w:t>
        <w:br/>
        <w:t>]</w:t>
      </w:r>
    </w:p>
    <w:p>
      <w:pPr>
        <w:pStyle w:val="Heading2"/>
      </w:pPr>
      <w:r>
        <w:t>Appendix D — Bundle File Reference</w:t>
      </w:r>
    </w:p>
    <w:p>
      <w:pPr>
        <w:pStyle w:val="Heading3"/>
      </w:pPr>
      <w:r>
        <w:t>D.1 inference_config.json Schema</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w:t>
        <w:br/>
        <w:t xml:space="preserve">    "model_name":          "xgboost",</w:t>
        <w:br/>
        <w:t xml:space="preserve">    "task_type":           "classification",</w:t>
        <w:br/>
        <w:t xml:space="preserve">    "target_column":       "direction_1b",</w:t>
        <w:br/>
        <w:t xml:space="preserve">    "feature_columns":     ["open", "high", ..., "target_direction"],</w:t>
        <w:br/>
        <w:t xml:space="preserve">    "n_features":          247,</w:t>
        <w:br/>
        <w:t xml:space="preserve">    "n_classes":           3,</w:t>
        <w:br/>
        <w:t xml:space="preserve">    "requires_imputation": false,</w:t>
        <w:br/>
        <w:t xml:space="preserve">    "random_seed":         42,</w:t>
        <w:br/>
        <w:t xml:space="preserve">    "schema_version":      "1.0.0",</w:t>
        <w:br/>
        <w:t xml:space="preserve">    "label_version":       "1.0.0",</w:t>
        <w:br/>
        <w:t xml:space="preserve">    "created_at":          "2026-07-02T09:09:58.624123+00:00"</w:t>
        <w:br/>
        <w:t>}</w:t>
      </w:r>
    </w:p>
    <w:p>
      <w:pPr>
        <w:pStyle w:val="Heading3"/>
      </w:pPr>
      <w:r>
        <w:t>D.2 pipeline_manifest.json Schema</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w:t>
        <w:br/>
        <w:t xml:space="preserve">    "bundle_version": "1.0.0",</w:t>
        <w:br/>
        <w:t xml:space="preserve">    "created_at":     "ISO-8601 timestamp",</w:t>
        <w:br/>
        <w:t xml:space="preserve">    "symbol":         "EURUSD",</w:t>
        <w:br/>
        <w:t xml:space="preserve">    "timeframe":      "M15",</w:t>
        <w:br/>
        <w:t xml:space="preserve">    "model_name":     "xgboost",</w:t>
        <w:br/>
        <w:t xml:space="preserve">    "files": {</w:t>
        <w:br/>
        <w:t xml:space="preserve">        "model.joblib":         {"sha256": "", "size_bytes": 1724288},</w:t>
        <w:br/>
        <w:t xml:space="preserve">        "preprocessing.joblib": {"sha256": "", "size_bytes": 4096},</w:t>
        <w:br/>
        <w:t xml:space="preserve">        "inference_config.json":{"sha256": "", "size_bytes": 8192}</w:t>
        <w:br/>
        <w:t xml:space="preserve">    }</w:t>
        <w:br/>
        <w:t>}</w:t>
      </w:r>
    </w:p>
    <w:p>
      <w:pPr>
        <w:pStyle w:val="Heading3"/>
      </w:pPr>
      <w:r>
        <w:t>D.3 Loading the Bundle (Python)</w:t>
      </w:r>
    </w:p>
    <w:p>
      <w:pPr>
        <w:shd w:val="clear" w:color="auto" w:fill="F3F4F6"/>
        <w:spacing w:after="160"/>
        <w:pBdr>
          <w:top w:val="single" w:sz="4" w:space="4" w:color="C0C4CC"/>
          <w:left w:val="single" w:sz="4" w:space="4" w:color="C0C4CC"/>
          <w:bottom w:val="single" w:sz="4" w:space="4" w:color="C0C4CC"/>
          <w:right w:val="single" w:sz="4" w:space="4" w:color="C0C4CC"/>
        </w:pBdr>
      </w:pPr>
      <w:r>
        <w:rPr>
          <w:rFonts w:ascii="Consolas" w:hAnsi="Consolas"/>
          <w:color w:val="1A1A2E"/>
          <w:sz w:val="17"/>
        </w:rPr>
        <w:t>from src.ml.artifact_manager import ArtifactManager</w:t>
        <w:br/>
        <w:t>from pathlib import Path</w:t>
        <w:br/>
        <w:br/>
        <w:t>pipeline = ArtifactManager.load_bundle(Path("models/best_model"))</w:t>
        <w:br/>
        <w:br/>
        <w:t># Single-row prediction</w:t>
        <w:br/>
        <w:t>import pandas as pd</w:t>
        <w:br/>
        <w:t>features = pd.DataFrame([{</w:t>
        <w:br/>
        <w:t xml:space="preserve">    "open": 1.0850, "high": 1.0862, "low": 1.0841, "close": 1.0855,</w:t>
        <w:br/>
        <w:t xml:space="preserve">    # ... all 247 features</w:t>
        <w:br/>
        <w:t>}])</w:t>
        <w:br/>
        <w:br/>
        <w:t>signal, probabilities = pipeline.predict(features)</w:t>
        <w:br/>
        <w:t># signal: "BUY" | "SELL" | "HOLD"</w:t>
        <w:br/>
        <w:t># probabilities: {"SELL": 0.12, "HOLD": 0.28, "BUY": 0.60}</w:t>
      </w:r>
    </w:p>
    <w:p>
      <w:pPr>
        <w:pStyle w:val="Heading2"/>
      </w:pPr>
      <w:r>
        <w:t>Appendix E — Glossary</w:t>
      </w:r>
    </w:p>
    <w:tbl>
      <w:tblPr>
        <w:tblStyle w:val="TableGrid"/>
        <w:tblW w:type="auto" w:w="0"/>
        <w:jc w:val="left"/>
        <w:tblLook w:firstColumn="1" w:firstRow="1" w:lastColumn="0" w:lastRow="0" w:noHBand="0" w:noVBand="1" w:val="04A0"/>
      </w:tblPr>
      <w:tblGrid>
        <w:gridCol w:w="4680"/>
        <w:gridCol w:w="4680"/>
      </w:tblGrid>
      <w:tr>
        <w:tc>
          <w:tcPr>
            <w:tcW w:type="dxa" w:w="4680"/>
            <w:vAlign w:val="top"/>
            <w:shd w:val="clear" w:color="auto" w:fill="1C2128"/>
          </w:tcPr>
          <w:p>
            <w:r>
              <w:rPr>
                <w:b/>
                <w:color w:val="FFFFFF"/>
                <w:sz w:val="18"/>
              </w:rPr>
              <w:t>Term</w:t>
            </w:r>
          </w:p>
        </w:tc>
        <w:tc>
          <w:tcPr>
            <w:tcW w:type="dxa" w:w="4680"/>
            <w:vAlign w:val="top"/>
            <w:shd w:val="clear" w:color="auto" w:fill="1C2128"/>
          </w:tcPr>
          <w:p>
            <w:r>
              <w:rPr>
                <w:b/>
                <w:color w:val="FFFFFF"/>
                <w:sz w:val="18"/>
              </w:rPr>
              <w:t>Definition</w:t>
            </w:r>
          </w:p>
        </w:tc>
      </w:tr>
      <w:tr>
        <w:tc>
          <w:tcPr>
            <w:tcW w:type="dxa" w:w="4680"/>
            <w:vAlign w:val="top"/>
          </w:tcPr>
          <w:p>
            <w:r>
              <w:rPr>
                <w:color w:val="1A1A2E"/>
                <w:sz w:val="18"/>
              </w:rPr>
              <w:t>ATR</w:t>
            </w:r>
          </w:p>
        </w:tc>
        <w:tc>
          <w:tcPr>
            <w:tcW w:type="dxa" w:w="4680"/>
            <w:vAlign w:val="top"/>
          </w:tcPr>
          <w:p>
            <w:r>
              <w:rPr>
                <w:color w:val="1A1A2E"/>
                <w:sz w:val="18"/>
              </w:rPr>
              <w:t>Average True Range — measure of price volatility over N bars</w:t>
            </w:r>
          </w:p>
        </w:tc>
      </w:tr>
      <w:tr>
        <w:tc>
          <w:tcPr>
            <w:tcW w:type="dxa" w:w="4680"/>
            <w:vAlign w:val="top"/>
          </w:tcPr>
          <w:p>
            <w:r>
              <w:rPr>
                <w:color w:val="1A1A2E"/>
                <w:sz w:val="18"/>
              </w:rPr>
              <w:t>Bar</w:t>
            </w:r>
          </w:p>
        </w:tc>
        <w:tc>
          <w:tcPr>
            <w:tcW w:type="dxa" w:w="4680"/>
            <w:vAlign w:val="top"/>
          </w:tcPr>
          <w:p>
            <w:r>
              <w:rPr>
                <w:color w:val="1A1A2E"/>
                <w:sz w:val="18"/>
              </w:rPr>
              <w:t>A single OHLCV candle covering one timeframe period</w:t>
            </w:r>
          </w:p>
        </w:tc>
      </w:tr>
      <w:tr>
        <w:tc>
          <w:tcPr>
            <w:tcW w:type="dxa" w:w="4680"/>
            <w:vAlign w:val="top"/>
          </w:tcPr>
          <w:p>
            <w:r>
              <w:rPr>
                <w:color w:val="1A1A2E"/>
                <w:sz w:val="18"/>
              </w:rPr>
              <w:t>BOS</w:t>
            </w:r>
          </w:p>
        </w:tc>
        <w:tc>
          <w:tcPr>
            <w:tcW w:type="dxa" w:w="4680"/>
            <w:vAlign w:val="top"/>
          </w:tcPr>
          <w:p>
            <w:r>
              <w:rPr>
                <w:color w:val="1A1A2E"/>
                <w:sz w:val="18"/>
              </w:rPr>
              <w:t>Break of Structure — price breaks a swing level in trend direction</w:t>
            </w:r>
          </w:p>
        </w:tc>
      </w:tr>
      <w:tr>
        <w:tc>
          <w:tcPr>
            <w:tcW w:type="dxa" w:w="4680"/>
            <w:vAlign w:val="top"/>
          </w:tcPr>
          <w:p>
            <w:r>
              <w:rPr>
                <w:color w:val="1A1A2E"/>
                <w:sz w:val="18"/>
              </w:rPr>
              <w:t>Bundle</w:t>
            </w:r>
          </w:p>
        </w:tc>
        <w:tc>
          <w:tcPr>
            <w:tcW w:type="dxa" w:w="4680"/>
            <w:vAlign w:val="top"/>
          </w:tcPr>
          <w:p>
            <w:r>
              <w:rPr>
                <w:color w:val="1A1A2E"/>
                <w:sz w:val="18"/>
              </w:rPr>
              <w:t>Self-contained directory with model + preprocessing + metadata for deployment</w:t>
            </w:r>
          </w:p>
        </w:tc>
      </w:tr>
      <w:tr>
        <w:tc>
          <w:tcPr>
            <w:tcW w:type="dxa" w:w="4680"/>
            <w:vAlign w:val="top"/>
          </w:tcPr>
          <w:p>
            <w:r>
              <w:rPr>
                <w:color w:val="1A1A2E"/>
                <w:sz w:val="18"/>
              </w:rPr>
              <w:t>CHoCH</w:t>
            </w:r>
          </w:p>
        </w:tc>
        <w:tc>
          <w:tcPr>
            <w:tcW w:type="dxa" w:w="4680"/>
            <w:vAlign w:val="top"/>
          </w:tcPr>
          <w:p>
            <w:r>
              <w:rPr>
                <w:color w:val="1A1A2E"/>
                <w:sz w:val="18"/>
              </w:rPr>
              <w:t>Change of Character — price breaks a swing level against trend direction</w:t>
            </w:r>
          </w:p>
        </w:tc>
      </w:tr>
      <w:tr>
        <w:tc>
          <w:tcPr>
            <w:tcW w:type="dxa" w:w="4680"/>
            <w:vAlign w:val="top"/>
          </w:tcPr>
          <w:p>
            <w:r>
              <w:rPr>
                <w:color w:val="1A1A2E"/>
                <w:sz w:val="18"/>
              </w:rPr>
              <w:t>ColumnImputer</w:t>
            </w:r>
          </w:p>
        </w:tc>
        <w:tc>
          <w:tcPr>
            <w:tcW w:type="dxa" w:w="4680"/>
            <w:vAlign w:val="top"/>
          </w:tcPr>
          <w:p>
            <w:r>
              <w:rPr>
                <w:color w:val="1A1A2E"/>
                <w:sz w:val="18"/>
              </w:rPr>
              <w:t>Custom sklearn transformer that fills NaN values column-wise with training medians</w:t>
            </w:r>
          </w:p>
        </w:tc>
      </w:tr>
      <w:tr>
        <w:tc>
          <w:tcPr>
            <w:tcW w:type="dxa" w:w="4680"/>
            <w:vAlign w:val="top"/>
          </w:tcPr>
          <w:p>
            <w:r>
              <w:rPr>
                <w:color w:val="1A1A2E"/>
                <w:sz w:val="18"/>
              </w:rPr>
              <w:t>Compounding</w:t>
            </w:r>
          </w:p>
        </w:tc>
        <w:tc>
          <w:tcPr>
            <w:tcW w:type="dxa" w:w="4680"/>
            <w:vAlign w:val="top"/>
          </w:tcPr>
          <w:p>
            <w:r>
              <w:rPr>
                <w:color w:val="1A1A2E"/>
                <w:sz w:val="18"/>
              </w:rPr>
              <w:t>Position size grows proportionally with account equity</w:t>
            </w:r>
          </w:p>
        </w:tc>
      </w:tr>
      <w:tr>
        <w:tc>
          <w:tcPr>
            <w:tcW w:type="dxa" w:w="4680"/>
            <w:vAlign w:val="top"/>
          </w:tcPr>
          <w:p>
            <w:r>
              <w:rPr>
                <w:color w:val="1A1A2E"/>
                <w:sz w:val="18"/>
              </w:rPr>
              <w:t>D1</w:t>
            </w:r>
          </w:p>
        </w:tc>
        <w:tc>
          <w:tcPr>
            <w:tcW w:type="dxa" w:w="4680"/>
            <w:vAlign w:val="top"/>
          </w:tcPr>
          <w:p>
            <w:r>
              <w:rPr>
                <w:color w:val="1A1A2E"/>
                <w:sz w:val="18"/>
              </w:rPr>
              <w:t>Daily timeframe (one bar = one trading day)</w:t>
            </w:r>
          </w:p>
        </w:tc>
      </w:tr>
      <w:tr>
        <w:tc>
          <w:tcPr>
            <w:tcW w:type="dxa" w:w="4680"/>
            <w:vAlign w:val="top"/>
          </w:tcPr>
          <w:p>
            <w:r>
              <w:rPr>
                <w:color w:val="1A1A2E"/>
                <w:sz w:val="18"/>
              </w:rPr>
              <w:t>Data leakage</w:t>
            </w:r>
          </w:p>
        </w:tc>
        <w:tc>
          <w:tcPr>
            <w:tcW w:type="dxa" w:w="4680"/>
            <w:vAlign w:val="top"/>
          </w:tcPr>
          <w:p>
            <w:r>
              <w:rPr>
                <w:color w:val="1A1A2E"/>
                <w:sz w:val="18"/>
              </w:rPr>
              <w:t>Use of future information during training that would be unavailable in live trading</w:t>
            </w:r>
          </w:p>
        </w:tc>
      </w:tr>
      <w:tr>
        <w:tc>
          <w:tcPr>
            <w:tcW w:type="dxa" w:w="4680"/>
            <w:vAlign w:val="top"/>
          </w:tcPr>
          <w:p>
            <w:r>
              <w:rPr>
                <w:color w:val="1A1A2E"/>
                <w:sz w:val="18"/>
              </w:rPr>
              <w:t>EQH</w:t>
            </w:r>
          </w:p>
        </w:tc>
        <w:tc>
          <w:tcPr>
            <w:tcW w:type="dxa" w:w="4680"/>
            <w:vAlign w:val="top"/>
          </w:tcPr>
          <w:p>
            <w:r>
              <w:rPr>
                <w:color w:val="1A1A2E"/>
                <w:sz w:val="18"/>
              </w:rPr>
              <w:t>Equal Highs — two or more highs at approximately the same price level</w:t>
            </w:r>
          </w:p>
        </w:tc>
      </w:tr>
      <w:tr>
        <w:tc>
          <w:tcPr>
            <w:tcW w:type="dxa" w:w="4680"/>
            <w:vAlign w:val="top"/>
          </w:tcPr>
          <w:p>
            <w:r>
              <w:rPr>
                <w:color w:val="1A1A2E"/>
                <w:sz w:val="18"/>
              </w:rPr>
              <w:t>EQL</w:t>
            </w:r>
          </w:p>
        </w:tc>
        <w:tc>
          <w:tcPr>
            <w:tcW w:type="dxa" w:w="4680"/>
            <w:vAlign w:val="top"/>
          </w:tcPr>
          <w:p>
            <w:r>
              <w:rPr>
                <w:color w:val="1A1A2E"/>
                <w:sz w:val="18"/>
              </w:rPr>
              <w:t>Equal Lows — two or more lows at approximately the same price level</w:t>
            </w:r>
          </w:p>
        </w:tc>
      </w:tr>
      <w:tr>
        <w:tc>
          <w:tcPr>
            <w:tcW w:type="dxa" w:w="4680"/>
            <w:vAlign w:val="top"/>
          </w:tcPr>
          <w:p>
            <w:r>
              <w:rPr>
                <w:color w:val="1A1A2E"/>
                <w:sz w:val="18"/>
              </w:rPr>
              <w:t>FVG</w:t>
            </w:r>
          </w:p>
        </w:tc>
        <w:tc>
          <w:tcPr>
            <w:tcW w:type="dxa" w:w="4680"/>
            <w:vAlign w:val="top"/>
          </w:tcPr>
          <w:p>
            <w:r>
              <w:rPr>
                <w:color w:val="1A1A2E"/>
                <w:sz w:val="18"/>
              </w:rPr>
              <w:t>Fair Value Gap — three-candle imbalance pattern</w:t>
            </w:r>
          </w:p>
        </w:tc>
      </w:tr>
      <w:tr>
        <w:tc>
          <w:tcPr>
            <w:tcW w:type="dxa" w:w="4680"/>
            <w:vAlign w:val="top"/>
          </w:tcPr>
          <w:p>
            <w:r>
              <w:rPr>
                <w:color w:val="1A1A2E"/>
                <w:sz w:val="18"/>
              </w:rPr>
              <w:t>Gain importance</w:t>
            </w:r>
          </w:p>
        </w:tc>
        <w:tc>
          <w:tcPr>
            <w:tcW w:type="dxa" w:w="4680"/>
            <w:vAlign w:val="top"/>
          </w:tcPr>
          <w:p>
            <w:r>
              <w:rPr>
                <w:color w:val="1A1A2E"/>
                <w:sz w:val="18"/>
              </w:rPr>
              <w:t>XGBoost feature importance: average improvement in loss per split using this feature</w:t>
            </w:r>
          </w:p>
        </w:tc>
      </w:tr>
      <w:tr>
        <w:tc>
          <w:tcPr>
            <w:tcW w:type="dxa" w:w="4680"/>
            <w:vAlign w:val="top"/>
          </w:tcPr>
          <w:p>
            <w:r>
              <w:rPr>
                <w:color w:val="1A1A2E"/>
                <w:sz w:val="18"/>
              </w:rPr>
              <w:t>H1/H4</w:t>
            </w:r>
          </w:p>
        </w:tc>
        <w:tc>
          <w:tcPr>
            <w:tcW w:type="dxa" w:w="4680"/>
            <w:vAlign w:val="top"/>
          </w:tcPr>
          <w:p>
            <w:r>
              <w:rPr>
                <w:color w:val="1A1A2E"/>
                <w:sz w:val="18"/>
              </w:rPr>
              <w:t>Hourly / 4-hour timeframe</w:t>
            </w:r>
          </w:p>
        </w:tc>
      </w:tr>
      <w:tr>
        <w:tc>
          <w:tcPr>
            <w:tcW w:type="dxa" w:w="4680"/>
            <w:vAlign w:val="top"/>
          </w:tcPr>
          <w:p>
            <w:r>
              <w:rPr>
                <w:color w:val="1A1A2E"/>
                <w:sz w:val="18"/>
              </w:rPr>
              <w:t>Hurst exponent</w:t>
            </w:r>
          </w:p>
        </w:tc>
        <w:tc>
          <w:tcPr>
            <w:tcW w:type="dxa" w:w="4680"/>
            <w:vAlign w:val="top"/>
          </w:tcPr>
          <w:p>
            <w:r>
              <w:rPr>
                <w:color w:val="1A1A2E"/>
                <w:sz w:val="18"/>
              </w:rPr>
              <w:t>Statistical measure of long-range dependency: H&gt;0.5 = trending, H&lt;0.5 = mean-reverting</w:t>
            </w:r>
          </w:p>
        </w:tc>
      </w:tr>
      <w:tr>
        <w:tc>
          <w:tcPr>
            <w:tcW w:type="dxa" w:w="4680"/>
            <w:vAlign w:val="top"/>
          </w:tcPr>
          <w:p>
            <w:r>
              <w:rPr>
                <w:color w:val="1A1A2E"/>
                <w:sz w:val="18"/>
              </w:rPr>
              <w:t>ICT</w:t>
            </w:r>
          </w:p>
        </w:tc>
        <w:tc>
          <w:tcPr>
            <w:tcW w:type="dxa" w:w="4680"/>
            <w:vAlign w:val="top"/>
          </w:tcPr>
          <w:p>
            <w:r>
              <w:rPr>
                <w:color w:val="1A1A2E"/>
                <w:sz w:val="18"/>
              </w:rPr>
              <w:t>Inner Circle Trader — institutional trading concepts framework</w:t>
            </w:r>
          </w:p>
        </w:tc>
      </w:tr>
      <w:tr>
        <w:tc>
          <w:tcPr>
            <w:tcW w:type="dxa" w:w="4680"/>
            <w:vAlign w:val="top"/>
          </w:tcPr>
          <w:p>
            <w:r>
              <w:rPr>
                <w:color w:val="1A1A2E"/>
                <w:sz w:val="18"/>
              </w:rPr>
              <w:t>Joblib</w:t>
            </w:r>
          </w:p>
        </w:tc>
        <w:tc>
          <w:tcPr>
            <w:tcW w:type="dxa" w:w="4680"/>
            <w:vAlign w:val="top"/>
          </w:tcPr>
          <w:p>
            <w:r>
              <w:rPr>
                <w:color w:val="1A1A2E"/>
                <w:sz w:val="18"/>
              </w:rPr>
              <w:t>Python serialization library for sklearn models</w:t>
            </w:r>
          </w:p>
        </w:tc>
      </w:tr>
      <w:tr>
        <w:tc>
          <w:tcPr>
            <w:tcW w:type="dxa" w:w="4680"/>
            <w:vAlign w:val="top"/>
          </w:tcPr>
          <w:p>
            <w:r>
              <w:rPr>
                <w:color w:val="1A1A2E"/>
                <w:sz w:val="18"/>
              </w:rPr>
              <w:t>LightGBM</w:t>
            </w:r>
          </w:p>
        </w:tc>
        <w:tc>
          <w:tcPr>
            <w:tcW w:type="dxa" w:w="4680"/>
            <w:vAlign w:val="top"/>
          </w:tcPr>
          <w:p>
            <w:r>
              <w:rPr>
                <w:color w:val="1A1A2E"/>
                <w:sz w:val="18"/>
              </w:rPr>
              <w:t>Light Gradient Boosting Machine — Microsoft's gradient boosting framework</w:t>
            </w:r>
          </w:p>
        </w:tc>
      </w:tr>
      <w:tr>
        <w:tc>
          <w:tcPr>
            <w:tcW w:type="dxa" w:w="4680"/>
            <w:vAlign w:val="top"/>
          </w:tcPr>
          <w:p>
            <w:r>
              <w:rPr>
                <w:color w:val="1A1A2E"/>
                <w:sz w:val="18"/>
              </w:rPr>
              <w:t>Liquidity magnet</w:t>
            </w:r>
          </w:p>
        </w:tc>
        <w:tc>
          <w:tcPr>
            <w:tcW w:type="dxa" w:w="4680"/>
            <w:vAlign w:val="top"/>
          </w:tcPr>
          <w:p>
            <w:r>
              <w:rPr>
                <w:color w:val="1A1A2E"/>
                <w:sz w:val="18"/>
              </w:rPr>
              <w:t>Price level with accumulated pending orders that attracts price</w:t>
            </w:r>
          </w:p>
        </w:tc>
      </w:tr>
      <w:tr>
        <w:tc>
          <w:tcPr>
            <w:tcW w:type="dxa" w:w="4680"/>
            <w:vAlign w:val="top"/>
          </w:tcPr>
          <w:p>
            <w:r>
              <w:rPr>
                <w:color w:val="1A1A2E"/>
                <w:sz w:val="18"/>
              </w:rPr>
              <w:t>Liquidity sweep</w:t>
            </w:r>
          </w:p>
        </w:tc>
        <w:tc>
          <w:tcPr>
            <w:tcW w:type="dxa" w:w="4680"/>
            <w:vAlign w:val="top"/>
          </w:tcPr>
          <w:p>
            <w:r>
              <w:rPr>
                <w:color w:val="1A1A2E"/>
                <w:sz w:val="18"/>
              </w:rPr>
              <w:t>Price temporarily breaches a liquidity zone then reverses</w:t>
            </w:r>
          </w:p>
        </w:tc>
      </w:tr>
      <w:tr>
        <w:tc>
          <w:tcPr>
            <w:tcW w:type="dxa" w:w="4680"/>
            <w:vAlign w:val="top"/>
          </w:tcPr>
          <w:p>
            <w:r>
              <w:rPr>
                <w:color w:val="1A1A2E"/>
                <w:sz w:val="18"/>
              </w:rPr>
              <w:t>M15</w:t>
            </w:r>
          </w:p>
        </w:tc>
        <w:tc>
          <w:tcPr>
            <w:tcW w:type="dxa" w:w="4680"/>
            <w:vAlign w:val="top"/>
          </w:tcPr>
          <w:p>
            <w:r>
              <w:rPr>
                <w:color w:val="1A1A2E"/>
                <w:sz w:val="18"/>
              </w:rPr>
              <w:t>15-minute timeframe</w:t>
            </w:r>
          </w:p>
        </w:tc>
      </w:tr>
      <w:tr>
        <w:tc>
          <w:tcPr>
            <w:tcW w:type="dxa" w:w="4680"/>
            <w:vAlign w:val="top"/>
          </w:tcPr>
          <w:p>
            <w:r>
              <w:rPr>
                <w:color w:val="1A1A2E"/>
                <w:sz w:val="18"/>
              </w:rPr>
              <w:t>Max drawdown</w:t>
            </w:r>
          </w:p>
        </w:tc>
        <w:tc>
          <w:tcPr>
            <w:tcW w:type="dxa" w:w="4680"/>
            <w:vAlign w:val="top"/>
          </w:tcPr>
          <w:p>
            <w:r>
              <w:rPr>
                <w:color w:val="1A1A2E"/>
                <w:sz w:val="18"/>
              </w:rPr>
              <w:t>Largest peak-to-trough equity decline in absolute terms</w:t>
            </w:r>
          </w:p>
        </w:tc>
      </w:tr>
      <w:tr>
        <w:tc>
          <w:tcPr>
            <w:tcW w:type="dxa" w:w="4680"/>
            <w:vAlign w:val="top"/>
          </w:tcPr>
          <w:p>
            <w:r>
              <w:rPr>
                <w:color w:val="1A1A2E"/>
                <w:sz w:val="18"/>
              </w:rPr>
              <w:t>OB</w:t>
            </w:r>
          </w:p>
        </w:tc>
        <w:tc>
          <w:tcPr>
            <w:tcW w:type="dxa" w:w="4680"/>
            <w:vAlign w:val="top"/>
          </w:tcPr>
          <w:p>
            <w:r>
              <w:rPr>
                <w:color w:val="1A1A2E"/>
                <w:sz w:val="18"/>
              </w:rPr>
              <w:t>Order Block — last opposing candle before a significant structural move</w:t>
            </w:r>
          </w:p>
        </w:tc>
      </w:tr>
      <w:tr>
        <w:tc>
          <w:tcPr>
            <w:tcW w:type="dxa" w:w="4680"/>
            <w:vAlign w:val="top"/>
          </w:tcPr>
          <w:p>
            <w:r>
              <w:rPr>
                <w:color w:val="1A1A2E"/>
                <w:sz w:val="18"/>
              </w:rPr>
              <w:t>OHLCV</w:t>
            </w:r>
          </w:p>
        </w:tc>
        <w:tc>
          <w:tcPr>
            <w:tcW w:type="dxa" w:w="4680"/>
            <w:vAlign w:val="top"/>
          </w:tcPr>
          <w:p>
            <w:r>
              <w:rPr>
                <w:color w:val="1A1A2E"/>
                <w:sz w:val="18"/>
              </w:rPr>
              <w:t>Open, High, Low, Close, Volume — standard candle data format</w:t>
            </w:r>
          </w:p>
        </w:tc>
      </w:tr>
      <w:tr>
        <w:tc>
          <w:tcPr>
            <w:tcW w:type="dxa" w:w="4680"/>
            <w:vAlign w:val="top"/>
          </w:tcPr>
          <w:p>
            <w:r>
              <w:rPr>
                <w:color w:val="1A1A2E"/>
                <w:sz w:val="18"/>
              </w:rPr>
              <w:t>Optuna</w:t>
            </w:r>
          </w:p>
        </w:tc>
        <w:tc>
          <w:tcPr>
            <w:tcW w:type="dxa" w:w="4680"/>
            <w:vAlign w:val="top"/>
          </w:tcPr>
          <w:p>
            <w:r>
              <w:rPr>
                <w:color w:val="1A1A2E"/>
                <w:sz w:val="18"/>
              </w:rPr>
              <w:t>Python hyperparameter optimization framework (TPE sampler)</w:t>
            </w:r>
          </w:p>
        </w:tc>
      </w:tr>
      <w:tr>
        <w:tc>
          <w:tcPr>
            <w:tcW w:type="dxa" w:w="4680"/>
            <w:vAlign w:val="top"/>
          </w:tcPr>
          <w:p>
            <w:r>
              <w:rPr>
                <w:color w:val="1A1A2E"/>
                <w:sz w:val="18"/>
              </w:rPr>
              <w:t>PD</w:t>
            </w:r>
          </w:p>
        </w:tc>
        <w:tc>
          <w:tcPr>
            <w:tcW w:type="dxa" w:w="4680"/>
            <w:vAlign w:val="top"/>
          </w:tcPr>
          <w:p>
            <w:r>
              <w:rPr>
                <w:color w:val="1A1A2E"/>
                <w:sz w:val="18"/>
              </w:rPr>
              <w:t>Premium/Discount zone — price position relative to swing range equilibrium</w:t>
            </w:r>
          </w:p>
        </w:tc>
      </w:tr>
      <w:tr>
        <w:tc>
          <w:tcPr>
            <w:tcW w:type="dxa" w:w="4680"/>
            <w:vAlign w:val="top"/>
          </w:tcPr>
          <w:p>
            <w:r>
              <w:rPr>
                <w:color w:val="1A1A2E"/>
                <w:sz w:val="18"/>
              </w:rPr>
              <w:t>Parquet</w:t>
            </w:r>
          </w:p>
        </w:tc>
        <w:tc>
          <w:tcPr>
            <w:tcW w:type="dxa" w:w="4680"/>
            <w:vAlign w:val="top"/>
          </w:tcPr>
          <w:p>
            <w:r>
              <w:rPr>
                <w:color w:val="1A1A2E"/>
                <w:sz w:val="18"/>
              </w:rPr>
              <w:t>Columnar binary file format for efficient DataFrames (Apache Arrow)</w:t>
            </w:r>
          </w:p>
        </w:tc>
      </w:tr>
      <w:tr>
        <w:tc>
          <w:tcPr>
            <w:tcW w:type="dxa" w:w="4680"/>
            <w:vAlign w:val="top"/>
          </w:tcPr>
          <w:p>
            <w:r>
              <w:rPr>
                <w:color w:val="1A1A2E"/>
                <w:sz w:val="18"/>
              </w:rPr>
              <w:t>Pip</w:t>
            </w:r>
          </w:p>
        </w:tc>
        <w:tc>
          <w:tcPr>
            <w:tcW w:type="dxa" w:w="4680"/>
            <w:vAlign w:val="top"/>
          </w:tcPr>
          <w:p>
            <w:r>
              <w:rPr>
                <w:color w:val="1A1A2E"/>
                <w:sz w:val="18"/>
              </w:rPr>
              <w:t>Smallest standard price increment in Forex (0.0001 for EUR/USD)</w:t>
            </w:r>
          </w:p>
        </w:tc>
      </w:tr>
      <w:tr>
        <w:tc>
          <w:tcPr>
            <w:tcW w:type="dxa" w:w="4680"/>
            <w:vAlign w:val="top"/>
          </w:tcPr>
          <w:p>
            <w:r>
              <w:rPr>
                <w:color w:val="1A1A2E"/>
                <w:sz w:val="18"/>
              </w:rPr>
              <w:t>Profit factor</w:t>
            </w:r>
          </w:p>
        </w:tc>
        <w:tc>
          <w:tcPr>
            <w:tcW w:type="dxa" w:w="4680"/>
            <w:vAlign w:val="top"/>
          </w:tcPr>
          <w:p>
            <w:r>
              <w:rPr>
                <w:color w:val="1A1A2E"/>
                <w:sz w:val="18"/>
              </w:rPr>
              <w:t>Gross profit / Gross loss</w:t>
            </w:r>
          </w:p>
        </w:tc>
      </w:tr>
      <w:tr>
        <w:tc>
          <w:tcPr>
            <w:tcW w:type="dxa" w:w="4680"/>
            <w:vAlign w:val="top"/>
          </w:tcPr>
          <w:p>
            <w:r>
              <w:rPr>
                <w:color w:val="1A1A2E"/>
                <w:sz w:val="18"/>
              </w:rPr>
              <w:t>R:R</w:t>
            </w:r>
          </w:p>
        </w:tc>
        <w:tc>
          <w:tcPr>
            <w:tcW w:type="dxa" w:w="4680"/>
            <w:vAlign w:val="top"/>
          </w:tcPr>
          <w:p>
            <w:r>
              <w:rPr>
                <w:color w:val="1A1A2E"/>
                <w:sz w:val="18"/>
              </w:rPr>
              <w:t>Risk-to-Reward ratio — ratio of potential profit to potential loss</w:t>
            </w:r>
          </w:p>
        </w:tc>
      </w:tr>
      <w:tr>
        <w:tc>
          <w:tcPr>
            <w:tcW w:type="dxa" w:w="4680"/>
            <w:vAlign w:val="top"/>
          </w:tcPr>
          <w:p>
            <w:r>
              <w:rPr>
                <w:color w:val="1A1A2E"/>
                <w:sz w:val="18"/>
              </w:rPr>
              <w:t>Sharpe ratio</w:t>
            </w:r>
          </w:p>
        </w:tc>
        <w:tc>
          <w:tcPr>
            <w:tcW w:type="dxa" w:w="4680"/>
            <w:vAlign w:val="top"/>
          </w:tcPr>
          <w:p>
            <w:r>
              <w:rPr>
                <w:color w:val="1A1A2E"/>
                <w:sz w:val="18"/>
              </w:rPr>
              <w:t>(Mean return − Risk-free rate) / Standard deviation of returns</w:t>
            </w:r>
          </w:p>
        </w:tc>
      </w:tr>
      <w:tr>
        <w:tc>
          <w:tcPr>
            <w:tcW w:type="dxa" w:w="4680"/>
            <w:vAlign w:val="top"/>
          </w:tcPr>
          <w:p>
            <w:r>
              <w:rPr>
                <w:color w:val="1A1A2E"/>
                <w:sz w:val="18"/>
              </w:rPr>
              <w:t>Signal</w:t>
            </w:r>
          </w:p>
        </w:tc>
        <w:tc>
          <w:tcPr>
            <w:tcW w:type="dxa" w:w="4680"/>
            <w:vAlign w:val="top"/>
          </w:tcPr>
          <w:p>
            <w:r>
              <w:rPr>
                <w:color w:val="1A1A2E"/>
                <w:sz w:val="18"/>
              </w:rPr>
              <w:t>A model prediction that passes the confidence threshold</w:t>
            </w:r>
          </w:p>
        </w:tc>
      </w:tr>
      <w:tr>
        <w:tc>
          <w:tcPr>
            <w:tcW w:type="dxa" w:w="4680"/>
            <w:vAlign w:val="top"/>
          </w:tcPr>
          <w:p>
            <w:r>
              <w:rPr>
                <w:color w:val="1A1A2E"/>
                <w:sz w:val="18"/>
              </w:rPr>
              <w:t>SMC</w:t>
            </w:r>
          </w:p>
        </w:tc>
        <w:tc>
          <w:tcPr>
            <w:tcW w:type="dxa" w:w="4680"/>
            <w:vAlign w:val="top"/>
          </w:tcPr>
          <w:p>
            <w:r>
              <w:rPr>
                <w:color w:val="1A1A2E"/>
                <w:sz w:val="18"/>
              </w:rPr>
              <w:t>Smart Money Concepts — retail interpretation of institutional ICT concepts</w:t>
            </w:r>
          </w:p>
        </w:tc>
      </w:tr>
      <w:tr>
        <w:tc>
          <w:tcPr>
            <w:tcW w:type="dxa" w:w="4680"/>
            <w:vAlign w:val="top"/>
          </w:tcPr>
          <w:p>
            <w:r>
              <w:rPr>
                <w:color w:val="1A1A2E"/>
                <w:sz w:val="18"/>
              </w:rPr>
              <w:t>Sortino ratio</w:t>
            </w:r>
          </w:p>
        </w:tc>
        <w:tc>
          <w:tcPr>
            <w:tcW w:type="dxa" w:w="4680"/>
            <w:vAlign w:val="top"/>
          </w:tcPr>
          <w:p>
            <w:r>
              <w:rPr>
                <w:color w:val="1A1A2E"/>
                <w:sz w:val="18"/>
              </w:rPr>
              <w:t>Sharpe ratio variant using downside deviation only</w:t>
            </w:r>
          </w:p>
        </w:tc>
      </w:tr>
      <w:tr>
        <w:tc>
          <w:tcPr>
            <w:tcW w:type="dxa" w:w="4680"/>
            <w:vAlign w:val="top"/>
          </w:tcPr>
          <w:p>
            <w:r>
              <w:rPr>
                <w:color w:val="1A1A2E"/>
                <w:sz w:val="18"/>
              </w:rPr>
              <w:t>TPE</w:t>
            </w:r>
          </w:p>
        </w:tc>
        <w:tc>
          <w:tcPr>
            <w:tcW w:type="dxa" w:w="4680"/>
            <w:vAlign w:val="top"/>
          </w:tcPr>
          <w:p>
            <w:r>
              <w:rPr>
                <w:color w:val="1A1A2E"/>
                <w:sz w:val="18"/>
              </w:rPr>
              <w:t>Tree-structured Parzen Estimator — Bayesian optimization algorithm</w:t>
            </w:r>
          </w:p>
        </w:tc>
      </w:tr>
      <w:tr>
        <w:tc>
          <w:tcPr>
            <w:tcW w:type="dxa" w:w="4680"/>
            <w:vAlign w:val="top"/>
          </w:tcPr>
          <w:p>
            <w:r>
              <w:rPr>
                <w:color w:val="1A1A2E"/>
                <w:sz w:val="18"/>
              </w:rPr>
              <w:t>Walk-forward</w:t>
            </w:r>
          </w:p>
        </w:tc>
        <w:tc>
          <w:tcPr>
            <w:tcW w:type="dxa" w:w="4680"/>
            <w:vAlign w:val="top"/>
          </w:tcPr>
          <w:p>
            <w:r>
              <w:rPr>
                <w:color w:val="1A1A2E"/>
                <w:sz w:val="18"/>
              </w:rPr>
              <w:t>Time-series cross-validation where test windows always follow training windows</w:t>
            </w:r>
          </w:p>
        </w:tc>
      </w:tr>
      <w:tr>
        <w:tc>
          <w:tcPr>
            <w:tcW w:type="dxa" w:w="4680"/>
            <w:vAlign w:val="top"/>
          </w:tcPr>
          <w:p>
            <w:r>
              <w:rPr>
                <w:color w:val="1A1A2E"/>
                <w:sz w:val="18"/>
              </w:rPr>
              <w:t>W1</w:t>
            </w:r>
          </w:p>
        </w:tc>
        <w:tc>
          <w:tcPr>
            <w:tcW w:type="dxa" w:w="4680"/>
            <w:vAlign w:val="top"/>
          </w:tcPr>
          <w:p>
            <w:r>
              <w:rPr>
                <w:color w:val="1A1A2E"/>
                <w:sz w:val="18"/>
              </w:rPr>
              <w:t>Weekly timeframe (one bar = one trading week)</w:t>
            </w:r>
          </w:p>
        </w:tc>
      </w:tr>
      <w:tr>
        <w:tc>
          <w:tcPr>
            <w:tcW w:type="dxa" w:w="4680"/>
            <w:vAlign w:val="top"/>
          </w:tcPr>
          <w:p>
            <w:r>
              <w:rPr>
                <w:color w:val="1A1A2E"/>
                <w:sz w:val="18"/>
              </w:rPr>
              <w:t>XGBoost</w:t>
            </w:r>
          </w:p>
        </w:tc>
        <w:tc>
          <w:tcPr>
            <w:tcW w:type="dxa" w:w="4680"/>
            <w:vAlign w:val="top"/>
          </w:tcPr>
          <w:p>
            <w:r>
              <w:rPr>
                <w:color w:val="1A1A2E"/>
                <w:sz w:val="18"/>
              </w:rPr>
              <w:t>eXtreme Gradient Boosting — Chen &amp; Guestrin, 2016</w:t>
            </w:r>
          </w:p>
        </w:tc>
      </w:tr>
    </w:tbl>
    <w:p/>
    <w:p>
      <w:pPr/>
      <w:r>
        <w:t>Document end. Total sections: 19 + 5 appendices.</w:t>
      </w:r>
      <w:r>
        <w:t xml:space="preserve">  </w:t>
      </w:r>
    </w:p>
    <w:p>
      <w:pPr/>
      <w:r>
        <w:t>Generated: July 2026 | Smart Trading ML Pipeline v1.0.0 | EURUSD M15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068"/>
        <w:sz w:val="16"/>
      </w:rPr>
      <w:t xml:space="preserve">Smart Trading ML Pipeline — EURUSD M15   |   Page </w:t>
    </w:r>
    <w:r>
      <w:rPr>
        <w:color w:val="55606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onsolas" w:hAnsi="Consolas"/>
      <w:b/>
      <w:bCs/>
      <w:color w:val="2E863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onsolas" w:hAnsi="Consolas"/>
      <w:b/>
      <w:bCs/>
      <w:color w:val="2E863A"/>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onsolas" w:hAnsi="Consola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Consolas" w:hAnsi="Consolas"/>
      <w:b/>
      <w:bCs/>
      <w:i/>
      <w:iCs/>
      <w:color w:val="5560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