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SIMPLICREATIVE  |  SIMPLIBLUEPRINT</w:t>
      </w:r>
    </w:p>
    <w:p>
      <w:pPr>
        <w:spacing w:before="1400"/>
        <w:jc w:val="center"/>
      </w:pPr>
      <w:r>
        <w:rPr>
          <w:b/>
          <w:color w:val="142A42"/>
          <w:sz w:val="64"/>
        </w:rPr>
        <w:t>NuVue</w:t>
      </w:r>
    </w:p>
    <w:p>
      <w:pPr>
        <w:jc w:val="center"/>
      </w:pPr>
      <w:r>
        <w:rPr>
          <w:b/>
          <w:color w:val="23757F"/>
          <w:sz w:val="44"/>
        </w:rPr>
        <w:t>Marketing Ecosystem &amp; Website Blueprint</w:t>
      </w:r>
    </w:p>
    <w:p>
      <w:pPr>
        <w:spacing w:before="360"/>
        <w:jc w:val="center"/>
      </w:pPr>
      <w:r>
        <w:rPr>
          <w:color w:val="54606E"/>
          <w:sz w:val="24"/>
        </w:rPr>
        <w:t>From fragmented digital presence to a measurable growth foundation</w:t>
      </w:r>
    </w:p>
    <w:tbl>
      <w:tblPr>
        <w:tblStyle w:val="TableGrid"/>
        <w:tblW w:type="auto" w:w="0"/>
        <w:jc w:val="center"/>
        <w:tblLook w:firstColumn="1" w:firstRow="1" w:lastColumn="0" w:lastRow="0" w:noHBand="0" w:noVBand="1" w:val="04A0"/>
      </w:tblPr>
      <w:tblGrid>
        <w:gridCol w:w="10080"/>
      </w:tblGrid>
      <w:tr>
        <w:trPr>
          <w:cantSplit/>
        </w:trPr>
        <w:tc>
          <w:tcPr>
            <w:tcW w:type="dxa" w:w="10080"/>
            <w:shd w:fill="EEF4F6"/>
            <w:tcMar>
              <w:top w:w="160" w:type="dxa"/>
              <w:start w:w="180" w:type="dxa"/>
              <w:bottom w:w="160" w:type="dxa"/>
              <w:end w:w="180" w:type="dxa"/>
            </w:tcMar>
          </w:tcPr>
          <w:p>
            <w:r>
              <w:rPr>
                <w:b/>
                <w:color w:val="142A42"/>
                <w:sz w:val="22"/>
              </w:rPr>
              <w:t>Blueprint objective</w:t>
            </w:r>
          </w:p>
          <w:p>
            <w:pPr>
              <w:pStyle w:val="Callout"/>
            </w:pPr>
            <w:r>
              <w:t>Define what is preventing NuVue's website and marketing ecosystem from supporting enterprise growth, determine what should change first, and translate the strategy into an implementation-ready plan.</w:t>
            </w:r>
          </w:p>
        </w:tc>
      </w:tr>
    </w:tbl>
    <w:p>
      <w:pPr>
        <w:spacing w:after="40"/>
      </w:pPr>
    </w:p>
    <w:p>
      <w:pPr>
        <w:spacing w:before="1600"/>
        <w:jc w:val="center"/>
      </w:pPr>
      <w:r>
        <w:rPr>
          <w:color w:val="54606E"/>
          <w:sz w:val="20"/>
        </w:rPr>
        <w:t>Prepared for NuVue</w:t>
        <w:br/>
        <w:t>Prepared by SimpliCreative</w:t>
        <w:br/>
        <w:t>Sample client deliverable</w:t>
      </w:r>
    </w:p>
    <w:p>
      <w:r>
        <w:br w:type="page"/>
      </w:r>
    </w:p>
    <w:p>
      <w:pPr>
        <w:pStyle w:val="Heading1"/>
      </w:pPr>
      <w:r>
        <w:t>Blueprint at a Glance</w:t>
      </w:r>
    </w:p>
    <w:p>
      <w:r>
        <w:t>This document is designed to help leadership make decisions first, then give the implementation team enough direction to execute those decisions without losing the strategic reasoning behind them.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14324A"/>
            <w:tcMar>
              <w:top w:w="120" w:type="dxa"/>
              <w:start w:w="120" w:type="dxa"/>
              <w:bottom w:w="120" w:type="dxa"/>
              <w:end w:w="120" w:type="dxa"/>
            </w:tcMar>
            <w:vAlign w:val="center"/>
          </w:tcPr>
          <w:p>
            <w:pPr>
              <w:jc w:val="left"/>
            </w:pPr>
            <w:r>
              <w:rPr>
                <w:b/>
                <w:color w:val="FFFFFF"/>
                <w:sz w:val="17"/>
              </w:rPr>
              <w:t>Section</w:t>
            </w:r>
          </w:p>
        </w:tc>
        <w:tc>
          <w:tcPr>
            <w:tcW w:type="dxa" w:w="6624"/>
            <w:shd w:fill="14324A"/>
            <w:tcMar>
              <w:top w:w="120" w:type="dxa"/>
              <w:start w:w="120" w:type="dxa"/>
              <w:bottom w:w="120" w:type="dxa"/>
              <w:end w:w="120" w:type="dxa"/>
            </w:tcMar>
            <w:vAlign w:val="center"/>
          </w:tcPr>
          <w:p>
            <w:pPr>
              <w:jc w:val="left"/>
            </w:pPr>
            <w:r>
              <w:rPr>
                <w:b/>
                <w:color w:val="FFFFFF"/>
                <w:sz w:val="17"/>
              </w:rPr>
              <w:t>Decision it supports</w:t>
            </w:r>
          </w:p>
        </w:tc>
      </w:tr>
      <w:tr>
        <w:tc>
          <w:tcPr>
            <w:tcW w:type="dxa" w:w="3312"/>
            <w:tcMar>
              <w:top w:w="120" w:type="dxa"/>
              <w:start w:w="120" w:type="dxa"/>
              <w:bottom w:w="120" w:type="dxa"/>
              <w:end w:w="120" w:type="dxa"/>
            </w:tcMar>
            <w:vAlign w:val="center"/>
          </w:tcPr>
          <w:p>
            <w:r>
              <w:rPr>
                <w:color w:val="142A42"/>
                <w:sz w:val="17"/>
              </w:rPr>
              <w:t>Executive Decision Summary</w:t>
            </w:r>
          </w:p>
        </w:tc>
        <w:tc>
          <w:tcPr>
            <w:tcW w:type="dxa" w:w="6624"/>
            <w:tcMar>
              <w:top w:w="120" w:type="dxa"/>
              <w:start w:w="120" w:type="dxa"/>
              <w:bottom w:w="120" w:type="dxa"/>
              <w:end w:w="120" w:type="dxa"/>
            </w:tcMar>
            <w:vAlign w:val="center"/>
          </w:tcPr>
          <w:p>
            <w:r>
              <w:rPr>
                <w:color w:val="142A42"/>
                <w:sz w:val="17"/>
              </w:rPr>
              <w:t>What should NuVue do and why?</w:t>
            </w:r>
          </w:p>
        </w:tc>
      </w:tr>
      <w:tr>
        <w:tc>
          <w:tcPr>
            <w:tcW w:type="dxa" w:w="3312"/>
            <w:tcMar>
              <w:top w:w="120" w:type="dxa"/>
              <w:start w:w="120" w:type="dxa"/>
              <w:bottom w:w="120" w:type="dxa"/>
              <w:end w:w="120" w:type="dxa"/>
            </w:tcMar>
            <w:vAlign w:val="center"/>
          </w:tcPr>
          <w:p>
            <w:r>
              <w:rPr>
                <w:color w:val="142A42"/>
                <w:sz w:val="17"/>
              </w:rPr>
              <w:t>Evidence &amp; Root Causes</w:t>
            </w:r>
          </w:p>
        </w:tc>
        <w:tc>
          <w:tcPr>
            <w:tcW w:type="dxa" w:w="6624"/>
            <w:tcMar>
              <w:top w:w="120" w:type="dxa"/>
              <w:start w:w="120" w:type="dxa"/>
              <w:bottom w:w="120" w:type="dxa"/>
              <w:end w:w="120" w:type="dxa"/>
            </w:tcMar>
            <w:vAlign w:val="center"/>
          </w:tcPr>
          <w:p>
            <w:r>
              <w:rPr>
                <w:color w:val="142A42"/>
                <w:sz w:val="17"/>
              </w:rPr>
              <w:t>What did the investigation validate?</w:t>
            </w:r>
          </w:p>
        </w:tc>
      </w:tr>
      <w:tr>
        <w:tc>
          <w:tcPr>
            <w:tcW w:type="dxa" w:w="3312"/>
            <w:tcMar>
              <w:top w:w="120" w:type="dxa"/>
              <w:start w:w="120" w:type="dxa"/>
              <w:bottom w:w="120" w:type="dxa"/>
              <w:end w:w="120" w:type="dxa"/>
            </w:tcMar>
            <w:vAlign w:val="center"/>
          </w:tcPr>
          <w:p>
            <w:r>
              <w:rPr>
                <w:color w:val="142A42"/>
                <w:sz w:val="17"/>
              </w:rPr>
              <w:t>Priority Register</w:t>
            </w:r>
          </w:p>
        </w:tc>
        <w:tc>
          <w:tcPr>
            <w:tcW w:type="dxa" w:w="6624"/>
            <w:tcMar>
              <w:top w:w="120" w:type="dxa"/>
              <w:start w:w="120" w:type="dxa"/>
              <w:bottom w:w="120" w:type="dxa"/>
              <w:end w:w="120" w:type="dxa"/>
            </w:tcMar>
            <w:vAlign w:val="center"/>
          </w:tcPr>
          <w:p>
            <w:r>
              <w:rPr>
                <w:color w:val="142A42"/>
                <w:sz w:val="17"/>
              </w:rPr>
              <w:t>What happens now, next, later, and not yet?</w:t>
            </w:r>
          </w:p>
        </w:tc>
      </w:tr>
      <w:tr>
        <w:tc>
          <w:tcPr>
            <w:tcW w:type="dxa" w:w="3312"/>
            <w:tcMar>
              <w:top w:w="120" w:type="dxa"/>
              <w:start w:w="120" w:type="dxa"/>
              <w:bottom w:w="120" w:type="dxa"/>
              <w:end w:w="120" w:type="dxa"/>
            </w:tcMar>
            <w:vAlign w:val="center"/>
          </w:tcPr>
          <w:p>
            <w:r>
              <w:rPr>
                <w:color w:val="142A42"/>
                <w:sz w:val="17"/>
              </w:rPr>
              <w:t>ICP &amp; Buying Committee</w:t>
            </w:r>
          </w:p>
        </w:tc>
        <w:tc>
          <w:tcPr>
            <w:tcW w:type="dxa" w:w="6624"/>
            <w:tcMar>
              <w:top w:w="120" w:type="dxa"/>
              <w:start w:w="120" w:type="dxa"/>
              <w:bottom w:w="120" w:type="dxa"/>
              <w:end w:w="120" w:type="dxa"/>
            </w:tcMar>
            <w:vAlign w:val="center"/>
          </w:tcPr>
          <w:p>
            <w:r>
              <w:rPr>
                <w:color w:val="142A42"/>
                <w:sz w:val="17"/>
              </w:rPr>
              <w:t>Who should the experience be built around?</w:t>
            </w:r>
          </w:p>
        </w:tc>
      </w:tr>
      <w:tr>
        <w:tc>
          <w:tcPr>
            <w:tcW w:type="dxa" w:w="3312"/>
            <w:tcMar>
              <w:top w:w="120" w:type="dxa"/>
              <w:start w:w="120" w:type="dxa"/>
              <w:bottom w:w="120" w:type="dxa"/>
              <w:end w:w="120" w:type="dxa"/>
            </w:tcMar>
            <w:vAlign w:val="center"/>
          </w:tcPr>
          <w:p>
            <w:r>
              <w:rPr>
                <w:color w:val="142A42"/>
                <w:sz w:val="17"/>
              </w:rPr>
              <w:t>Storytelling &amp; Messaging Architecture</w:t>
            </w:r>
          </w:p>
        </w:tc>
        <w:tc>
          <w:tcPr>
            <w:tcW w:type="dxa" w:w="6624"/>
            <w:tcMar>
              <w:top w:w="120" w:type="dxa"/>
              <w:start w:w="120" w:type="dxa"/>
              <w:bottom w:w="120" w:type="dxa"/>
              <w:end w:w="120" w:type="dxa"/>
            </w:tcMar>
            <w:vAlign w:val="center"/>
          </w:tcPr>
          <w:p>
            <w:r>
              <w:rPr>
                <w:color w:val="142A42"/>
                <w:sz w:val="17"/>
              </w:rPr>
              <w:t>What story should the market hear?</w:t>
            </w:r>
          </w:p>
        </w:tc>
      </w:tr>
      <w:tr>
        <w:tc>
          <w:tcPr>
            <w:tcW w:type="dxa" w:w="3312"/>
            <w:tcMar>
              <w:top w:w="120" w:type="dxa"/>
              <w:start w:w="120" w:type="dxa"/>
              <w:bottom w:w="120" w:type="dxa"/>
              <w:end w:w="120" w:type="dxa"/>
            </w:tcMar>
            <w:vAlign w:val="center"/>
          </w:tcPr>
          <w:p>
            <w:r>
              <w:rPr>
                <w:color w:val="142A42"/>
                <w:sz w:val="17"/>
              </w:rPr>
              <w:t>Buyer Journey &amp; Offer Architecture</w:t>
            </w:r>
          </w:p>
        </w:tc>
        <w:tc>
          <w:tcPr>
            <w:tcW w:type="dxa" w:w="6624"/>
            <w:tcMar>
              <w:top w:w="120" w:type="dxa"/>
              <w:start w:w="120" w:type="dxa"/>
              <w:bottom w:w="120" w:type="dxa"/>
              <w:end w:w="120" w:type="dxa"/>
            </w:tcMar>
            <w:vAlign w:val="center"/>
          </w:tcPr>
          <w:p>
            <w:r>
              <w:rPr>
                <w:color w:val="142A42"/>
                <w:sz w:val="17"/>
              </w:rPr>
              <w:t>How should buyers progress toward action?</w:t>
            </w:r>
          </w:p>
        </w:tc>
      </w:tr>
      <w:tr>
        <w:tc>
          <w:tcPr>
            <w:tcW w:type="dxa" w:w="3312"/>
            <w:tcMar>
              <w:top w:w="120" w:type="dxa"/>
              <w:start w:w="120" w:type="dxa"/>
              <w:bottom w:w="120" w:type="dxa"/>
              <w:end w:w="120" w:type="dxa"/>
            </w:tcMar>
            <w:vAlign w:val="center"/>
          </w:tcPr>
          <w:p>
            <w:r>
              <w:rPr>
                <w:color w:val="142A42"/>
                <w:sz w:val="17"/>
              </w:rPr>
              <w:t>Discoverability &amp; AI Recommendation Strategy</w:t>
            </w:r>
          </w:p>
        </w:tc>
        <w:tc>
          <w:tcPr>
            <w:tcW w:type="dxa" w:w="6624"/>
            <w:tcMar>
              <w:top w:w="120" w:type="dxa"/>
              <w:start w:w="120" w:type="dxa"/>
              <w:bottom w:w="120" w:type="dxa"/>
              <w:end w:w="120" w:type="dxa"/>
            </w:tcMar>
            <w:vAlign w:val="center"/>
          </w:tcPr>
          <w:p>
            <w:r>
              <w:rPr>
                <w:color w:val="142A42"/>
                <w:sz w:val="17"/>
              </w:rPr>
              <w:t>How should NuVue become easier to find and recommend?</w:t>
            </w:r>
          </w:p>
        </w:tc>
      </w:tr>
      <w:tr>
        <w:tc>
          <w:tcPr>
            <w:tcW w:type="dxa" w:w="3312"/>
            <w:tcMar>
              <w:top w:w="120" w:type="dxa"/>
              <w:start w:w="120" w:type="dxa"/>
              <w:bottom w:w="120" w:type="dxa"/>
              <w:end w:w="120" w:type="dxa"/>
            </w:tcMar>
            <w:vAlign w:val="center"/>
          </w:tcPr>
          <w:p>
            <w:r>
              <w:rPr>
                <w:color w:val="142A42"/>
                <w:sz w:val="17"/>
              </w:rPr>
              <w:t>FAST Website Requirements</w:t>
            </w:r>
          </w:p>
        </w:tc>
        <w:tc>
          <w:tcPr>
            <w:tcW w:type="dxa" w:w="6624"/>
            <w:tcMar>
              <w:top w:w="120" w:type="dxa"/>
              <w:start w:w="120" w:type="dxa"/>
              <w:bottom w:w="120" w:type="dxa"/>
              <w:end w:w="120" w:type="dxa"/>
            </w:tcMar>
            <w:vAlign w:val="center"/>
          </w:tcPr>
          <w:p>
            <w:r>
              <w:rPr>
                <w:color w:val="142A42"/>
                <w:sz w:val="17"/>
              </w:rPr>
              <w:t>What must the website foundation enable?</w:t>
            </w:r>
          </w:p>
        </w:tc>
      </w:tr>
      <w:tr>
        <w:tc>
          <w:tcPr>
            <w:tcW w:type="dxa" w:w="3312"/>
            <w:tcMar>
              <w:top w:w="120" w:type="dxa"/>
              <w:start w:w="120" w:type="dxa"/>
              <w:bottom w:w="120" w:type="dxa"/>
              <w:end w:w="120" w:type="dxa"/>
            </w:tcMar>
            <w:vAlign w:val="center"/>
          </w:tcPr>
          <w:p>
            <w:r>
              <w:rPr>
                <w:color w:val="142A42"/>
                <w:sz w:val="17"/>
              </w:rPr>
              <w:t>Website Implementation Blueprint</w:t>
            </w:r>
          </w:p>
        </w:tc>
        <w:tc>
          <w:tcPr>
            <w:tcW w:type="dxa" w:w="6624"/>
            <w:tcMar>
              <w:top w:w="120" w:type="dxa"/>
              <w:start w:w="120" w:type="dxa"/>
              <w:bottom w:w="120" w:type="dxa"/>
              <w:end w:w="120" w:type="dxa"/>
            </w:tcMar>
            <w:vAlign w:val="center"/>
          </w:tcPr>
          <w:p>
            <w:r>
              <w:rPr>
                <w:color w:val="142A42"/>
                <w:sz w:val="17"/>
              </w:rPr>
              <w:t>What specifically needs to be built?</w:t>
            </w:r>
          </w:p>
        </w:tc>
      </w:tr>
      <w:tr>
        <w:tc>
          <w:tcPr>
            <w:tcW w:type="dxa" w:w="3312"/>
            <w:tcMar>
              <w:top w:w="120" w:type="dxa"/>
              <w:start w:w="120" w:type="dxa"/>
              <w:bottom w:w="120" w:type="dxa"/>
              <w:end w:w="120" w:type="dxa"/>
            </w:tcMar>
            <w:vAlign w:val="center"/>
          </w:tcPr>
          <w:p>
            <w:r>
              <w:rPr>
                <w:color w:val="142A42"/>
                <w:sz w:val="17"/>
              </w:rPr>
              <w:t>Measurement Architecture</w:t>
            </w:r>
          </w:p>
        </w:tc>
        <w:tc>
          <w:tcPr>
            <w:tcW w:type="dxa" w:w="6624"/>
            <w:tcMar>
              <w:top w:w="120" w:type="dxa"/>
              <w:start w:w="120" w:type="dxa"/>
              <w:bottom w:w="120" w:type="dxa"/>
              <w:end w:w="120" w:type="dxa"/>
            </w:tcMar>
            <w:vAlign w:val="center"/>
          </w:tcPr>
          <w:p>
            <w:r>
              <w:rPr>
                <w:color w:val="142A42"/>
                <w:sz w:val="17"/>
              </w:rPr>
              <w:t>How will NuVue make marketing impact visible?</w:t>
            </w:r>
          </w:p>
        </w:tc>
      </w:tr>
      <w:tr>
        <w:tc>
          <w:tcPr>
            <w:tcW w:type="dxa" w:w="3312"/>
            <w:tcMar>
              <w:top w:w="120" w:type="dxa"/>
              <w:start w:w="120" w:type="dxa"/>
              <w:bottom w:w="120" w:type="dxa"/>
              <w:end w:w="120" w:type="dxa"/>
            </w:tcMar>
            <w:vAlign w:val="center"/>
          </w:tcPr>
          <w:p>
            <w:r>
              <w:rPr>
                <w:color w:val="142A42"/>
                <w:sz w:val="17"/>
              </w:rPr>
              <w:t>Implementation Roadmap</w:t>
            </w:r>
          </w:p>
        </w:tc>
        <w:tc>
          <w:tcPr>
            <w:tcW w:type="dxa" w:w="6624"/>
            <w:tcMar>
              <w:top w:w="120" w:type="dxa"/>
              <w:start w:w="120" w:type="dxa"/>
              <w:bottom w:w="120" w:type="dxa"/>
              <w:end w:w="120" w:type="dxa"/>
            </w:tcMar>
            <w:vAlign w:val="center"/>
          </w:tcPr>
          <w:p>
            <w:r>
              <w:rPr>
                <w:color w:val="142A42"/>
                <w:sz w:val="17"/>
              </w:rPr>
              <w:t>What should happen in what order?</w:t>
            </w:r>
          </w:p>
        </w:tc>
      </w:tr>
      <w:tr>
        <w:tc>
          <w:tcPr>
            <w:tcW w:type="dxa" w:w="3312"/>
            <w:tcMar>
              <w:top w:w="120" w:type="dxa"/>
              <w:start w:w="120" w:type="dxa"/>
              <w:bottom w:w="120" w:type="dxa"/>
              <w:end w:w="120" w:type="dxa"/>
            </w:tcMar>
            <w:vAlign w:val="center"/>
          </w:tcPr>
          <w:p>
            <w:r>
              <w:rPr>
                <w:color w:val="142A42"/>
                <w:sz w:val="17"/>
              </w:rPr>
              <w:t>Next Decisions</w:t>
            </w:r>
          </w:p>
        </w:tc>
        <w:tc>
          <w:tcPr>
            <w:tcW w:type="dxa" w:w="6624"/>
            <w:tcMar>
              <w:top w:w="120" w:type="dxa"/>
              <w:start w:w="120" w:type="dxa"/>
              <w:bottom w:w="120" w:type="dxa"/>
              <w:end w:w="120" w:type="dxa"/>
            </w:tcMar>
            <w:vAlign w:val="center"/>
          </w:tcPr>
          <w:p>
            <w:r>
              <w:rPr>
                <w:color w:val="142A42"/>
                <w:sz w:val="17"/>
              </w:rPr>
              <w:t>What does leadership need to approve?</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F8F2E6"/>
            <w:tcMar>
              <w:top w:w="160" w:type="dxa"/>
              <w:start w:w="180" w:type="dxa"/>
              <w:bottom w:w="160" w:type="dxa"/>
              <w:end w:w="180" w:type="dxa"/>
            </w:tcMar>
          </w:tcPr>
          <w:p>
            <w:r>
              <w:rPr>
                <w:b/>
                <w:color w:val="142A42"/>
                <w:sz w:val="22"/>
              </w:rPr>
              <w:t>Evidence language used throughout</w:t>
            </w:r>
          </w:p>
          <w:p>
            <w:pPr>
              <w:pStyle w:val="Callout"/>
            </w:pPr>
            <w:r>
              <w:t>Validated = supported by direct evidence and strategist review. Client-reported = stated by NuVue and treated as an input. Working assumption = strategically plausible but requires additional evidence before implementation.</w:t>
            </w:r>
          </w:p>
        </w:tc>
      </w:tr>
    </w:tbl>
    <w:p>
      <w:pPr>
        <w:spacing w:after="40"/>
      </w:pPr>
    </w:p>
    <w:p>
      <w:pPr>
        <w:pStyle w:val="Heading1"/>
      </w:pPr>
      <w:r>
        <w:t>1. Executive Decision Summary</w:t>
      </w:r>
    </w:p>
    <w:p>
      <w:r>
        <w:t>NuVue's growth opportunity is not simply a website redesign. The website currently under-represents the breadth of the business, mixes materially different buyer journeys, hides several of NuVue's strongest proof points, and does not yet provide a reliable line of sight from digital activity to qualified business outcomes.</w:t>
      </w:r>
    </w:p>
    <w:p>
      <w:r>
        <w:t>Our recommendation is to rebuild the digital foundation around a primary corporate buying journey and a secondary individual-professional journey, with three clear solution pillars, stronger evidence and authority, explicit conversion paths, and measurement that connects website behavior to qualified leads and opportunities.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2F6F7"/>
            <w:tcMar>
              <w:top w:w="180" w:type="dxa"/>
              <w:start w:w="100" w:type="dxa"/>
              <w:bottom w:w="180" w:type="dxa"/>
              <w:end w:w="100" w:type="dxa"/>
            </w:tcMar>
            <w:vAlign w:val="center"/>
          </w:tcPr>
          <w:p>
            <w:pPr>
              <w:jc w:val="center"/>
            </w:pPr>
            <w:r>
              <w:rPr>
                <w:b/>
                <w:color w:val="23757F"/>
                <w:sz w:val="34"/>
              </w:rPr>
              <w:t>2</w:t>
            </w:r>
          </w:p>
          <w:p>
            <w:pPr>
              <w:jc w:val="center"/>
            </w:pPr>
            <w:r>
              <w:rPr>
                <w:color w:val="54606E"/>
                <w:sz w:val="17"/>
              </w:rPr>
              <w:t>Distinct buyer journeys</w:t>
            </w:r>
          </w:p>
        </w:tc>
        <w:tc>
          <w:tcPr>
            <w:tcW w:type="dxa" w:w="2520"/>
            <w:shd w:fill="F2F6F7"/>
            <w:tcMar>
              <w:top w:w="180" w:type="dxa"/>
              <w:start w:w="100" w:type="dxa"/>
              <w:bottom w:w="180" w:type="dxa"/>
              <w:end w:w="100" w:type="dxa"/>
            </w:tcMar>
            <w:vAlign w:val="center"/>
          </w:tcPr>
          <w:p>
            <w:pPr>
              <w:jc w:val="center"/>
            </w:pPr>
            <w:r>
              <w:rPr>
                <w:b/>
                <w:color w:val="23757F"/>
                <w:sz w:val="34"/>
              </w:rPr>
              <w:t>3</w:t>
            </w:r>
          </w:p>
          <w:p>
            <w:pPr>
              <w:jc w:val="center"/>
            </w:pPr>
            <w:r>
              <w:rPr>
                <w:color w:val="54606E"/>
                <w:sz w:val="17"/>
              </w:rPr>
              <w:t>Core solution pillars</w:t>
            </w:r>
          </w:p>
        </w:tc>
        <w:tc>
          <w:tcPr>
            <w:tcW w:type="dxa" w:w="2520"/>
            <w:shd w:fill="F2F6F7"/>
            <w:tcMar>
              <w:top w:w="180" w:type="dxa"/>
              <w:start w:w="100" w:type="dxa"/>
              <w:bottom w:w="180" w:type="dxa"/>
              <w:end w:w="100" w:type="dxa"/>
            </w:tcMar>
            <w:vAlign w:val="center"/>
          </w:tcPr>
          <w:p>
            <w:pPr>
              <w:jc w:val="center"/>
            </w:pPr>
            <w:r>
              <w:rPr>
                <w:b/>
                <w:color w:val="23757F"/>
                <w:sz w:val="34"/>
              </w:rPr>
              <w:t>4</w:t>
            </w:r>
          </w:p>
          <w:p>
            <w:pPr>
              <w:jc w:val="center"/>
            </w:pPr>
            <w:r>
              <w:rPr>
                <w:color w:val="54606E"/>
                <w:sz w:val="17"/>
              </w:rPr>
              <w:t>Priority root causes</w:t>
            </w:r>
          </w:p>
        </w:tc>
        <w:tc>
          <w:tcPr>
            <w:tcW w:type="dxa" w:w="2520"/>
            <w:shd w:fill="F2F6F7"/>
            <w:tcMar>
              <w:top w:w="180" w:type="dxa"/>
              <w:start w:w="100" w:type="dxa"/>
              <w:bottom w:w="180" w:type="dxa"/>
              <w:end w:w="100" w:type="dxa"/>
            </w:tcMar>
            <w:vAlign w:val="center"/>
          </w:tcPr>
          <w:p>
            <w:pPr>
              <w:jc w:val="center"/>
            </w:pPr>
            <w:r>
              <w:rPr>
                <w:b/>
                <w:color w:val="23757F"/>
                <w:sz w:val="34"/>
              </w:rPr>
              <w:t>12 wks</w:t>
            </w:r>
          </w:p>
          <w:p>
            <w:pPr>
              <w:jc w:val="center"/>
            </w:pPr>
            <w:r>
              <w:rPr>
                <w:color w:val="54606E"/>
                <w:sz w:val="17"/>
              </w:rPr>
              <w:t>Illustrative implementation sequence</w:t>
            </w:r>
          </w:p>
        </w:tc>
      </w:tr>
    </w:tbl>
    <w:p>
      <w:pPr>
        <w:spacing w:after="8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4324A"/>
            <w:tcMar>
              <w:top w:w="120" w:type="dxa"/>
              <w:start w:w="120" w:type="dxa"/>
              <w:bottom w:w="120" w:type="dxa"/>
              <w:end w:w="120" w:type="dxa"/>
            </w:tcMar>
            <w:vAlign w:val="center"/>
          </w:tcPr>
          <w:p>
            <w:pPr>
              <w:jc w:val="left"/>
            </w:pPr>
            <w:r>
              <w:rPr>
                <w:b/>
                <w:color w:val="FFFFFF"/>
                <w:sz w:val="17"/>
              </w:rPr>
              <w:t>Decision</w:t>
            </w:r>
          </w:p>
        </w:tc>
        <w:tc>
          <w:tcPr>
            <w:tcW w:type="dxa" w:w="4176"/>
            <w:shd w:fill="14324A"/>
            <w:tcMar>
              <w:top w:w="120" w:type="dxa"/>
              <w:start w:w="120" w:type="dxa"/>
              <w:bottom w:w="120" w:type="dxa"/>
              <w:end w:w="120" w:type="dxa"/>
            </w:tcMar>
            <w:vAlign w:val="center"/>
          </w:tcPr>
          <w:p>
            <w:pPr>
              <w:jc w:val="left"/>
            </w:pPr>
            <w:r>
              <w:rPr>
                <w:b/>
                <w:color w:val="FFFFFF"/>
                <w:sz w:val="17"/>
              </w:rPr>
              <w:t>Recommendation</w:t>
            </w:r>
          </w:p>
        </w:tc>
        <w:tc>
          <w:tcPr>
            <w:tcW w:type="dxa" w:w="3600"/>
            <w:shd w:fill="14324A"/>
            <w:tcMar>
              <w:top w:w="120" w:type="dxa"/>
              <w:start w:w="120" w:type="dxa"/>
              <w:bottom w:w="120" w:type="dxa"/>
              <w:end w:w="120" w:type="dxa"/>
            </w:tcMar>
            <w:vAlign w:val="center"/>
          </w:tcPr>
          <w:p>
            <w:pPr>
              <w:jc w:val="left"/>
            </w:pPr>
            <w:r>
              <w:rPr>
                <w:b/>
                <w:color w:val="FFFFFF"/>
                <w:sz w:val="17"/>
              </w:rPr>
              <w:t>Why it matters</w:t>
            </w:r>
          </w:p>
        </w:tc>
      </w:tr>
      <w:tr>
        <w:tc>
          <w:tcPr>
            <w:tcW w:type="dxa" w:w="2304"/>
            <w:tcMar>
              <w:top w:w="120" w:type="dxa"/>
              <w:start w:w="120" w:type="dxa"/>
              <w:bottom w:w="120" w:type="dxa"/>
              <w:end w:w="120" w:type="dxa"/>
            </w:tcMar>
            <w:vAlign w:val="center"/>
          </w:tcPr>
          <w:p>
            <w:r>
              <w:rPr>
                <w:color w:val="142A42"/>
                <w:sz w:val="17"/>
              </w:rPr>
              <w:t>Primary growth audience</w:t>
            </w:r>
          </w:p>
        </w:tc>
        <w:tc>
          <w:tcPr>
            <w:tcW w:type="dxa" w:w="4176"/>
            <w:tcMar>
              <w:top w:w="120" w:type="dxa"/>
              <w:start w:w="120" w:type="dxa"/>
              <w:bottom w:w="120" w:type="dxa"/>
              <w:end w:w="120" w:type="dxa"/>
            </w:tcMar>
            <w:vAlign w:val="center"/>
          </w:tcPr>
          <w:p>
            <w:r>
              <w:rPr>
                <w:color w:val="142A42"/>
                <w:sz w:val="17"/>
              </w:rPr>
              <w:t>Prioritize the corporate buyer while preserving a clear individual-professional path.</w:t>
            </w:r>
          </w:p>
        </w:tc>
        <w:tc>
          <w:tcPr>
            <w:tcW w:type="dxa" w:w="3600"/>
            <w:tcMar>
              <w:top w:w="120" w:type="dxa"/>
              <w:start w:w="120" w:type="dxa"/>
              <w:bottom w:w="120" w:type="dxa"/>
              <w:end w:w="120" w:type="dxa"/>
            </w:tcMar>
            <w:vAlign w:val="center"/>
          </w:tcPr>
          <w:p>
            <w:r>
              <w:rPr>
                <w:color w:val="142A42"/>
                <w:sz w:val="17"/>
              </w:rPr>
              <w:t>Corporate engagements represent the greater growth opportunity and require a longer, higher-trust buying journey.</w:t>
            </w:r>
          </w:p>
        </w:tc>
      </w:tr>
      <w:tr>
        <w:tc>
          <w:tcPr>
            <w:tcW w:type="dxa" w:w="2304"/>
            <w:tcMar>
              <w:top w:w="120" w:type="dxa"/>
              <w:start w:w="120" w:type="dxa"/>
              <w:bottom w:w="120" w:type="dxa"/>
              <w:end w:w="120" w:type="dxa"/>
            </w:tcMar>
            <w:vAlign w:val="center"/>
          </w:tcPr>
          <w:p>
            <w:r>
              <w:rPr>
                <w:color w:val="142A42"/>
                <w:sz w:val="17"/>
              </w:rPr>
              <w:t>Website structure</w:t>
            </w:r>
          </w:p>
        </w:tc>
        <w:tc>
          <w:tcPr>
            <w:tcW w:type="dxa" w:w="4176"/>
            <w:tcMar>
              <w:top w:w="120" w:type="dxa"/>
              <w:start w:w="120" w:type="dxa"/>
              <w:bottom w:w="120" w:type="dxa"/>
              <w:end w:w="120" w:type="dxa"/>
            </w:tcMar>
            <w:vAlign w:val="center"/>
          </w:tcPr>
          <w:p>
            <w:r>
              <w:rPr>
                <w:color w:val="142A42"/>
                <w:sz w:val="17"/>
              </w:rPr>
              <w:t>Organize around buyer needs and three solution pillars, not the existing program hierarchy.</w:t>
            </w:r>
          </w:p>
        </w:tc>
        <w:tc>
          <w:tcPr>
            <w:tcW w:type="dxa" w:w="3600"/>
            <w:tcMar>
              <w:top w:w="120" w:type="dxa"/>
              <w:start w:w="120" w:type="dxa"/>
              <w:bottom w:w="120" w:type="dxa"/>
              <w:end w:w="120" w:type="dxa"/>
            </w:tcMar>
            <w:vAlign w:val="center"/>
          </w:tcPr>
          <w:p>
            <w:r>
              <w:rPr>
                <w:color w:val="142A42"/>
                <w:sz w:val="17"/>
              </w:rPr>
              <w:t>The current structure makes NuVue's breadth difficult to understand and forces different buyers through the same experience.</w:t>
            </w:r>
          </w:p>
        </w:tc>
      </w:tr>
      <w:tr>
        <w:tc>
          <w:tcPr>
            <w:tcW w:type="dxa" w:w="2304"/>
            <w:tcMar>
              <w:top w:w="120" w:type="dxa"/>
              <w:start w:w="120" w:type="dxa"/>
              <w:bottom w:w="120" w:type="dxa"/>
              <w:end w:w="120" w:type="dxa"/>
            </w:tcMar>
            <w:vAlign w:val="center"/>
          </w:tcPr>
          <w:p>
            <w:r>
              <w:rPr>
                <w:color w:val="142A42"/>
                <w:sz w:val="17"/>
              </w:rPr>
              <w:t>Core narrative</w:t>
            </w:r>
          </w:p>
        </w:tc>
        <w:tc>
          <w:tcPr>
            <w:tcW w:type="dxa" w:w="4176"/>
            <w:tcMar>
              <w:top w:w="120" w:type="dxa"/>
              <w:start w:w="120" w:type="dxa"/>
              <w:bottom w:w="120" w:type="dxa"/>
              <w:end w:w="120" w:type="dxa"/>
            </w:tcMar>
            <w:vAlign w:val="center"/>
          </w:tcPr>
          <w:p>
            <w:r>
              <w:rPr>
                <w:color w:val="142A42"/>
                <w:sz w:val="17"/>
              </w:rPr>
              <w:t>Lead with lasting, measurable performance improvement rather than generic 'enablement.'</w:t>
            </w:r>
          </w:p>
        </w:tc>
        <w:tc>
          <w:tcPr>
            <w:tcW w:type="dxa" w:w="3600"/>
            <w:tcMar>
              <w:top w:w="120" w:type="dxa"/>
              <w:start w:w="120" w:type="dxa"/>
              <w:bottom w:w="120" w:type="dxa"/>
              <w:end w:w="120" w:type="dxa"/>
            </w:tcMar>
            <w:vAlign w:val="center"/>
          </w:tcPr>
          <w:p>
            <w:r>
              <w:rPr>
                <w:color w:val="142A42"/>
                <w:sz w:val="17"/>
              </w:rPr>
              <w:t>NuVue's strongest differentiators are sustained learning, measurable outcomes, breadth of expertise, and qualified performance guarantees.</w:t>
            </w:r>
          </w:p>
        </w:tc>
      </w:tr>
      <w:tr>
        <w:tc>
          <w:tcPr>
            <w:tcW w:type="dxa" w:w="2304"/>
            <w:tcMar>
              <w:top w:w="120" w:type="dxa"/>
              <w:start w:w="120" w:type="dxa"/>
              <w:bottom w:w="120" w:type="dxa"/>
              <w:end w:w="120" w:type="dxa"/>
            </w:tcMar>
            <w:vAlign w:val="center"/>
          </w:tcPr>
          <w:p>
            <w:r>
              <w:rPr>
                <w:color w:val="142A42"/>
                <w:sz w:val="17"/>
              </w:rPr>
              <w:t>Discoverability</w:t>
            </w:r>
          </w:p>
        </w:tc>
        <w:tc>
          <w:tcPr>
            <w:tcW w:type="dxa" w:w="4176"/>
            <w:tcMar>
              <w:top w:w="120" w:type="dxa"/>
              <w:start w:w="120" w:type="dxa"/>
              <w:bottom w:w="120" w:type="dxa"/>
              <w:end w:w="120" w:type="dxa"/>
            </w:tcMar>
            <w:vAlign w:val="center"/>
          </w:tcPr>
          <w:p>
            <w:r>
              <w:rPr>
                <w:color w:val="142A42"/>
                <w:sz w:val="17"/>
              </w:rPr>
              <w:t>Build authority around high-intent category, vertical, and buyer questions while improving AI recommendation visibility.</w:t>
            </w:r>
          </w:p>
        </w:tc>
        <w:tc>
          <w:tcPr>
            <w:tcW w:type="dxa" w:w="3600"/>
            <w:tcMar>
              <w:top w:w="120" w:type="dxa"/>
              <w:start w:w="120" w:type="dxa"/>
              <w:bottom w:w="120" w:type="dxa"/>
              <w:end w:w="120" w:type="dxa"/>
            </w:tcMar>
            <w:vAlign w:val="center"/>
          </w:tcPr>
          <w:p>
            <w:r>
              <w:rPr>
                <w:color w:val="142A42"/>
                <w:sz w:val="17"/>
              </w:rPr>
              <w:t>NuVue has relevant expertise but limited discoverability for the problems and categories buyers are researching.</w:t>
            </w:r>
          </w:p>
        </w:tc>
      </w:tr>
      <w:tr>
        <w:tc>
          <w:tcPr>
            <w:tcW w:type="dxa" w:w="2304"/>
            <w:tcMar>
              <w:top w:w="120" w:type="dxa"/>
              <w:start w:w="120" w:type="dxa"/>
              <w:bottom w:w="120" w:type="dxa"/>
              <w:end w:w="120" w:type="dxa"/>
            </w:tcMar>
            <w:vAlign w:val="center"/>
          </w:tcPr>
          <w:p>
            <w:r>
              <w:rPr>
                <w:color w:val="142A42"/>
                <w:sz w:val="17"/>
              </w:rPr>
              <w:t>Measurement</w:t>
            </w:r>
          </w:p>
        </w:tc>
        <w:tc>
          <w:tcPr>
            <w:tcW w:type="dxa" w:w="4176"/>
            <w:tcMar>
              <w:top w:w="120" w:type="dxa"/>
              <w:start w:w="120" w:type="dxa"/>
              <w:bottom w:w="120" w:type="dxa"/>
              <w:end w:w="120" w:type="dxa"/>
            </w:tcMar>
            <w:vAlign w:val="center"/>
          </w:tcPr>
          <w:p>
            <w:r>
              <w:rPr>
                <w:color w:val="142A42"/>
                <w:sz w:val="17"/>
              </w:rPr>
              <w:t>Connect site behavior to lead qualification and opportunity progression.</w:t>
            </w:r>
          </w:p>
        </w:tc>
        <w:tc>
          <w:tcPr>
            <w:tcW w:type="dxa" w:w="3600"/>
            <w:tcMar>
              <w:top w:w="120" w:type="dxa"/>
              <w:start w:w="120" w:type="dxa"/>
              <w:bottom w:w="120" w:type="dxa"/>
              <w:end w:w="120" w:type="dxa"/>
            </w:tcMar>
            <w:vAlign w:val="center"/>
          </w:tcPr>
          <w:p>
            <w:r>
              <w:rPr>
                <w:color w:val="142A42"/>
                <w:sz w:val="17"/>
              </w:rPr>
              <w:t>Traffic growth alone will not prove marketing impact to leadership.</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F8F2E6"/>
            <w:tcMar>
              <w:top w:w="160" w:type="dxa"/>
              <w:start w:w="180" w:type="dxa"/>
              <w:bottom w:w="160" w:type="dxa"/>
              <w:end w:w="180" w:type="dxa"/>
            </w:tcMar>
          </w:tcPr>
          <w:p>
            <w:r>
              <w:rPr>
                <w:b/>
                <w:color w:val="142A42"/>
                <w:sz w:val="22"/>
              </w:rPr>
              <w:t>What we would not prioritize first</w:t>
            </w:r>
          </w:p>
          <w:p>
            <w:pPr>
              <w:pStyle w:val="Callout"/>
            </w:pPr>
            <w:r>
              <w:t>Expanding every one of NuVue's 101+ programs into a standalone marketing page, scaling new paid acquisition, or building a broad content engine before the core positioning, buyer architecture, proof, conversion paths, and measurement foundation are in place.</w:t>
            </w:r>
          </w:p>
        </w:tc>
      </w:tr>
    </w:tbl>
    <w:p>
      <w:pPr>
        <w:spacing w:after="40"/>
      </w:pPr>
    </w:p>
    <w:p>
      <w:pPr>
        <w:pStyle w:val="Heading1"/>
      </w:pPr>
      <w:r>
        <w:t>2. Client Objective &amp; Success Criteria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4324A"/>
            <w:tcMar>
              <w:top w:w="120" w:type="dxa"/>
              <w:start w:w="120" w:type="dxa"/>
              <w:bottom w:w="120" w:type="dxa"/>
              <w:end w:w="120" w:type="dxa"/>
            </w:tcMar>
            <w:vAlign w:val="center"/>
          </w:tcPr>
          <w:p>
            <w:pPr>
              <w:jc w:val="left"/>
            </w:pPr>
            <w:r>
              <w:rPr>
                <w:b/>
                <w:color w:val="FFFFFF"/>
                <w:sz w:val="17"/>
              </w:rPr>
              <w:t>Objective</w:t>
            </w:r>
          </w:p>
        </w:tc>
        <w:tc>
          <w:tcPr>
            <w:tcW w:type="dxa" w:w="3744"/>
            <w:shd w:fill="14324A"/>
            <w:tcMar>
              <w:top w:w="120" w:type="dxa"/>
              <w:start w:w="120" w:type="dxa"/>
              <w:bottom w:w="120" w:type="dxa"/>
              <w:end w:w="120" w:type="dxa"/>
            </w:tcMar>
            <w:vAlign w:val="center"/>
          </w:tcPr>
          <w:p>
            <w:pPr>
              <w:jc w:val="left"/>
            </w:pPr>
            <w:r>
              <w:rPr>
                <w:b/>
                <w:color w:val="FFFFFF"/>
                <w:sz w:val="17"/>
              </w:rPr>
              <w:t>Current Evidence</w:t>
            </w:r>
          </w:p>
        </w:tc>
        <w:tc>
          <w:tcPr>
            <w:tcW w:type="dxa" w:w="3456"/>
            <w:shd w:fill="14324A"/>
            <w:tcMar>
              <w:top w:w="120" w:type="dxa"/>
              <w:start w:w="120" w:type="dxa"/>
              <w:bottom w:w="120" w:type="dxa"/>
              <w:end w:w="120" w:type="dxa"/>
            </w:tcMar>
            <w:vAlign w:val="center"/>
          </w:tcPr>
          <w:p>
            <w:pPr>
              <w:jc w:val="left"/>
            </w:pPr>
            <w:r>
              <w:rPr>
                <w:b/>
                <w:color w:val="FFFFFF"/>
                <w:sz w:val="17"/>
              </w:rPr>
              <w:t>Blueprint Implication</w:t>
            </w:r>
          </w:p>
        </w:tc>
      </w:tr>
      <w:tr>
        <w:tc>
          <w:tcPr>
            <w:tcW w:type="dxa" w:w="2880"/>
            <w:tcMar>
              <w:top w:w="120" w:type="dxa"/>
              <w:start w:w="120" w:type="dxa"/>
              <w:bottom w:w="120" w:type="dxa"/>
              <w:end w:w="120" w:type="dxa"/>
            </w:tcMar>
            <w:vAlign w:val="center"/>
          </w:tcPr>
          <w:p>
            <w:r>
              <w:rPr>
                <w:color w:val="142A42"/>
                <w:sz w:val="17"/>
              </w:rPr>
              <w:t>Grow toward a $10M company</w:t>
            </w:r>
          </w:p>
        </w:tc>
        <w:tc>
          <w:tcPr>
            <w:tcW w:type="dxa" w:w="3744"/>
            <w:tcMar>
              <w:top w:w="120" w:type="dxa"/>
              <w:start w:w="120" w:type="dxa"/>
              <w:bottom w:w="120" w:type="dxa"/>
              <w:end w:w="120" w:type="dxa"/>
            </w:tcMar>
            <w:vAlign w:val="center"/>
          </w:tcPr>
          <w:p>
            <w:r>
              <w:rPr>
                <w:color w:val="142A42"/>
                <w:sz w:val="17"/>
              </w:rPr>
              <w:t>Client-reported growth objective.</w:t>
            </w:r>
          </w:p>
        </w:tc>
        <w:tc>
          <w:tcPr>
            <w:tcW w:type="dxa" w:w="3456"/>
            <w:tcMar>
              <w:top w:w="120" w:type="dxa"/>
              <w:start w:w="120" w:type="dxa"/>
              <w:bottom w:w="120" w:type="dxa"/>
              <w:end w:w="120" w:type="dxa"/>
            </w:tcMar>
            <w:vAlign w:val="center"/>
          </w:tcPr>
          <w:p>
            <w:r>
              <w:rPr>
                <w:color w:val="142A42"/>
                <w:sz w:val="17"/>
              </w:rPr>
              <w:t>The website must support higher-value corporate acquisition and demonstrate business impact.</w:t>
            </w:r>
          </w:p>
        </w:tc>
      </w:tr>
      <w:tr>
        <w:tc>
          <w:tcPr>
            <w:tcW w:type="dxa" w:w="2880"/>
            <w:tcMar>
              <w:top w:w="120" w:type="dxa"/>
              <w:start w:w="120" w:type="dxa"/>
              <w:bottom w:w="120" w:type="dxa"/>
              <w:end w:w="120" w:type="dxa"/>
            </w:tcMar>
            <w:vAlign w:val="center"/>
          </w:tcPr>
          <w:p>
            <w:r>
              <w:rPr>
                <w:color w:val="142A42"/>
                <w:sz w:val="17"/>
              </w:rPr>
              <w:t>Become known for measurable, guaranteed sales-training outcomes</w:t>
            </w:r>
          </w:p>
        </w:tc>
        <w:tc>
          <w:tcPr>
            <w:tcW w:type="dxa" w:w="3744"/>
            <w:tcMar>
              <w:top w:w="120" w:type="dxa"/>
              <w:start w:w="120" w:type="dxa"/>
              <w:bottom w:w="120" w:type="dxa"/>
              <w:end w:w="120" w:type="dxa"/>
            </w:tcMar>
            <w:vAlign w:val="center"/>
          </w:tcPr>
          <w:p>
            <w:r>
              <w:rPr>
                <w:color w:val="142A42"/>
                <w:sz w:val="17"/>
              </w:rPr>
              <w:t>NuVue's CSP Guarantee and ROI claims are strategically differentiated but underused.</w:t>
            </w:r>
          </w:p>
        </w:tc>
        <w:tc>
          <w:tcPr>
            <w:tcW w:type="dxa" w:w="3456"/>
            <w:tcMar>
              <w:top w:w="120" w:type="dxa"/>
              <w:start w:w="120" w:type="dxa"/>
              <w:bottom w:w="120" w:type="dxa"/>
              <w:end w:w="120" w:type="dxa"/>
            </w:tcMar>
            <w:vAlign w:val="center"/>
          </w:tcPr>
          <w:p>
            <w:r>
              <w:rPr>
                <w:color w:val="142A42"/>
                <w:sz w:val="17"/>
              </w:rPr>
              <w:t>Proof and risk reduction should be much more visible in the corporate journey.</w:t>
            </w:r>
          </w:p>
        </w:tc>
      </w:tr>
      <w:tr>
        <w:tc>
          <w:tcPr>
            <w:tcW w:type="dxa" w:w="2880"/>
            <w:tcMar>
              <w:top w:w="120" w:type="dxa"/>
              <w:start w:w="120" w:type="dxa"/>
              <w:bottom w:w="120" w:type="dxa"/>
              <w:end w:w="120" w:type="dxa"/>
            </w:tcMar>
            <w:vAlign w:val="center"/>
          </w:tcPr>
          <w:p>
            <w:r>
              <w:rPr>
                <w:color w:val="142A42"/>
                <w:sz w:val="17"/>
              </w:rPr>
              <w:t>Grow enterprise business in Agriculture, Manufacturing, and Insurance</w:t>
            </w:r>
          </w:p>
        </w:tc>
        <w:tc>
          <w:tcPr>
            <w:tcW w:type="dxa" w:w="3744"/>
            <w:tcMar>
              <w:top w:w="120" w:type="dxa"/>
              <w:start w:w="120" w:type="dxa"/>
              <w:bottom w:w="120" w:type="dxa"/>
              <w:end w:w="120" w:type="dxa"/>
            </w:tcMar>
            <w:vAlign w:val="center"/>
          </w:tcPr>
          <w:p>
            <w:r>
              <w:rPr>
                <w:color w:val="142A42"/>
                <w:sz w:val="17"/>
              </w:rPr>
              <w:t>Client-reported priority verticals and existing expertise.</w:t>
            </w:r>
          </w:p>
        </w:tc>
        <w:tc>
          <w:tcPr>
            <w:tcW w:type="dxa" w:w="3456"/>
            <w:tcMar>
              <w:top w:w="120" w:type="dxa"/>
              <w:start w:w="120" w:type="dxa"/>
              <w:bottom w:w="120" w:type="dxa"/>
              <w:end w:w="120" w:type="dxa"/>
            </w:tcMar>
            <w:vAlign w:val="center"/>
          </w:tcPr>
          <w:p>
            <w:r>
              <w:rPr>
                <w:color w:val="142A42"/>
                <w:sz w:val="17"/>
              </w:rPr>
              <w:t>Vertical-specific buyer journeys and proof should be prioritized after the core foundation.</w:t>
            </w:r>
          </w:p>
        </w:tc>
      </w:tr>
      <w:tr>
        <w:tc>
          <w:tcPr>
            <w:tcW w:type="dxa" w:w="2880"/>
            <w:tcMar>
              <w:top w:w="120" w:type="dxa"/>
              <w:start w:w="120" w:type="dxa"/>
              <w:bottom w:w="120" w:type="dxa"/>
              <w:end w:w="120" w:type="dxa"/>
            </w:tcMar>
            <w:vAlign w:val="center"/>
          </w:tcPr>
          <w:p>
            <w:r>
              <w:rPr>
                <w:color w:val="142A42"/>
                <w:sz w:val="17"/>
              </w:rPr>
              <w:t>Support both corporate and individual buyers</w:t>
            </w:r>
          </w:p>
        </w:tc>
        <w:tc>
          <w:tcPr>
            <w:tcW w:type="dxa" w:w="3744"/>
            <w:tcMar>
              <w:top w:w="120" w:type="dxa"/>
              <w:start w:w="120" w:type="dxa"/>
              <w:bottom w:w="120" w:type="dxa"/>
              <w:end w:w="120" w:type="dxa"/>
            </w:tcMar>
            <w:vAlign w:val="center"/>
          </w:tcPr>
          <w:p>
            <w:r>
              <w:rPr>
                <w:color w:val="142A42"/>
                <w:sz w:val="17"/>
              </w:rPr>
              <w:t>Two materially different buying motions already exist.</w:t>
            </w:r>
          </w:p>
        </w:tc>
        <w:tc>
          <w:tcPr>
            <w:tcW w:type="dxa" w:w="3456"/>
            <w:tcMar>
              <w:top w:w="120" w:type="dxa"/>
              <w:start w:w="120" w:type="dxa"/>
              <w:bottom w:w="120" w:type="dxa"/>
              <w:end w:w="120" w:type="dxa"/>
            </w:tcMar>
            <w:vAlign w:val="center"/>
          </w:tcPr>
          <w:p>
            <w:r>
              <w:rPr>
                <w:color w:val="142A42"/>
                <w:sz w:val="17"/>
              </w:rPr>
              <w:t>The site should separate journeys while keeping them connected to one brand system.</w:t>
            </w:r>
          </w:p>
        </w:tc>
      </w:tr>
      <w:tr>
        <w:tc>
          <w:tcPr>
            <w:tcW w:type="dxa" w:w="2880"/>
            <w:tcMar>
              <w:top w:w="120" w:type="dxa"/>
              <w:start w:w="120" w:type="dxa"/>
              <w:bottom w:w="120" w:type="dxa"/>
              <w:end w:w="120" w:type="dxa"/>
            </w:tcMar>
            <w:vAlign w:val="center"/>
          </w:tcPr>
          <w:p>
            <w:r>
              <w:rPr>
                <w:color w:val="142A42"/>
                <w:sz w:val="17"/>
              </w:rPr>
              <w:t>Improve SEO/AEO visibility and online conversion</w:t>
            </w:r>
          </w:p>
        </w:tc>
        <w:tc>
          <w:tcPr>
            <w:tcW w:type="dxa" w:w="3744"/>
            <w:tcMar>
              <w:top w:w="120" w:type="dxa"/>
              <w:start w:w="120" w:type="dxa"/>
              <w:bottom w:w="120" w:type="dxa"/>
              <w:end w:w="120" w:type="dxa"/>
            </w:tcMar>
            <w:vAlign w:val="center"/>
          </w:tcPr>
          <w:p>
            <w:r>
              <w:rPr>
                <w:color w:val="142A42"/>
                <w:sz w:val="17"/>
              </w:rPr>
              <w:t>Organic share is currently limited and AI recommendation visibility appears weak in sampled prompts.</w:t>
            </w:r>
          </w:p>
        </w:tc>
        <w:tc>
          <w:tcPr>
            <w:tcW w:type="dxa" w:w="3456"/>
            <w:tcMar>
              <w:top w:w="120" w:type="dxa"/>
              <w:start w:w="120" w:type="dxa"/>
              <w:bottom w:w="120" w:type="dxa"/>
              <w:end w:w="120" w:type="dxa"/>
            </w:tcMar>
            <w:vAlign w:val="center"/>
          </w:tcPr>
          <w:p>
            <w:r>
              <w:rPr>
                <w:color w:val="142A42"/>
                <w:sz w:val="17"/>
              </w:rPr>
              <w:t>Discoverability and conversion must be designed together.</w:t>
            </w:r>
          </w:p>
        </w:tc>
      </w:tr>
    </w:tbl>
    <w:p>
      <w:pPr>
        <w:spacing w:after="40"/>
      </w:pPr>
    </w:p>
    <w:p>
      <w:pPr>
        <w:pStyle w:val="Heading2"/>
      </w:pPr>
      <w:r>
        <w:t>Success criteria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4324A"/>
            <w:tcMar>
              <w:top w:w="120" w:type="dxa"/>
              <w:start w:w="120" w:type="dxa"/>
              <w:bottom w:w="120" w:type="dxa"/>
              <w:end w:w="120" w:type="dxa"/>
            </w:tcMar>
            <w:vAlign w:val="center"/>
          </w:tcPr>
          <w:p>
            <w:pPr>
              <w:jc w:val="left"/>
            </w:pPr>
            <w:r>
              <w:rPr>
                <w:b/>
                <w:color w:val="FFFFFF"/>
                <w:sz w:val="17"/>
              </w:rPr>
              <w:t>Success area</w:t>
            </w:r>
          </w:p>
        </w:tc>
        <w:tc>
          <w:tcPr>
            <w:tcW w:type="dxa" w:w="3888"/>
            <w:shd w:fill="14324A"/>
            <w:tcMar>
              <w:top w:w="120" w:type="dxa"/>
              <w:start w:w="120" w:type="dxa"/>
              <w:bottom w:w="120" w:type="dxa"/>
              <w:end w:w="120" w:type="dxa"/>
            </w:tcMar>
            <w:vAlign w:val="center"/>
          </w:tcPr>
          <w:p>
            <w:pPr>
              <w:jc w:val="left"/>
            </w:pPr>
            <w:r>
              <w:rPr>
                <w:b/>
                <w:color w:val="FFFFFF"/>
                <w:sz w:val="17"/>
              </w:rPr>
              <w:t>Baseline / current state</w:t>
            </w:r>
          </w:p>
        </w:tc>
        <w:tc>
          <w:tcPr>
            <w:tcW w:type="dxa" w:w="3600"/>
            <w:shd w:fill="14324A"/>
            <w:tcMar>
              <w:top w:w="120" w:type="dxa"/>
              <w:start w:w="120" w:type="dxa"/>
              <w:bottom w:w="120" w:type="dxa"/>
              <w:end w:w="120" w:type="dxa"/>
            </w:tcMar>
            <w:vAlign w:val="center"/>
          </w:tcPr>
          <w:p>
            <w:pPr>
              <w:jc w:val="left"/>
            </w:pPr>
            <w:r>
              <w:rPr>
                <w:b/>
                <w:color w:val="FFFFFF"/>
                <w:sz w:val="17"/>
              </w:rPr>
              <w:t>Target condition</w:t>
            </w:r>
          </w:p>
        </w:tc>
      </w:tr>
      <w:tr>
        <w:tc>
          <w:tcPr>
            <w:tcW w:type="dxa" w:w="2592"/>
            <w:tcMar>
              <w:top w:w="120" w:type="dxa"/>
              <w:start w:w="120" w:type="dxa"/>
              <w:bottom w:w="120" w:type="dxa"/>
              <w:end w:w="120" w:type="dxa"/>
            </w:tcMar>
            <w:vAlign w:val="center"/>
          </w:tcPr>
          <w:p>
            <w:r>
              <w:rPr>
                <w:color w:val="142A42"/>
                <w:sz w:val="17"/>
              </w:rPr>
              <w:t>Corporate buyer clarity</w:t>
            </w:r>
          </w:p>
        </w:tc>
        <w:tc>
          <w:tcPr>
            <w:tcW w:type="dxa" w:w="3888"/>
            <w:tcMar>
              <w:top w:w="120" w:type="dxa"/>
              <w:start w:w="120" w:type="dxa"/>
              <w:bottom w:w="120" w:type="dxa"/>
              <w:end w:w="120" w:type="dxa"/>
            </w:tcMar>
            <w:vAlign w:val="center"/>
          </w:tcPr>
          <w:p>
            <w:r>
              <w:rPr>
                <w:color w:val="142A42"/>
                <w:sz w:val="17"/>
              </w:rPr>
              <w:t>No dedicated corporate entry path.</w:t>
            </w:r>
          </w:p>
        </w:tc>
        <w:tc>
          <w:tcPr>
            <w:tcW w:type="dxa" w:w="3600"/>
            <w:tcMar>
              <w:top w:w="120" w:type="dxa"/>
              <w:start w:w="120" w:type="dxa"/>
              <w:bottom w:w="120" w:type="dxa"/>
              <w:end w:w="120" w:type="dxa"/>
            </w:tcMar>
            <w:vAlign w:val="center"/>
          </w:tcPr>
          <w:p>
            <w:r>
              <w:rPr>
                <w:color w:val="142A42"/>
                <w:sz w:val="17"/>
              </w:rPr>
              <w:t>Corporate visitors can self-identify, evaluate fit, access proof, and convert through a clear consultation/application journey.</w:t>
            </w:r>
          </w:p>
        </w:tc>
      </w:tr>
      <w:tr>
        <w:tc>
          <w:tcPr>
            <w:tcW w:type="dxa" w:w="2592"/>
            <w:tcMar>
              <w:top w:w="120" w:type="dxa"/>
              <w:start w:w="120" w:type="dxa"/>
              <w:bottom w:w="120" w:type="dxa"/>
              <w:end w:w="120" w:type="dxa"/>
            </w:tcMar>
            <w:vAlign w:val="center"/>
          </w:tcPr>
          <w:p>
            <w:r>
              <w:rPr>
                <w:color w:val="142A42"/>
                <w:sz w:val="17"/>
              </w:rPr>
              <w:t>Offer visibility</w:t>
            </w:r>
          </w:p>
        </w:tc>
        <w:tc>
          <w:tcPr>
            <w:tcW w:type="dxa" w:w="3888"/>
            <w:tcMar>
              <w:top w:w="120" w:type="dxa"/>
              <w:start w:w="120" w:type="dxa"/>
              <w:bottom w:w="120" w:type="dxa"/>
              <w:end w:w="120" w:type="dxa"/>
            </w:tcMar>
            <w:vAlign w:val="center"/>
          </w:tcPr>
          <w:p>
            <w:r>
              <w:rPr>
                <w:color w:val="142A42"/>
                <w:sz w:val="17"/>
              </w:rPr>
              <w:t>Leadership and Business Acumen are underrepresented.</w:t>
            </w:r>
          </w:p>
        </w:tc>
        <w:tc>
          <w:tcPr>
            <w:tcW w:type="dxa" w:w="3600"/>
            <w:tcMar>
              <w:top w:w="120" w:type="dxa"/>
              <w:start w:w="120" w:type="dxa"/>
              <w:bottom w:w="120" w:type="dxa"/>
              <w:end w:w="120" w:type="dxa"/>
            </w:tcMar>
            <w:vAlign w:val="center"/>
          </w:tcPr>
          <w:p>
            <w:r>
              <w:rPr>
                <w:color w:val="142A42"/>
                <w:sz w:val="17"/>
              </w:rPr>
              <w:t>All three pillars are easy to understand and navigate.</w:t>
            </w:r>
          </w:p>
        </w:tc>
      </w:tr>
      <w:tr>
        <w:tc>
          <w:tcPr>
            <w:tcW w:type="dxa" w:w="2592"/>
            <w:tcMar>
              <w:top w:w="120" w:type="dxa"/>
              <w:start w:w="120" w:type="dxa"/>
              <w:bottom w:w="120" w:type="dxa"/>
              <w:end w:w="120" w:type="dxa"/>
            </w:tcMar>
            <w:vAlign w:val="center"/>
          </w:tcPr>
          <w:p>
            <w:r>
              <w:rPr>
                <w:color w:val="142A42"/>
                <w:sz w:val="17"/>
              </w:rPr>
              <w:t>Qualified conversion</w:t>
            </w:r>
          </w:p>
        </w:tc>
        <w:tc>
          <w:tcPr>
            <w:tcW w:type="dxa" w:w="3888"/>
            <w:tcMar>
              <w:top w:w="120" w:type="dxa"/>
              <w:start w:w="120" w:type="dxa"/>
              <w:bottom w:w="120" w:type="dxa"/>
              <w:end w:w="120" w:type="dxa"/>
            </w:tcMar>
            <w:vAlign w:val="center"/>
          </w:tcPr>
          <w:p>
            <w:r>
              <w:rPr>
                <w:color w:val="142A42"/>
                <w:sz w:val="17"/>
              </w:rPr>
              <w:t>Form submissions exist, but qualification and opportunity connection are incomplete.</w:t>
            </w:r>
          </w:p>
        </w:tc>
        <w:tc>
          <w:tcPr>
            <w:tcW w:type="dxa" w:w="3600"/>
            <w:tcMar>
              <w:top w:w="120" w:type="dxa"/>
              <w:start w:w="120" w:type="dxa"/>
              <w:bottom w:w="120" w:type="dxa"/>
              <w:end w:w="120" w:type="dxa"/>
            </w:tcMar>
            <w:vAlign w:val="center"/>
          </w:tcPr>
          <w:p>
            <w:r>
              <w:rPr>
                <w:color w:val="142A42"/>
                <w:sz w:val="17"/>
              </w:rPr>
              <w:t>Meaningful website conversions are tied to lead quality and CRM progression.</w:t>
            </w:r>
          </w:p>
        </w:tc>
      </w:tr>
      <w:tr>
        <w:tc>
          <w:tcPr>
            <w:tcW w:type="dxa" w:w="2592"/>
            <w:tcMar>
              <w:top w:w="120" w:type="dxa"/>
              <w:start w:w="120" w:type="dxa"/>
              <w:bottom w:w="120" w:type="dxa"/>
              <w:end w:w="120" w:type="dxa"/>
            </w:tcMar>
            <w:vAlign w:val="center"/>
          </w:tcPr>
          <w:p>
            <w:r>
              <w:rPr>
                <w:color w:val="142A42"/>
                <w:sz w:val="17"/>
              </w:rPr>
              <w:t>Discoverability</w:t>
            </w:r>
          </w:p>
        </w:tc>
        <w:tc>
          <w:tcPr>
            <w:tcW w:type="dxa" w:w="3888"/>
            <w:tcMar>
              <w:top w:w="120" w:type="dxa"/>
              <w:start w:w="120" w:type="dxa"/>
              <w:bottom w:w="120" w:type="dxa"/>
              <w:end w:w="120" w:type="dxa"/>
            </w:tcMar>
            <w:vAlign w:val="center"/>
          </w:tcPr>
          <w:p>
            <w:r>
              <w:rPr>
                <w:color w:val="142A42"/>
                <w:sz w:val="17"/>
              </w:rPr>
              <w:t>19% organic share in the sampled GA4 period; limited category visibility.</w:t>
            </w:r>
          </w:p>
        </w:tc>
        <w:tc>
          <w:tcPr>
            <w:tcW w:type="dxa" w:w="3600"/>
            <w:tcMar>
              <w:top w:w="120" w:type="dxa"/>
              <w:start w:w="120" w:type="dxa"/>
              <w:bottom w:w="120" w:type="dxa"/>
              <w:end w:w="120" w:type="dxa"/>
            </w:tcMar>
            <w:vAlign w:val="center"/>
          </w:tcPr>
          <w:p>
            <w:r>
              <w:rPr>
                <w:color w:val="142A42"/>
                <w:sz w:val="17"/>
              </w:rPr>
              <w:t>Growth in relevant non-branded discovery and qualified organic progression.</w:t>
            </w:r>
          </w:p>
        </w:tc>
      </w:tr>
      <w:tr>
        <w:tc>
          <w:tcPr>
            <w:tcW w:type="dxa" w:w="2592"/>
            <w:tcMar>
              <w:top w:w="120" w:type="dxa"/>
              <w:start w:w="120" w:type="dxa"/>
              <w:bottom w:w="120" w:type="dxa"/>
              <w:end w:w="120" w:type="dxa"/>
            </w:tcMar>
            <w:vAlign w:val="center"/>
          </w:tcPr>
          <w:p>
            <w:r>
              <w:rPr>
                <w:color w:val="142A42"/>
                <w:sz w:val="17"/>
              </w:rPr>
              <w:t>Marketing visibility</w:t>
            </w:r>
          </w:p>
        </w:tc>
        <w:tc>
          <w:tcPr>
            <w:tcW w:type="dxa" w:w="3888"/>
            <w:tcMar>
              <w:top w:w="120" w:type="dxa"/>
              <w:start w:w="120" w:type="dxa"/>
              <w:bottom w:w="120" w:type="dxa"/>
              <w:end w:w="120" w:type="dxa"/>
            </w:tcMar>
            <w:vAlign w:val="center"/>
          </w:tcPr>
          <w:p>
            <w:r>
              <w:rPr>
                <w:color w:val="142A42"/>
                <w:sz w:val="17"/>
              </w:rPr>
              <w:t>Tracking is incomplete and attribution breaks before business outcome.</w:t>
            </w:r>
          </w:p>
        </w:tc>
        <w:tc>
          <w:tcPr>
            <w:tcW w:type="dxa" w:w="3600"/>
            <w:tcMar>
              <w:top w:w="120" w:type="dxa"/>
              <w:start w:w="120" w:type="dxa"/>
              <w:bottom w:w="120" w:type="dxa"/>
              <w:end w:w="120" w:type="dxa"/>
            </w:tcMar>
            <w:vAlign w:val="center"/>
          </w:tcPr>
          <w:p>
            <w:r>
              <w:rPr>
                <w:color w:val="142A42"/>
                <w:sz w:val="17"/>
              </w:rPr>
              <w:t>Leadership can see a defensible path from marketing activity to qualified pipeline.</w:t>
            </w:r>
          </w:p>
        </w:tc>
      </w:tr>
    </w:tbl>
    <w:p>
      <w:pPr>
        <w:spacing w:after="40"/>
      </w:pPr>
    </w:p>
    <w:p>
      <w:pPr>
        <w:pStyle w:val="Heading1"/>
      </w:pPr>
      <w:r>
        <w:t>3. What We Investigated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736"/>
            <w:shd w:fill="14324A"/>
            <w:tcMar>
              <w:top w:w="120" w:type="dxa"/>
              <w:start w:w="120" w:type="dxa"/>
              <w:bottom w:w="120" w:type="dxa"/>
              <w:end w:w="120" w:type="dxa"/>
            </w:tcMar>
            <w:vAlign w:val="center"/>
          </w:tcPr>
          <w:p>
            <w:pPr>
              <w:jc w:val="left"/>
            </w:pPr>
            <w:r>
              <w:rPr>
                <w:b/>
                <w:color w:val="FFFFFF"/>
                <w:sz w:val="17"/>
              </w:rPr>
              <w:t>Evidence Source</w:t>
            </w:r>
          </w:p>
        </w:tc>
        <w:tc>
          <w:tcPr>
            <w:tcW w:type="dxa" w:w="4752"/>
            <w:shd w:fill="14324A"/>
            <w:tcMar>
              <w:top w:w="120" w:type="dxa"/>
              <w:start w:w="120" w:type="dxa"/>
              <w:bottom w:w="120" w:type="dxa"/>
              <w:end w:w="120" w:type="dxa"/>
            </w:tcMar>
            <w:vAlign w:val="center"/>
          </w:tcPr>
          <w:p>
            <w:pPr>
              <w:jc w:val="left"/>
            </w:pPr>
            <w:r>
              <w:rPr>
                <w:b/>
                <w:color w:val="FFFFFF"/>
                <w:sz w:val="17"/>
              </w:rPr>
              <w:t>What it tells us</w:t>
            </w:r>
          </w:p>
        </w:tc>
        <w:tc>
          <w:tcPr>
            <w:tcW w:type="dxa" w:w="2592"/>
            <w:shd w:fill="14324A"/>
            <w:tcMar>
              <w:top w:w="120" w:type="dxa"/>
              <w:start w:w="120" w:type="dxa"/>
              <w:bottom w:w="120" w:type="dxa"/>
              <w:end w:w="120" w:type="dxa"/>
            </w:tcMar>
            <w:vAlign w:val="center"/>
          </w:tcPr>
          <w:p>
            <w:pPr>
              <w:jc w:val="left"/>
            </w:pPr>
            <w:r>
              <w:rPr>
                <w:b/>
                <w:color w:val="FFFFFF"/>
                <w:sz w:val="17"/>
              </w:rPr>
              <w:t>Status in this sample</w:t>
            </w:r>
          </w:p>
        </w:tc>
      </w:tr>
      <w:tr>
        <w:tc>
          <w:tcPr>
            <w:tcW w:type="dxa" w:w="2736"/>
            <w:tcMar>
              <w:top w:w="120" w:type="dxa"/>
              <w:start w:w="120" w:type="dxa"/>
              <w:bottom w:w="120" w:type="dxa"/>
              <w:end w:w="120" w:type="dxa"/>
            </w:tcMar>
            <w:vAlign w:val="center"/>
          </w:tcPr>
          <w:p>
            <w:r>
              <w:rPr>
                <w:color w:val="142A42"/>
                <w:sz w:val="17"/>
              </w:rPr>
              <w:t>Client questionnaire &amp; diagnostic</w:t>
            </w:r>
          </w:p>
        </w:tc>
        <w:tc>
          <w:tcPr>
            <w:tcW w:type="dxa" w:w="4752"/>
            <w:tcMar>
              <w:top w:w="120" w:type="dxa"/>
              <w:start w:w="120" w:type="dxa"/>
              <w:bottom w:w="120" w:type="dxa"/>
              <w:end w:w="120" w:type="dxa"/>
            </w:tcMar>
            <w:vAlign w:val="center"/>
          </w:tcPr>
          <w:p>
            <w:r>
              <w:rPr>
                <w:color w:val="142A42"/>
                <w:sz w:val="17"/>
              </w:rPr>
              <w:t>Goals, audiences, offers, objections, priorities, constraints.</w:t>
            </w:r>
          </w:p>
        </w:tc>
        <w:tc>
          <w:tcPr>
            <w:tcW w:type="dxa" w:w="2592"/>
            <w:tcMar>
              <w:top w:w="120" w:type="dxa"/>
              <w:start w:w="120" w:type="dxa"/>
              <w:bottom w:w="120" w:type="dxa"/>
              <w:end w:w="120" w:type="dxa"/>
            </w:tcMar>
            <w:vAlign w:val="center"/>
          </w:tcPr>
          <w:p>
            <w:r>
              <w:rPr>
                <w:color w:val="142A42"/>
                <w:sz w:val="17"/>
              </w:rPr>
              <w:t>Available</w:t>
            </w:r>
          </w:p>
        </w:tc>
      </w:tr>
      <w:tr>
        <w:tc>
          <w:tcPr>
            <w:tcW w:type="dxa" w:w="2736"/>
            <w:tcMar>
              <w:top w:w="120" w:type="dxa"/>
              <w:start w:w="120" w:type="dxa"/>
              <w:bottom w:w="120" w:type="dxa"/>
              <w:end w:w="120" w:type="dxa"/>
            </w:tcMar>
            <w:vAlign w:val="center"/>
          </w:tcPr>
          <w:p>
            <w:r>
              <w:rPr>
                <w:color w:val="142A42"/>
                <w:sz w:val="17"/>
              </w:rPr>
              <w:t>Current website review</w:t>
            </w:r>
          </w:p>
        </w:tc>
        <w:tc>
          <w:tcPr>
            <w:tcW w:type="dxa" w:w="4752"/>
            <w:tcMar>
              <w:top w:w="120" w:type="dxa"/>
              <w:start w:w="120" w:type="dxa"/>
              <w:bottom w:w="120" w:type="dxa"/>
              <w:end w:w="120" w:type="dxa"/>
            </w:tcMar>
            <w:vAlign w:val="center"/>
          </w:tcPr>
          <w:p>
            <w:r>
              <w:rPr>
                <w:color w:val="142A42"/>
                <w:sz w:val="17"/>
              </w:rPr>
              <w:t>Messaging, IA, buyer paths, proof, conversion, CMS/technical structure.</w:t>
            </w:r>
          </w:p>
        </w:tc>
        <w:tc>
          <w:tcPr>
            <w:tcW w:type="dxa" w:w="2592"/>
            <w:tcMar>
              <w:top w:w="120" w:type="dxa"/>
              <w:start w:w="120" w:type="dxa"/>
              <w:bottom w:w="120" w:type="dxa"/>
              <w:end w:w="120" w:type="dxa"/>
            </w:tcMar>
            <w:vAlign w:val="center"/>
          </w:tcPr>
          <w:p>
            <w:r>
              <w:rPr>
                <w:color w:val="142A42"/>
                <w:sz w:val="17"/>
              </w:rPr>
              <w:t>Available</w:t>
            </w:r>
          </w:p>
        </w:tc>
      </w:tr>
      <w:tr>
        <w:tc>
          <w:tcPr>
            <w:tcW w:type="dxa" w:w="2736"/>
            <w:tcMar>
              <w:top w:w="120" w:type="dxa"/>
              <w:start w:w="120" w:type="dxa"/>
              <w:bottom w:w="120" w:type="dxa"/>
              <w:end w:w="120" w:type="dxa"/>
            </w:tcMar>
            <w:vAlign w:val="center"/>
          </w:tcPr>
          <w:p>
            <w:r>
              <w:rPr>
                <w:color w:val="142A42"/>
                <w:sz w:val="17"/>
              </w:rPr>
              <w:t>GA4</w:t>
            </w:r>
          </w:p>
        </w:tc>
        <w:tc>
          <w:tcPr>
            <w:tcW w:type="dxa" w:w="4752"/>
            <w:tcMar>
              <w:top w:w="120" w:type="dxa"/>
              <w:start w:w="120" w:type="dxa"/>
              <w:bottom w:w="120" w:type="dxa"/>
              <w:end w:w="120" w:type="dxa"/>
            </w:tcMar>
            <w:vAlign w:val="center"/>
          </w:tcPr>
          <w:p>
            <w:r>
              <w:rPr>
                <w:color w:val="142A42"/>
                <w:sz w:val="17"/>
              </w:rPr>
              <w:t>Traffic mix, landing behavior, engagement and current conversion events.</w:t>
            </w:r>
          </w:p>
        </w:tc>
        <w:tc>
          <w:tcPr>
            <w:tcW w:type="dxa" w:w="2592"/>
            <w:tcMar>
              <w:top w:w="120" w:type="dxa"/>
              <w:start w:w="120" w:type="dxa"/>
              <w:bottom w:w="120" w:type="dxa"/>
              <w:end w:w="120" w:type="dxa"/>
            </w:tcMar>
            <w:vAlign w:val="center"/>
          </w:tcPr>
          <w:p>
            <w:r>
              <w:rPr>
                <w:color w:val="142A42"/>
                <w:sz w:val="17"/>
              </w:rPr>
              <w:t>Available</w:t>
            </w:r>
          </w:p>
        </w:tc>
      </w:tr>
      <w:tr>
        <w:tc>
          <w:tcPr>
            <w:tcW w:type="dxa" w:w="2736"/>
            <w:tcMar>
              <w:top w:w="120" w:type="dxa"/>
              <w:start w:w="120" w:type="dxa"/>
              <w:bottom w:w="120" w:type="dxa"/>
              <w:end w:w="120" w:type="dxa"/>
            </w:tcMar>
            <w:vAlign w:val="center"/>
          </w:tcPr>
          <w:p>
            <w:r>
              <w:rPr>
                <w:color w:val="142A42"/>
                <w:sz w:val="17"/>
              </w:rPr>
              <w:t>Google Search Console</w:t>
            </w:r>
          </w:p>
        </w:tc>
        <w:tc>
          <w:tcPr>
            <w:tcW w:type="dxa" w:w="4752"/>
            <w:tcMar>
              <w:top w:w="120" w:type="dxa"/>
              <w:start w:w="120" w:type="dxa"/>
              <w:bottom w:w="120" w:type="dxa"/>
              <w:end w:w="120" w:type="dxa"/>
            </w:tcMar>
            <w:vAlign w:val="center"/>
          </w:tcPr>
          <w:p>
            <w:r>
              <w:rPr>
                <w:color w:val="142A42"/>
                <w:sz w:val="17"/>
              </w:rPr>
              <w:t>Real search queries, impressions, clicks and intent by landing page.</w:t>
            </w:r>
          </w:p>
        </w:tc>
        <w:tc>
          <w:tcPr>
            <w:tcW w:type="dxa" w:w="2592"/>
            <w:tcMar>
              <w:top w:w="120" w:type="dxa"/>
              <w:start w:w="120" w:type="dxa"/>
              <w:bottom w:w="120" w:type="dxa"/>
              <w:end w:w="120" w:type="dxa"/>
            </w:tcMar>
            <w:vAlign w:val="center"/>
          </w:tcPr>
          <w:p>
            <w:r>
              <w:rPr>
                <w:color w:val="142A42"/>
                <w:sz w:val="17"/>
              </w:rPr>
              <w:t>Needed for final validation</w:t>
            </w:r>
          </w:p>
        </w:tc>
      </w:tr>
      <w:tr>
        <w:tc>
          <w:tcPr>
            <w:tcW w:type="dxa" w:w="2736"/>
            <w:tcMar>
              <w:top w:w="120" w:type="dxa"/>
              <w:start w:w="120" w:type="dxa"/>
              <w:bottom w:w="120" w:type="dxa"/>
              <w:end w:w="120" w:type="dxa"/>
            </w:tcMar>
            <w:vAlign w:val="center"/>
          </w:tcPr>
          <w:p>
            <w:r>
              <w:rPr>
                <w:color w:val="142A42"/>
                <w:sz w:val="17"/>
              </w:rPr>
              <w:t>CRM / pipeline data</w:t>
            </w:r>
          </w:p>
        </w:tc>
        <w:tc>
          <w:tcPr>
            <w:tcW w:type="dxa" w:w="4752"/>
            <w:tcMar>
              <w:top w:w="120" w:type="dxa"/>
              <w:start w:w="120" w:type="dxa"/>
              <w:bottom w:w="120" w:type="dxa"/>
              <w:end w:w="120" w:type="dxa"/>
            </w:tcMar>
            <w:vAlign w:val="center"/>
          </w:tcPr>
          <w:p>
            <w:r>
              <w:rPr>
                <w:color w:val="142A42"/>
                <w:sz w:val="17"/>
              </w:rPr>
              <w:t>Lead quality, source, opportunity progression, revenue influence.</w:t>
            </w:r>
          </w:p>
        </w:tc>
        <w:tc>
          <w:tcPr>
            <w:tcW w:type="dxa" w:w="2592"/>
            <w:tcMar>
              <w:top w:w="120" w:type="dxa"/>
              <w:start w:w="120" w:type="dxa"/>
              <w:bottom w:w="120" w:type="dxa"/>
              <w:end w:w="120" w:type="dxa"/>
            </w:tcMar>
            <w:vAlign w:val="center"/>
          </w:tcPr>
          <w:p>
            <w:r>
              <w:rPr>
                <w:color w:val="142A42"/>
                <w:sz w:val="17"/>
              </w:rPr>
              <w:t>Needed for final validation</w:t>
            </w:r>
          </w:p>
        </w:tc>
      </w:tr>
      <w:tr>
        <w:tc>
          <w:tcPr>
            <w:tcW w:type="dxa" w:w="2736"/>
            <w:tcMar>
              <w:top w:w="120" w:type="dxa"/>
              <w:start w:w="120" w:type="dxa"/>
              <w:bottom w:w="120" w:type="dxa"/>
              <w:end w:w="120" w:type="dxa"/>
            </w:tcMar>
            <w:vAlign w:val="center"/>
          </w:tcPr>
          <w:p>
            <w:r>
              <w:rPr>
                <w:color w:val="142A42"/>
                <w:sz w:val="17"/>
              </w:rPr>
              <w:t>Sales-call transcripts</w:t>
            </w:r>
          </w:p>
        </w:tc>
        <w:tc>
          <w:tcPr>
            <w:tcW w:type="dxa" w:w="4752"/>
            <w:tcMar>
              <w:top w:w="120" w:type="dxa"/>
              <w:start w:w="120" w:type="dxa"/>
              <w:bottom w:w="120" w:type="dxa"/>
              <w:end w:w="120" w:type="dxa"/>
            </w:tcMar>
            <w:vAlign w:val="center"/>
          </w:tcPr>
          <w:p>
            <w:r>
              <w:rPr>
                <w:color w:val="142A42"/>
                <w:sz w:val="17"/>
              </w:rPr>
              <w:t>Buyer language, objections, buying criteria, proof that changes decisions.</w:t>
            </w:r>
          </w:p>
        </w:tc>
        <w:tc>
          <w:tcPr>
            <w:tcW w:type="dxa" w:w="2592"/>
            <w:tcMar>
              <w:top w:w="120" w:type="dxa"/>
              <w:start w:w="120" w:type="dxa"/>
              <w:bottom w:w="120" w:type="dxa"/>
              <w:end w:w="120" w:type="dxa"/>
            </w:tcMar>
            <w:vAlign w:val="center"/>
          </w:tcPr>
          <w:p>
            <w:r>
              <w:rPr>
                <w:color w:val="142A42"/>
                <w:sz w:val="17"/>
              </w:rPr>
              <w:t>Needed for final validation</w:t>
            </w:r>
          </w:p>
        </w:tc>
      </w:tr>
      <w:tr>
        <w:tc>
          <w:tcPr>
            <w:tcW w:type="dxa" w:w="2736"/>
            <w:tcMar>
              <w:top w:w="120" w:type="dxa"/>
              <w:start w:w="120" w:type="dxa"/>
              <w:bottom w:w="120" w:type="dxa"/>
              <w:end w:w="120" w:type="dxa"/>
            </w:tcMar>
            <w:vAlign w:val="center"/>
          </w:tcPr>
          <w:p>
            <w:r>
              <w:rPr>
                <w:color w:val="142A42"/>
                <w:sz w:val="17"/>
              </w:rPr>
              <w:t>SparkToro</w:t>
            </w:r>
          </w:p>
        </w:tc>
        <w:tc>
          <w:tcPr>
            <w:tcW w:type="dxa" w:w="4752"/>
            <w:tcMar>
              <w:top w:w="120" w:type="dxa"/>
              <w:start w:w="120" w:type="dxa"/>
              <w:bottom w:w="120" w:type="dxa"/>
              <w:end w:w="120" w:type="dxa"/>
            </w:tcMar>
            <w:vAlign w:val="center"/>
          </w:tcPr>
          <w:p>
            <w:r>
              <w:rPr>
                <w:color w:val="142A42"/>
                <w:sz w:val="17"/>
              </w:rPr>
              <w:t>Third-party audience affinities, trusted sources, publications and channels.</w:t>
            </w:r>
          </w:p>
        </w:tc>
        <w:tc>
          <w:tcPr>
            <w:tcW w:type="dxa" w:w="2592"/>
            <w:tcMar>
              <w:top w:w="120" w:type="dxa"/>
              <w:start w:w="120" w:type="dxa"/>
              <w:bottom w:w="120" w:type="dxa"/>
              <w:end w:w="120" w:type="dxa"/>
            </w:tcMar>
            <w:vAlign w:val="center"/>
          </w:tcPr>
          <w:p>
            <w:r>
              <w:rPr>
                <w:color w:val="142A42"/>
                <w:sz w:val="17"/>
              </w:rPr>
              <w:t>Needed for audience validation</w:t>
            </w:r>
          </w:p>
        </w:tc>
      </w:tr>
      <w:tr>
        <w:tc>
          <w:tcPr>
            <w:tcW w:type="dxa" w:w="2736"/>
            <w:tcMar>
              <w:top w:w="120" w:type="dxa"/>
              <w:start w:w="120" w:type="dxa"/>
              <w:bottom w:w="120" w:type="dxa"/>
              <w:end w:w="120" w:type="dxa"/>
            </w:tcMar>
            <w:vAlign w:val="center"/>
          </w:tcPr>
          <w:p>
            <w:r>
              <w:rPr>
                <w:color w:val="142A42"/>
                <w:sz w:val="17"/>
              </w:rPr>
              <w:t>AI recommendation research</w:t>
            </w:r>
          </w:p>
        </w:tc>
        <w:tc>
          <w:tcPr>
            <w:tcW w:type="dxa" w:w="4752"/>
            <w:tcMar>
              <w:top w:w="120" w:type="dxa"/>
              <w:start w:w="120" w:type="dxa"/>
              <w:bottom w:w="120" w:type="dxa"/>
              <w:end w:w="120" w:type="dxa"/>
            </w:tcMar>
            <w:vAlign w:val="center"/>
          </w:tcPr>
          <w:p>
            <w:r>
              <w:rPr>
                <w:color w:val="142A42"/>
                <w:sz w:val="17"/>
              </w:rPr>
              <w:t>Brand appearances, competitors, recommendation attributes and cited sources.</w:t>
            </w:r>
          </w:p>
        </w:tc>
        <w:tc>
          <w:tcPr>
            <w:tcW w:type="dxa" w:w="2592"/>
            <w:tcMar>
              <w:top w:w="120" w:type="dxa"/>
              <w:start w:w="120" w:type="dxa"/>
              <w:bottom w:w="120" w:type="dxa"/>
              <w:end w:w="120" w:type="dxa"/>
            </w:tcMar>
            <w:vAlign w:val="center"/>
          </w:tcPr>
          <w:p>
            <w:r>
              <w:rPr>
                <w:color w:val="142A42"/>
                <w:sz w:val="17"/>
              </w:rPr>
              <w:t>Sampled; full research needed</w:t>
            </w:r>
          </w:p>
        </w:tc>
      </w:tr>
      <w:tr>
        <w:tc>
          <w:tcPr>
            <w:tcW w:type="dxa" w:w="2736"/>
            <w:tcMar>
              <w:top w:w="120" w:type="dxa"/>
              <w:start w:w="120" w:type="dxa"/>
              <w:bottom w:w="120" w:type="dxa"/>
              <w:end w:w="120" w:type="dxa"/>
            </w:tcMar>
            <w:vAlign w:val="center"/>
          </w:tcPr>
          <w:p>
            <w:r>
              <w:rPr>
                <w:color w:val="142A42"/>
                <w:sz w:val="17"/>
              </w:rPr>
              <w:t>Accessibility scan + human review</w:t>
            </w:r>
          </w:p>
        </w:tc>
        <w:tc>
          <w:tcPr>
            <w:tcW w:type="dxa" w:w="4752"/>
            <w:tcMar>
              <w:top w:w="120" w:type="dxa"/>
              <w:start w:w="120" w:type="dxa"/>
              <w:bottom w:w="120" w:type="dxa"/>
              <w:end w:w="120" w:type="dxa"/>
            </w:tcMar>
            <w:vAlign w:val="center"/>
          </w:tcPr>
          <w:p>
            <w:r>
              <w:rPr>
                <w:color w:val="142A42"/>
                <w:sz w:val="17"/>
              </w:rPr>
              <w:t>Observable barriers and remediation priorities.</w:t>
            </w:r>
          </w:p>
        </w:tc>
        <w:tc>
          <w:tcPr>
            <w:tcW w:type="dxa" w:w="2592"/>
            <w:tcMar>
              <w:top w:w="120" w:type="dxa"/>
              <w:start w:w="120" w:type="dxa"/>
              <w:bottom w:w="120" w:type="dxa"/>
              <w:end w:w="120" w:type="dxa"/>
            </w:tcMar>
            <w:vAlign w:val="center"/>
          </w:tcPr>
          <w:p>
            <w:r>
              <w:rPr>
                <w:color w:val="142A42"/>
                <w:sz w:val="17"/>
              </w:rPr>
              <w:t>Needed for final validation</w:t>
            </w:r>
          </w:p>
        </w:tc>
      </w:tr>
    </w:tbl>
    <w:p>
      <w:pPr>
        <w:spacing w:after="40"/>
      </w:pPr>
    </w:p>
    <w:p>
      <w:pPr>
        <w:pStyle w:val="Heading2"/>
      </w:pPr>
      <w:r>
        <w:t>Evidence confidence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4324A"/>
            <w:tcMar>
              <w:top w:w="120" w:type="dxa"/>
              <w:start w:w="120" w:type="dxa"/>
              <w:bottom w:w="120" w:type="dxa"/>
              <w:end w:w="120" w:type="dxa"/>
            </w:tcMar>
            <w:vAlign w:val="center"/>
          </w:tcPr>
          <w:p>
            <w:pPr>
              <w:jc w:val="left"/>
            </w:pPr>
            <w:r>
              <w:rPr>
                <w:b/>
                <w:color w:val="FFFFFF"/>
                <w:sz w:val="17"/>
              </w:rPr>
              <w:t>Finding Type</w:t>
            </w:r>
          </w:p>
        </w:tc>
        <w:tc>
          <w:tcPr>
            <w:tcW w:type="dxa" w:w="7776"/>
            <w:shd w:fill="14324A"/>
            <w:tcMar>
              <w:top w:w="120" w:type="dxa"/>
              <w:start w:w="120" w:type="dxa"/>
              <w:bottom w:w="120" w:type="dxa"/>
              <w:end w:w="120" w:type="dxa"/>
            </w:tcMar>
            <w:vAlign w:val="center"/>
          </w:tcPr>
          <w:p>
            <w:pPr>
              <w:jc w:val="left"/>
            </w:pPr>
            <w:r>
              <w:rPr>
                <w:b/>
                <w:color w:val="FFFFFF"/>
                <w:sz w:val="17"/>
              </w:rPr>
              <w:t>Meaning</w:t>
            </w:r>
          </w:p>
        </w:tc>
      </w:tr>
      <w:tr>
        <w:tc>
          <w:tcPr>
            <w:tcW w:type="dxa" w:w="2304"/>
            <w:tcMar>
              <w:top w:w="120" w:type="dxa"/>
              <w:start w:w="120" w:type="dxa"/>
              <w:bottom w:w="120" w:type="dxa"/>
              <w:end w:w="120" w:type="dxa"/>
            </w:tcMar>
            <w:vAlign w:val="center"/>
          </w:tcPr>
          <w:p>
            <w:r>
              <w:rPr>
                <w:color w:val="142A42"/>
                <w:sz w:val="17"/>
              </w:rPr>
              <w:t>Validated</w:t>
            </w:r>
          </w:p>
        </w:tc>
        <w:tc>
          <w:tcPr>
            <w:tcW w:type="dxa" w:w="7776"/>
            <w:tcMar>
              <w:top w:w="120" w:type="dxa"/>
              <w:start w:w="120" w:type="dxa"/>
              <w:bottom w:w="120" w:type="dxa"/>
              <w:end w:w="120" w:type="dxa"/>
            </w:tcMar>
            <w:vAlign w:val="center"/>
          </w:tcPr>
          <w:p>
            <w:r>
              <w:rPr>
                <w:color w:val="142A42"/>
                <w:sz w:val="17"/>
              </w:rPr>
              <w:t>Supported by direct evidence and reviewed by the strategist.</w:t>
            </w:r>
          </w:p>
        </w:tc>
      </w:tr>
      <w:tr>
        <w:tc>
          <w:tcPr>
            <w:tcW w:type="dxa" w:w="2304"/>
            <w:tcMar>
              <w:top w:w="120" w:type="dxa"/>
              <w:start w:w="120" w:type="dxa"/>
              <w:bottom w:w="120" w:type="dxa"/>
              <w:end w:w="120" w:type="dxa"/>
            </w:tcMar>
            <w:vAlign w:val="center"/>
          </w:tcPr>
          <w:p>
            <w:r>
              <w:rPr>
                <w:color w:val="142A42"/>
                <w:sz w:val="17"/>
              </w:rPr>
              <w:t>Client-reported</w:t>
            </w:r>
          </w:p>
        </w:tc>
        <w:tc>
          <w:tcPr>
            <w:tcW w:type="dxa" w:w="7776"/>
            <w:tcMar>
              <w:top w:w="120" w:type="dxa"/>
              <w:start w:w="120" w:type="dxa"/>
              <w:bottom w:w="120" w:type="dxa"/>
              <w:end w:w="120" w:type="dxa"/>
            </w:tcMar>
            <w:vAlign w:val="center"/>
          </w:tcPr>
          <w:p>
            <w:r>
              <w:rPr>
                <w:color w:val="142A42"/>
                <w:sz w:val="17"/>
              </w:rPr>
              <w:t>Provided by NuVue and treated as an important input.</w:t>
            </w:r>
          </w:p>
        </w:tc>
      </w:tr>
      <w:tr>
        <w:tc>
          <w:tcPr>
            <w:tcW w:type="dxa" w:w="2304"/>
            <w:tcMar>
              <w:top w:w="120" w:type="dxa"/>
              <w:start w:w="120" w:type="dxa"/>
              <w:bottom w:w="120" w:type="dxa"/>
              <w:end w:w="120" w:type="dxa"/>
            </w:tcMar>
            <w:vAlign w:val="center"/>
          </w:tcPr>
          <w:p>
            <w:r>
              <w:rPr>
                <w:color w:val="142A42"/>
                <w:sz w:val="17"/>
              </w:rPr>
              <w:t>Working assumption</w:t>
            </w:r>
          </w:p>
        </w:tc>
        <w:tc>
          <w:tcPr>
            <w:tcW w:type="dxa" w:w="7776"/>
            <w:tcMar>
              <w:top w:w="120" w:type="dxa"/>
              <w:start w:w="120" w:type="dxa"/>
              <w:bottom w:w="120" w:type="dxa"/>
              <w:end w:w="120" w:type="dxa"/>
            </w:tcMar>
            <w:vAlign w:val="center"/>
          </w:tcPr>
          <w:p>
            <w:r>
              <w:rPr>
                <w:color w:val="142A42"/>
                <w:sz w:val="17"/>
              </w:rPr>
              <w:t>Plausible based on current evidence, but additional validation is required before implementation.</w:t>
            </w:r>
          </w:p>
        </w:tc>
      </w:tr>
    </w:tbl>
    <w:p>
      <w:pPr>
        <w:spacing w:after="40"/>
      </w:pPr>
    </w:p>
    <w:p>
      <w:pPr>
        <w:pStyle w:val="Heading1"/>
      </w:pPr>
      <w:r>
        <w:t>4. Validated Root Causes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096"/>
            <w:shd w:fill="14324A"/>
            <w:tcMar>
              <w:top w:w="120" w:type="dxa"/>
              <w:start w:w="120" w:type="dxa"/>
              <w:bottom w:w="120" w:type="dxa"/>
              <w:end w:w="120" w:type="dxa"/>
            </w:tcMar>
            <w:vAlign w:val="center"/>
          </w:tcPr>
          <w:p>
            <w:pPr>
              <w:jc w:val="left"/>
            </w:pPr>
            <w:r>
              <w:rPr>
                <w:b/>
                <w:color w:val="FFFFFF"/>
                <w:sz w:val="16"/>
              </w:rPr>
              <w:t>Root Cause</w:t>
            </w:r>
          </w:p>
        </w:tc>
        <w:tc>
          <w:tcPr>
            <w:tcW w:type="dxa" w:w="3600"/>
            <w:shd w:fill="14324A"/>
            <w:tcMar>
              <w:top w:w="120" w:type="dxa"/>
              <w:start w:w="120" w:type="dxa"/>
              <w:bottom w:w="120" w:type="dxa"/>
              <w:end w:w="120" w:type="dxa"/>
            </w:tcMar>
            <w:vAlign w:val="center"/>
          </w:tcPr>
          <w:p>
            <w:pPr>
              <w:jc w:val="left"/>
            </w:pPr>
            <w:r>
              <w:rPr>
                <w:b/>
                <w:color w:val="FFFFFF"/>
                <w:sz w:val="16"/>
              </w:rPr>
              <w:t>Evidence</w:t>
            </w:r>
          </w:p>
        </w:tc>
        <w:tc>
          <w:tcPr>
            <w:tcW w:type="dxa" w:w="3096"/>
            <w:shd w:fill="14324A"/>
            <w:tcMar>
              <w:top w:w="120" w:type="dxa"/>
              <w:start w:w="120" w:type="dxa"/>
              <w:bottom w:w="120" w:type="dxa"/>
              <w:end w:w="120" w:type="dxa"/>
            </w:tcMar>
            <w:vAlign w:val="center"/>
          </w:tcPr>
          <w:p>
            <w:pPr>
              <w:jc w:val="left"/>
            </w:pPr>
            <w:r>
              <w:rPr>
                <w:b/>
                <w:color w:val="FFFFFF"/>
                <w:sz w:val="16"/>
              </w:rPr>
              <w:t>Business Impact</w:t>
            </w:r>
          </w:p>
        </w:tc>
        <w:tc>
          <w:tcPr>
            <w:tcW w:type="dxa" w:w="1008"/>
            <w:shd w:fill="14324A"/>
            <w:tcMar>
              <w:top w:w="120" w:type="dxa"/>
              <w:start w:w="120" w:type="dxa"/>
              <w:bottom w:w="120" w:type="dxa"/>
              <w:end w:w="120" w:type="dxa"/>
            </w:tcMar>
            <w:vAlign w:val="center"/>
          </w:tcPr>
          <w:p>
            <w:pPr>
              <w:jc w:val="left"/>
            </w:pPr>
            <w:r>
              <w:rPr>
                <w:b/>
                <w:color w:val="FFFFFF"/>
                <w:sz w:val="16"/>
              </w:rPr>
              <w:t>Confidence</w:t>
            </w:r>
          </w:p>
        </w:tc>
      </w:tr>
      <w:tr>
        <w:tc>
          <w:tcPr>
            <w:tcW w:type="dxa" w:w="3096"/>
            <w:tcMar>
              <w:top w:w="120" w:type="dxa"/>
              <w:start w:w="120" w:type="dxa"/>
              <w:bottom w:w="120" w:type="dxa"/>
              <w:end w:w="120" w:type="dxa"/>
            </w:tcMar>
            <w:vAlign w:val="center"/>
          </w:tcPr>
          <w:p>
            <w:r>
              <w:rPr>
                <w:color w:val="142A42"/>
                <w:sz w:val="16"/>
              </w:rPr>
              <w:t>1. Buyer architecture does not reflect how NuVue is actually purchased.</w:t>
            </w:r>
          </w:p>
        </w:tc>
        <w:tc>
          <w:tcPr>
            <w:tcW w:type="dxa" w:w="3600"/>
            <w:tcMar>
              <w:top w:w="120" w:type="dxa"/>
              <w:start w:w="120" w:type="dxa"/>
              <w:bottom w:w="120" w:type="dxa"/>
              <w:end w:w="120" w:type="dxa"/>
            </w:tcMar>
            <w:vAlign w:val="center"/>
          </w:tcPr>
          <w:p>
            <w:r>
              <w:rPr>
                <w:color w:val="142A42"/>
                <w:sz w:val="16"/>
              </w:rPr>
              <w:t>Corporate and individual buyers share the same site structure and CTA environment; offers have materially different price points and buying processes.</w:t>
            </w:r>
          </w:p>
        </w:tc>
        <w:tc>
          <w:tcPr>
            <w:tcW w:type="dxa" w:w="3096"/>
            <w:tcMar>
              <w:top w:w="120" w:type="dxa"/>
              <w:start w:w="120" w:type="dxa"/>
              <w:bottom w:w="120" w:type="dxa"/>
              <w:end w:w="120" w:type="dxa"/>
            </w:tcMar>
            <w:vAlign w:val="center"/>
          </w:tcPr>
          <w:p>
            <w:r>
              <w:rPr>
                <w:color w:val="142A42"/>
                <w:sz w:val="16"/>
              </w:rPr>
              <w:t>High-value corporate buyers cannot quickly self-identify, evaluate fit, or progress toward the right action.</w:t>
            </w:r>
          </w:p>
        </w:tc>
        <w:tc>
          <w:tcPr>
            <w:tcW w:type="dxa" w:w="1008"/>
            <w:tcMar>
              <w:top w:w="120" w:type="dxa"/>
              <w:start w:w="120" w:type="dxa"/>
              <w:bottom w:w="120" w:type="dxa"/>
              <w:end w:w="120" w:type="dxa"/>
            </w:tcMar>
            <w:vAlign w:val="center"/>
          </w:tcPr>
          <w:p>
            <w:r>
              <w:rPr>
                <w:color w:val="142A42"/>
                <w:sz w:val="16"/>
              </w:rPr>
              <w:t>High</w:t>
            </w:r>
          </w:p>
        </w:tc>
      </w:tr>
      <w:tr>
        <w:tc>
          <w:tcPr>
            <w:tcW w:type="dxa" w:w="3096"/>
            <w:tcMar>
              <w:top w:w="120" w:type="dxa"/>
              <w:start w:w="120" w:type="dxa"/>
              <w:bottom w:w="120" w:type="dxa"/>
              <w:end w:w="120" w:type="dxa"/>
            </w:tcMar>
            <w:vAlign w:val="center"/>
          </w:tcPr>
          <w:p>
            <w:r>
              <w:rPr>
                <w:color w:val="142A42"/>
                <w:sz w:val="16"/>
              </w:rPr>
              <w:t>2. NuVue's strongest differentiation is fragmented across the site.</w:t>
            </w:r>
          </w:p>
        </w:tc>
        <w:tc>
          <w:tcPr>
            <w:tcW w:type="dxa" w:w="3600"/>
            <w:tcMar>
              <w:top w:w="120" w:type="dxa"/>
              <w:start w:w="120" w:type="dxa"/>
              <w:bottom w:w="120" w:type="dxa"/>
              <w:end w:w="120" w:type="dxa"/>
            </w:tcMar>
            <w:vAlign w:val="center"/>
          </w:tcPr>
          <w:p>
            <w:r>
              <w:rPr>
                <w:color w:val="142A42"/>
                <w:sz w:val="16"/>
              </w:rPr>
              <w:t>Guarantee, 24+ years of expertise, 101+ solutions, sustained-learning approach, ROI evidence, and multi-pillar breadth are not assembled into one clear market story.</w:t>
            </w:r>
          </w:p>
        </w:tc>
        <w:tc>
          <w:tcPr>
            <w:tcW w:type="dxa" w:w="3096"/>
            <w:tcMar>
              <w:top w:w="120" w:type="dxa"/>
              <w:start w:w="120" w:type="dxa"/>
              <w:bottom w:w="120" w:type="dxa"/>
              <w:end w:w="120" w:type="dxa"/>
            </w:tcMar>
            <w:vAlign w:val="center"/>
          </w:tcPr>
          <w:p>
            <w:r>
              <w:rPr>
                <w:color w:val="142A42"/>
                <w:sz w:val="16"/>
              </w:rPr>
              <w:t>Buyers see a generic training provider before they see the reasons to prefer NuVue.</w:t>
            </w:r>
          </w:p>
        </w:tc>
        <w:tc>
          <w:tcPr>
            <w:tcW w:type="dxa" w:w="1008"/>
            <w:tcMar>
              <w:top w:w="120" w:type="dxa"/>
              <w:start w:w="120" w:type="dxa"/>
              <w:bottom w:w="120" w:type="dxa"/>
              <w:end w:w="120" w:type="dxa"/>
            </w:tcMar>
            <w:vAlign w:val="center"/>
          </w:tcPr>
          <w:p>
            <w:r>
              <w:rPr>
                <w:color w:val="142A42"/>
                <w:sz w:val="16"/>
              </w:rPr>
              <w:t>High</w:t>
            </w:r>
          </w:p>
        </w:tc>
      </w:tr>
      <w:tr>
        <w:tc>
          <w:tcPr>
            <w:tcW w:type="dxa" w:w="3096"/>
            <w:tcMar>
              <w:top w:w="120" w:type="dxa"/>
              <w:start w:w="120" w:type="dxa"/>
              <w:bottom w:w="120" w:type="dxa"/>
              <w:end w:w="120" w:type="dxa"/>
            </w:tcMar>
            <w:vAlign w:val="center"/>
          </w:tcPr>
          <w:p>
            <w:r>
              <w:rPr>
                <w:color w:val="142A42"/>
                <w:sz w:val="16"/>
              </w:rPr>
              <w:t>3. The website does not yet function as a measurable conversion system.</w:t>
            </w:r>
          </w:p>
        </w:tc>
        <w:tc>
          <w:tcPr>
            <w:tcW w:type="dxa" w:w="3600"/>
            <w:tcMar>
              <w:top w:w="120" w:type="dxa"/>
              <w:start w:w="120" w:type="dxa"/>
              <w:bottom w:w="120" w:type="dxa"/>
              <w:end w:w="120" w:type="dxa"/>
            </w:tcMar>
            <w:vAlign w:val="center"/>
          </w:tcPr>
          <w:p>
            <w:r>
              <w:rPr>
                <w:color w:val="142A42"/>
                <w:sz w:val="16"/>
              </w:rPr>
              <w:t>GA4 exists, but GTM/conversion architecture and CRM connection are incomplete.</w:t>
            </w:r>
          </w:p>
        </w:tc>
        <w:tc>
          <w:tcPr>
            <w:tcW w:type="dxa" w:w="3096"/>
            <w:tcMar>
              <w:top w:w="120" w:type="dxa"/>
              <w:start w:w="120" w:type="dxa"/>
              <w:bottom w:w="120" w:type="dxa"/>
              <w:end w:w="120" w:type="dxa"/>
            </w:tcMar>
            <w:vAlign w:val="center"/>
          </w:tcPr>
          <w:p>
            <w:r>
              <w:rPr>
                <w:color w:val="142A42"/>
                <w:sz w:val="16"/>
              </w:rPr>
              <w:t>Marketing cannot reliably show which digital experiences influence qualified pipeline.</w:t>
            </w:r>
          </w:p>
        </w:tc>
        <w:tc>
          <w:tcPr>
            <w:tcW w:type="dxa" w:w="1008"/>
            <w:tcMar>
              <w:top w:w="120" w:type="dxa"/>
              <w:start w:w="120" w:type="dxa"/>
              <w:bottom w:w="120" w:type="dxa"/>
              <w:end w:w="120" w:type="dxa"/>
            </w:tcMar>
            <w:vAlign w:val="center"/>
          </w:tcPr>
          <w:p>
            <w:r>
              <w:rPr>
                <w:color w:val="142A42"/>
                <w:sz w:val="16"/>
              </w:rPr>
              <w:t>High</w:t>
            </w:r>
          </w:p>
        </w:tc>
      </w:tr>
      <w:tr>
        <w:tc>
          <w:tcPr>
            <w:tcW w:type="dxa" w:w="3096"/>
            <w:tcMar>
              <w:top w:w="120" w:type="dxa"/>
              <w:start w:w="120" w:type="dxa"/>
              <w:bottom w:w="120" w:type="dxa"/>
              <w:end w:w="120" w:type="dxa"/>
            </w:tcMar>
            <w:vAlign w:val="center"/>
          </w:tcPr>
          <w:p>
            <w:r>
              <w:rPr>
                <w:color w:val="142A42"/>
                <w:sz w:val="16"/>
              </w:rPr>
              <w:t>4. NuVue's expertise is stronger than its current search and AI representation.</w:t>
            </w:r>
          </w:p>
        </w:tc>
        <w:tc>
          <w:tcPr>
            <w:tcW w:type="dxa" w:w="3600"/>
            <w:tcMar>
              <w:top w:w="120" w:type="dxa"/>
              <w:start w:w="120" w:type="dxa"/>
              <w:bottom w:w="120" w:type="dxa"/>
              <w:end w:w="120" w:type="dxa"/>
            </w:tcMar>
            <w:vAlign w:val="center"/>
          </w:tcPr>
          <w:p>
            <w:r>
              <w:rPr>
                <w:color w:val="142A42"/>
                <w:sz w:val="16"/>
              </w:rPr>
              <w:t>NuVue has vertical expertise and differentiated offers but is weak or absent in sampled category and AI recommendation scenarios.</w:t>
            </w:r>
          </w:p>
        </w:tc>
        <w:tc>
          <w:tcPr>
            <w:tcW w:type="dxa" w:w="3096"/>
            <w:tcMar>
              <w:top w:w="120" w:type="dxa"/>
              <w:start w:w="120" w:type="dxa"/>
              <w:bottom w:w="120" w:type="dxa"/>
              <w:end w:w="120" w:type="dxa"/>
            </w:tcMar>
            <w:vAlign w:val="center"/>
          </w:tcPr>
          <w:p>
            <w:r>
              <w:rPr>
                <w:color w:val="142A42"/>
                <w:sz w:val="16"/>
              </w:rPr>
              <w:t>Qualified buyers may discover better-represented competitors first.</w:t>
            </w:r>
          </w:p>
        </w:tc>
        <w:tc>
          <w:tcPr>
            <w:tcW w:type="dxa" w:w="1008"/>
            <w:tcMar>
              <w:top w:w="120" w:type="dxa"/>
              <w:start w:w="120" w:type="dxa"/>
              <w:bottom w:w="120" w:type="dxa"/>
              <w:end w:w="120" w:type="dxa"/>
            </w:tcMar>
            <w:vAlign w:val="center"/>
          </w:tcPr>
          <w:p>
            <w:r>
              <w:rPr>
                <w:color w:val="142A42"/>
                <w:sz w:val="16"/>
              </w:rPr>
              <w:t>Medium</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EEF4F6"/>
            <w:tcMar>
              <w:top w:w="160" w:type="dxa"/>
              <w:start w:w="180" w:type="dxa"/>
              <w:bottom w:w="160" w:type="dxa"/>
              <w:end w:w="180" w:type="dxa"/>
            </w:tcMar>
          </w:tcPr>
          <w:p>
            <w:r>
              <w:rPr>
                <w:b/>
                <w:color w:val="142A42"/>
                <w:sz w:val="22"/>
              </w:rPr>
              <w:t>Important distinction</w:t>
            </w:r>
          </w:p>
          <w:p>
            <w:pPr>
              <w:pStyle w:val="Callout"/>
            </w:pPr>
            <w:r>
              <w:t>The website is where these issues become visible, but not every issue originates in the website. The Blueprint therefore treats messaging, buyer logic, proof, discoverability, conversion, CRM, and measurement as one connected implementation system.</w:t>
            </w:r>
          </w:p>
        </w:tc>
      </w:tr>
    </w:tbl>
    <w:p>
      <w:pPr>
        <w:spacing w:after="40"/>
      </w:pPr>
    </w:p>
    <w:p>
      <w:pPr>
        <w:pStyle w:val="Heading1"/>
      </w:pPr>
      <w:r>
        <w:t>5. Priority Register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4324A"/>
            <w:tcMar>
              <w:top w:w="120" w:type="dxa"/>
              <w:start w:w="120" w:type="dxa"/>
              <w:bottom w:w="120" w:type="dxa"/>
              <w:end w:w="120" w:type="dxa"/>
            </w:tcMar>
            <w:vAlign w:val="center"/>
          </w:tcPr>
          <w:p>
            <w:pPr>
              <w:jc w:val="left"/>
            </w:pPr>
            <w:r>
              <w:rPr>
                <w:b/>
                <w:color w:val="FFFFFF"/>
                <w:sz w:val="16"/>
              </w:rPr>
              <w:t>State</w:t>
            </w:r>
          </w:p>
        </w:tc>
        <w:tc>
          <w:tcPr>
            <w:tcW w:type="dxa" w:w="4176"/>
            <w:shd w:fill="14324A"/>
            <w:tcMar>
              <w:top w:w="120" w:type="dxa"/>
              <w:start w:w="120" w:type="dxa"/>
              <w:bottom w:w="120" w:type="dxa"/>
              <w:end w:w="120" w:type="dxa"/>
            </w:tcMar>
            <w:vAlign w:val="center"/>
          </w:tcPr>
          <w:p>
            <w:pPr>
              <w:jc w:val="left"/>
            </w:pPr>
            <w:r>
              <w:rPr>
                <w:b/>
                <w:color w:val="FFFFFF"/>
                <w:sz w:val="16"/>
              </w:rPr>
              <w:t>Priority</w:t>
            </w:r>
          </w:p>
        </w:tc>
        <w:tc>
          <w:tcPr>
            <w:tcW w:type="dxa" w:w="4608"/>
            <w:shd w:fill="14324A"/>
            <w:tcMar>
              <w:top w:w="120" w:type="dxa"/>
              <w:start w:w="120" w:type="dxa"/>
              <w:bottom w:w="120" w:type="dxa"/>
              <w:end w:w="120" w:type="dxa"/>
            </w:tcMar>
            <w:vAlign w:val="center"/>
          </w:tcPr>
          <w:p>
            <w:pPr>
              <w:jc w:val="left"/>
            </w:pPr>
            <w:r>
              <w:rPr>
                <w:b/>
                <w:color w:val="FFFFFF"/>
                <w:sz w:val="16"/>
              </w:rPr>
              <w:t>Why</w:t>
            </w:r>
          </w:p>
        </w:tc>
      </w:tr>
      <w:tr>
        <w:tc>
          <w:tcPr>
            <w:tcW w:type="dxa" w:w="1440"/>
            <w:tcMar>
              <w:top w:w="120" w:type="dxa"/>
              <w:start w:w="120" w:type="dxa"/>
              <w:bottom w:w="120" w:type="dxa"/>
              <w:end w:w="120" w:type="dxa"/>
            </w:tcMar>
            <w:vAlign w:val="center"/>
          </w:tcPr>
          <w:p>
            <w:r>
              <w:rPr>
                <w:color w:val="142A42"/>
                <w:sz w:val="16"/>
              </w:rPr>
              <w:t>FIX NOW</w:t>
            </w:r>
          </w:p>
        </w:tc>
        <w:tc>
          <w:tcPr>
            <w:tcW w:type="dxa" w:w="4176"/>
            <w:tcMar>
              <w:top w:w="120" w:type="dxa"/>
              <w:start w:w="120" w:type="dxa"/>
              <w:bottom w:w="120" w:type="dxa"/>
              <w:end w:w="120" w:type="dxa"/>
            </w:tcMar>
            <w:vAlign w:val="center"/>
          </w:tcPr>
          <w:p>
            <w:r>
              <w:rPr>
                <w:color w:val="142A42"/>
                <w:sz w:val="16"/>
              </w:rPr>
              <w:t>Corporate positioning and buyer architecture</w:t>
            </w:r>
          </w:p>
        </w:tc>
        <w:tc>
          <w:tcPr>
            <w:tcW w:type="dxa" w:w="4608"/>
            <w:tcMar>
              <w:top w:w="120" w:type="dxa"/>
              <w:start w:w="120" w:type="dxa"/>
              <w:bottom w:w="120" w:type="dxa"/>
              <w:end w:w="120" w:type="dxa"/>
            </w:tcMar>
            <w:vAlign w:val="center"/>
          </w:tcPr>
          <w:p>
            <w:r>
              <w:rPr>
                <w:color w:val="142A42"/>
                <w:sz w:val="16"/>
              </w:rPr>
              <w:t>Everything downstream depends on knowing who the primary experience serves and what story it needs to tell.</w:t>
            </w:r>
          </w:p>
        </w:tc>
      </w:tr>
      <w:tr>
        <w:tc>
          <w:tcPr>
            <w:tcW w:type="dxa" w:w="1440"/>
            <w:tcMar>
              <w:top w:w="120" w:type="dxa"/>
              <w:start w:w="120" w:type="dxa"/>
              <w:bottom w:w="120" w:type="dxa"/>
              <w:end w:w="120" w:type="dxa"/>
            </w:tcMar>
            <w:vAlign w:val="center"/>
          </w:tcPr>
          <w:p>
            <w:r>
              <w:rPr>
                <w:color w:val="142A42"/>
                <w:sz w:val="16"/>
              </w:rPr>
              <w:t>FIX NOW</w:t>
            </w:r>
          </w:p>
        </w:tc>
        <w:tc>
          <w:tcPr>
            <w:tcW w:type="dxa" w:w="4176"/>
            <w:tcMar>
              <w:top w:w="120" w:type="dxa"/>
              <w:start w:w="120" w:type="dxa"/>
              <w:bottom w:w="120" w:type="dxa"/>
              <w:end w:w="120" w:type="dxa"/>
            </w:tcMar>
            <w:vAlign w:val="center"/>
          </w:tcPr>
          <w:p>
            <w:r>
              <w:rPr>
                <w:color w:val="142A42"/>
                <w:sz w:val="16"/>
              </w:rPr>
              <w:t>Core information architecture and conversion paths</w:t>
            </w:r>
          </w:p>
        </w:tc>
        <w:tc>
          <w:tcPr>
            <w:tcW w:type="dxa" w:w="4608"/>
            <w:tcMar>
              <w:top w:w="120" w:type="dxa"/>
              <w:start w:w="120" w:type="dxa"/>
              <w:bottom w:w="120" w:type="dxa"/>
              <w:end w:w="120" w:type="dxa"/>
            </w:tcMar>
            <w:vAlign w:val="center"/>
          </w:tcPr>
          <w:p>
            <w:r>
              <w:rPr>
                <w:color w:val="142A42"/>
                <w:sz w:val="16"/>
              </w:rPr>
              <w:t>The current site does not create distinct journeys for corporate and individual buyers.</w:t>
            </w:r>
          </w:p>
        </w:tc>
      </w:tr>
      <w:tr>
        <w:tc>
          <w:tcPr>
            <w:tcW w:type="dxa" w:w="1440"/>
            <w:tcMar>
              <w:top w:w="120" w:type="dxa"/>
              <w:start w:w="120" w:type="dxa"/>
              <w:bottom w:w="120" w:type="dxa"/>
              <w:end w:w="120" w:type="dxa"/>
            </w:tcMar>
            <w:vAlign w:val="center"/>
          </w:tcPr>
          <w:p>
            <w:r>
              <w:rPr>
                <w:color w:val="142A42"/>
                <w:sz w:val="16"/>
              </w:rPr>
              <w:t>FIX NOW</w:t>
            </w:r>
          </w:p>
        </w:tc>
        <w:tc>
          <w:tcPr>
            <w:tcW w:type="dxa" w:w="4176"/>
            <w:tcMar>
              <w:top w:w="120" w:type="dxa"/>
              <w:start w:w="120" w:type="dxa"/>
              <w:bottom w:w="120" w:type="dxa"/>
              <w:end w:w="120" w:type="dxa"/>
            </w:tcMar>
            <w:vAlign w:val="center"/>
          </w:tcPr>
          <w:p>
            <w:r>
              <w:rPr>
                <w:color w:val="142A42"/>
                <w:sz w:val="16"/>
              </w:rPr>
              <w:t>Proof and credibility architecture</w:t>
            </w:r>
          </w:p>
        </w:tc>
        <w:tc>
          <w:tcPr>
            <w:tcW w:type="dxa" w:w="4608"/>
            <w:tcMar>
              <w:top w:w="120" w:type="dxa"/>
              <w:start w:w="120" w:type="dxa"/>
              <w:bottom w:w="120" w:type="dxa"/>
              <w:end w:w="120" w:type="dxa"/>
            </w:tcMar>
            <w:vAlign w:val="center"/>
          </w:tcPr>
          <w:p>
            <w:r>
              <w:rPr>
                <w:color w:val="142A42"/>
                <w:sz w:val="16"/>
              </w:rPr>
              <w:t>The strongest reasons to trust NuVue are difficult to discover.</w:t>
            </w:r>
          </w:p>
        </w:tc>
      </w:tr>
      <w:tr>
        <w:tc>
          <w:tcPr>
            <w:tcW w:type="dxa" w:w="1440"/>
            <w:tcMar>
              <w:top w:w="120" w:type="dxa"/>
              <w:start w:w="120" w:type="dxa"/>
              <w:bottom w:w="120" w:type="dxa"/>
              <w:end w:w="120" w:type="dxa"/>
            </w:tcMar>
            <w:vAlign w:val="center"/>
          </w:tcPr>
          <w:p>
            <w:r>
              <w:rPr>
                <w:color w:val="142A42"/>
                <w:sz w:val="16"/>
              </w:rPr>
              <w:t>FIX NOW</w:t>
            </w:r>
          </w:p>
        </w:tc>
        <w:tc>
          <w:tcPr>
            <w:tcW w:type="dxa" w:w="4176"/>
            <w:tcMar>
              <w:top w:w="120" w:type="dxa"/>
              <w:start w:w="120" w:type="dxa"/>
              <w:bottom w:w="120" w:type="dxa"/>
              <w:end w:w="120" w:type="dxa"/>
            </w:tcMar>
            <w:vAlign w:val="center"/>
          </w:tcPr>
          <w:p>
            <w:r>
              <w:rPr>
                <w:color w:val="142A42"/>
                <w:sz w:val="16"/>
              </w:rPr>
              <w:t>Measurement foundation</w:t>
            </w:r>
          </w:p>
        </w:tc>
        <w:tc>
          <w:tcPr>
            <w:tcW w:type="dxa" w:w="4608"/>
            <w:tcMar>
              <w:top w:w="120" w:type="dxa"/>
              <w:start w:w="120" w:type="dxa"/>
              <w:bottom w:w="120" w:type="dxa"/>
              <w:end w:w="120" w:type="dxa"/>
            </w:tcMar>
            <w:vAlign w:val="center"/>
          </w:tcPr>
          <w:p>
            <w:r>
              <w:rPr>
                <w:color w:val="142A42"/>
                <w:sz w:val="16"/>
              </w:rPr>
              <w:t>NuVue needs reliable definitions and events before optimization can be evaluated.</w:t>
            </w:r>
          </w:p>
        </w:tc>
      </w:tr>
      <w:tr>
        <w:tc>
          <w:tcPr>
            <w:tcW w:type="dxa" w:w="1440"/>
            <w:tcMar>
              <w:top w:w="120" w:type="dxa"/>
              <w:start w:w="120" w:type="dxa"/>
              <w:bottom w:w="120" w:type="dxa"/>
              <w:end w:w="120" w:type="dxa"/>
            </w:tcMar>
            <w:vAlign w:val="center"/>
          </w:tcPr>
          <w:p>
            <w:r>
              <w:rPr>
                <w:color w:val="142A42"/>
                <w:sz w:val="16"/>
              </w:rPr>
              <w:t>FIX NEXT</w:t>
            </w:r>
          </w:p>
        </w:tc>
        <w:tc>
          <w:tcPr>
            <w:tcW w:type="dxa" w:w="4176"/>
            <w:tcMar>
              <w:top w:w="120" w:type="dxa"/>
              <w:start w:w="120" w:type="dxa"/>
              <w:bottom w:w="120" w:type="dxa"/>
              <w:end w:w="120" w:type="dxa"/>
            </w:tcMar>
            <w:vAlign w:val="center"/>
          </w:tcPr>
          <w:p>
            <w:r>
              <w:rPr>
                <w:color w:val="142A42"/>
                <w:sz w:val="16"/>
              </w:rPr>
              <w:t>Vertical pages for Agriculture, Manufacturing, and Insurance</w:t>
            </w:r>
          </w:p>
        </w:tc>
        <w:tc>
          <w:tcPr>
            <w:tcW w:type="dxa" w:w="4608"/>
            <w:tcMar>
              <w:top w:w="120" w:type="dxa"/>
              <w:start w:w="120" w:type="dxa"/>
              <w:bottom w:w="120" w:type="dxa"/>
              <w:end w:w="120" w:type="dxa"/>
            </w:tcMar>
            <w:vAlign w:val="center"/>
          </w:tcPr>
          <w:p>
            <w:r>
              <w:rPr>
                <w:color w:val="142A42"/>
                <w:sz w:val="16"/>
              </w:rPr>
              <w:t>High-potential specialization can become a strong discovery and conversion advantage after the core story is established.</w:t>
            </w:r>
          </w:p>
        </w:tc>
      </w:tr>
      <w:tr>
        <w:tc>
          <w:tcPr>
            <w:tcW w:type="dxa" w:w="1440"/>
            <w:tcMar>
              <w:top w:w="120" w:type="dxa"/>
              <w:start w:w="120" w:type="dxa"/>
              <w:bottom w:w="120" w:type="dxa"/>
              <w:end w:w="120" w:type="dxa"/>
            </w:tcMar>
            <w:vAlign w:val="center"/>
          </w:tcPr>
          <w:p>
            <w:r>
              <w:rPr>
                <w:color w:val="142A42"/>
                <w:sz w:val="16"/>
              </w:rPr>
              <w:t>FIX NEXT</w:t>
            </w:r>
          </w:p>
        </w:tc>
        <w:tc>
          <w:tcPr>
            <w:tcW w:type="dxa" w:w="4176"/>
            <w:tcMar>
              <w:top w:w="120" w:type="dxa"/>
              <w:start w:w="120" w:type="dxa"/>
              <w:bottom w:w="120" w:type="dxa"/>
              <w:end w:w="120" w:type="dxa"/>
            </w:tcMar>
            <w:vAlign w:val="center"/>
          </w:tcPr>
          <w:p>
            <w:r>
              <w:rPr>
                <w:color w:val="142A42"/>
                <w:sz w:val="16"/>
              </w:rPr>
              <w:t>AEO/AI recommendation authority program</w:t>
            </w:r>
          </w:p>
        </w:tc>
        <w:tc>
          <w:tcPr>
            <w:tcW w:type="dxa" w:w="4608"/>
            <w:tcMar>
              <w:top w:w="120" w:type="dxa"/>
              <w:start w:w="120" w:type="dxa"/>
              <w:bottom w:w="120" w:type="dxa"/>
              <w:end w:w="120" w:type="dxa"/>
            </w:tcMar>
            <w:vAlign w:val="center"/>
          </w:tcPr>
          <w:p>
            <w:r>
              <w:rPr>
                <w:color w:val="142A42"/>
                <w:sz w:val="16"/>
              </w:rPr>
              <w:t>NuVue needs better brand representation, source presence, and answerable content around category questions.</w:t>
            </w:r>
          </w:p>
        </w:tc>
      </w:tr>
      <w:tr>
        <w:tc>
          <w:tcPr>
            <w:tcW w:type="dxa" w:w="1440"/>
            <w:tcMar>
              <w:top w:w="120" w:type="dxa"/>
              <w:start w:w="120" w:type="dxa"/>
              <w:bottom w:w="120" w:type="dxa"/>
              <w:end w:w="120" w:type="dxa"/>
            </w:tcMar>
            <w:vAlign w:val="center"/>
          </w:tcPr>
          <w:p>
            <w:r>
              <w:rPr>
                <w:color w:val="142A42"/>
                <w:sz w:val="16"/>
              </w:rPr>
              <w:t>MONITOR</w:t>
            </w:r>
          </w:p>
        </w:tc>
        <w:tc>
          <w:tcPr>
            <w:tcW w:type="dxa" w:w="4176"/>
            <w:tcMar>
              <w:top w:w="120" w:type="dxa"/>
              <w:start w:w="120" w:type="dxa"/>
              <w:bottom w:w="120" w:type="dxa"/>
              <w:end w:w="120" w:type="dxa"/>
            </w:tcMar>
            <w:vAlign w:val="center"/>
          </w:tcPr>
          <w:p>
            <w:r>
              <w:rPr>
                <w:color w:val="142A42"/>
                <w:sz w:val="16"/>
              </w:rPr>
              <w:t>LTNS individual membership expansion</w:t>
            </w:r>
          </w:p>
        </w:tc>
        <w:tc>
          <w:tcPr>
            <w:tcW w:type="dxa" w:w="4608"/>
            <w:tcMar>
              <w:top w:w="120" w:type="dxa"/>
              <w:start w:w="120" w:type="dxa"/>
              <w:bottom w:w="120" w:type="dxa"/>
              <w:end w:w="120" w:type="dxa"/>
            </w:tcMar>
            <w:vAlign w:val="center"/>
          </w:tcPr>
          <w:p>
            <w:r>
              <w:rPr>
                <w:color w:val="142A42"/>
                <w:sz w:val="16"/>
              </w:rPr>
              <w:t>Potential retention value exists, but it should not distract from primary corporate acquisition work.</w:t>
            </w:r>
          </w:p>
        </w:tc>
      </w:tr>
      <w:tr>
        <w:tc>
          <w:tcPr>
            <w:tcW w:type="dxa" w:w="1440"/>
            <w:tcMar>
              <w:top w:w="120" w:type="dxa"/>
              <w:start w:w="120" w:type="dxa"/>
              <w:bottom w:w="120" w:type="dxa"/>
              <w:end w:w="120" w:type="dxa"/>
            </w:tcMar>
            <w:vAlign w:val="center"/>
          </w:tcPr>
          <w:p>
            <w:r>
              <w:rPr>
                <w:color w:val="142A42"/>
                <w:sz w:val="16"/>
              </w:rPr>
              <w:t>NOT YET</w:t>
            </w:r>
          </w:p>
        </w:tc>
        <w:tc>
          <w:tcPr>
            <w:tcW w:type="dxa" w:w="4176"/>
            <w:tcMar>
              <w:top w:w="120" w:type="dxa"/>
              <w:start w:w="120" w:type="dxa"/>
              <w:bottom w:w="120" w:type="dxa"/>
              <w:end w:w="120" w:type="dxa"/>
            </w:tcMar>
            <w:vAlign w:val="center"/>
          </w:tcPr>
          <w:p>
            <w:r>
              <w:rPr>
                <w:color w:val="142A42"/>
                <w:sz w:val="16"/>
              </w:rPr>
              <w:t>Build pages for the full 101+ solution catalog</w:t>
            </w:r>
          </w:p>
        </w:tc>
        <w:tc>
          <w:tcPr>
            <w:tcW w:type="dxa" w:w="4608"/>
            <w:tcMar>
              <w:top w:w="120" w:type="dxa"/>
              <w:start w:w="120" w:type="dxa"/>
              <w:bottom w:w="120" w:type="dxa"/>
              <w:end w:w="120" w:type="dxa"/>
            </w:tcMar>
            <w:vAlign w:val="center"/>
          </w:tcPr>
          <w:p>
            <w:r>
              <w:rPr>
                <w:color w:val="142A42"/>
                <w:sz w:val="16"/>
              </w:rPr>
              <w:t>The site should first make the three pillars and priority offers clear rather than publishing the entire inventory.</w:t>
            </w:r>
          </w:p>
        </w:tc>
      </w:tr>
      <w:tr>
        <w:tc>
          <w:tcPr>
            <w:tcW w:type="dxa" w:w="1440"/>
            <w:tcMar>
              <w:top w:w="120" w:type="dxa"/>
              <w:start w:w="120" w:type="dxa"/>
              <w:bottom w:w="120" w:type="dxa"/>
              <w:end w:w="120" w:type="dxa"/>
            </w:tcMar>
            <w:vAlign w:val="center"/>
          </w:tcPr>
          <w:p>
            <w:r>
              <w:rPr>
                <w:color w:val="142A42"/>
                <w:sz w:val="16"/>
              </w:rPr>
              <w:t>NOT YET</w:t>
            </w:r>
          </w:p>
        </w:tc>
        <w:tc>
          <w:tcPr>
            <w:tcW w:type="dxa" w:w="4176"/>
            <w:tcMar>
              <w:top w:w="120" w:type="dxa"/>
              <w:start w:w="120" w:type="dxa"/>
              <w:bottom w:w="120" w:type="dxa"/>
              <w:end w:w="120" w:type="dxa"/>
            </w:tcMar>
            <w:vAlign w:val="center"/>
          </w:tcPr>
          <w:p>
            <w:r>
              <w:rPr>
                <w:color w:val="142A42"/>
                <w:sz w:val="16"/>
              </w:rPr>
              <w:t>Scale new paid traffic</w:t>
            </w:r>
          </w:p>
        </w:tc>
        <w:tc>
          <w:tcPr>
            <w:tcW w:type="dxa" w:w="4608"/>
            <w:tcMar>
              <w:top w:w="120" w:type="dxa"/>
              <w:start w:w="120" w:type="dxa"/>
              <w:bottom w:w="120" w:type="dxa"/>
              <w:end w:w="120" w:type="dxa"/>
            </w:tcMar>
            <w:vAlign w:val="center"/>
          </w:tcPr>
          <w:p>
            <w:r>
              <w:rPr>
                <w:color w:val="142A42"/>
                <w:sz w:val="16"/>
              </w:rPr>
              <w:t>Do not amplify traffic before core journeys, proof, conversion and measurement are resolved.</w:t>
            </w:r>
          </w:p>
        </w:tc>
      </w:tr>
    </w:tbl>
    <w:p>
      <w:pPr>
        <w:spacing w:after="40"/>
      </w:pPr>
    </w:p>
    <w:p>
      <w:pPr>
        <w:pStyle w:val="Heading1"/>
      </w:pPr>
      <w:r>
        <w:t>6. ICP &amp; Buying Committee</w:t>
      </w:r>
    </w:p>
    <w:p>
      <w:pPr>
        <w:pStyle w:val="Heading2"/>
      </w:pPr>
      <w:r>
        <w:t>Primary audience: Corporate Buyer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4324A"/>
            <w:tcMar>
              <w:top w:w="120" w:type="dxa"/>
              <w:start w:w="120" w:type="dxa"/>
              <w:bottom w:w="120" w:type="dxa"/>
              <w:end w:w="120" w:type="dxa"/>
            </w:tcMar>
            <w:vAlign w:val="center"/>
          </w:tcPr>
          <w:p>
            <w:pPr>
              <w:jc w:val="left"/>
            </w:pPr>
            <w:r>
              <w:rPr>
                <w:b/>
                <w:color w:val="FFFFFF"/>
                <w:sz w:val="17"/>
              </w:rPr>
              <w:t>Dimension</w:t>
            </w:r>
          </w:p>
        </w:tc>
        <w:tc>
          <w:tcPr>
            <w:tcW w:type="dxa" w:w="7488"/>
            <w:shd w:fill="14324A"/>
            <w:tcMar>
              <w:top w:w="120" w:type="dxa"/>
              <w:start w:w="120" w:type="dxa"/>
              <w:bottom w:w="120" w:type="dxa"/>
              <w:end w:w="120" w:type="dxa"/>
            </w:tcMar>
            <w:vAlign w:val="center"/>
          </w:tcPr>
          <w:p>
            <w:pPr>
              <w:jc w:val="left"/>
            </w:pPr>
            <w:r>
              <w:rPr>
                <w:b/>
                <w:color w:val="FFFFFF"/>
                <w:sz w:val="17"/>
              </w:rPr>
              <w:t>Blueprint Definition</w:t>
            </w:r>
          </w:p>
        </w:tc>
      </w:tr>
      <w:tr>
        <w:tc>
          <w:tcPr>
            <w:tcW w:type="dxa" w:w="2592"/>
            <w:tcMar>
              <w:top w:w="120" w:type="dxa"/>
              <w:start w:w="120" w:type="dxa"/>
              <w:bottom w:w="120" w:type="dxa"/>
              <w:end w:w="120" w:type="dxa"/>
            </w:tcMar>
            <w:vAlign w:val="center"/>
          </w:tcPr>
          <w:p>
            <w:r>
              <w:rPr>
                <w:color w:val="142A42"/>
                <w:sz w:val="17"/>
              </w:rPr>
              <w:t>Primary champion</w:t>
            </w:r>
          </w:p>
        </w:tc>
        <w:tc>
          <w:tcPr>
            <w:tcW w:type="dxa" w:w="7488"/>
            <w:tcMar>
              <w:top w:w="120" w:type="dxa"/>
              <w:start w:w="120" w:type="dxa"/>
              <w:bottom w:w="120" w:type="dxa"/>
              <w:end w:w="120" w:type="dxa"/>
            </w:tcMar>
            <w:vAlign w:val="center"/>
          </w:tcPr>
          <w:p>
            <w:r>
              <w:rPr>
                <w:color w:val="142A42"/>
                <w:sz w:val="17"/>
              </w:rPr>
              <w:t>VP of Sales / Sales Director responsible for improving team performance.</w:t>
            </w:r>
          </w:p>
        </w:tc>
      </w:tr>
      <w:tr>
        <w:tc>
          <w:tcPr>
            <w:tcW w:type="dxa" w:w="2592"/>
            <w:tcMar>
              <w:top w:w="120" w:type="dxa"/>
              <w:start w:w="120" w:type="dxa"/>
              <w:bottom w:w="120" w:type="dxa"/>
              <w:end w:w="120" w:type="dxa"/>
            </w:tcMar>
            <w:vAlign w:val="center"/>
          </w:tcPr>
          <w:p>
            <w:r>
              <w:rPr>
                <w:color w:val="142A42"/>
                <w:sz w:val="17"/>
              </w:rPr>
              <w:t>Secondary influencers</w:t>
            </w:r>
          </w:p>
        </w:tc>
        <w:tc>
          <w:tcPr>
            <w:tcW w:type="dxa" w:w="7488"/>
            <w:tcMar>
              <w:top w:w="120" w:type="dxa"/>
              <w:start w:w="120" w:type="dxa"/>
              <w:bottom w:w="120" w:type="dxa"/>
              <w:end w:w="120" w:type="dxa"/>
            </w:tcMar>
            <w:vAlign w:val="center"/>
          </w:tcPr>
          <w:p>
            <w:r>
              <w:rPr>
                <w:color w:val="142A42"/>
                <w:sz w:val="17"/>
              </w:rPr>
              <w:t>L&amp;D / HR leaders, sales enablement, training leaders and sales managers.</w:t>
            </w:r>
          </w:p>
        </w:tc>
      </w:tr>
      <w:tr>
        <w:tc>
          <w:tcPr>
            <w:tcW w:type="dxa" w:w="2592"/>
            <w:tcMar>
              <w:top w:w="120" w:type="dxa"/>
              <w:start w:w="120" w:type="dxa"/>
              <w:bottom w:w="120" w:type="dxa"/>
              <w:end w:w="120" w:type="dxa"/>
            </w:tcMar>
            <w:vAlign w:val="center"/>
          </w:tcPr>
          <w:p>
            <w:r>
              <w:rPr>
                <w:color w:val="142A42"/>
                <w:sz w:val="17"/>
              </w:rPr>
              <w:t>Approver</w:t>
            </w:r>
          </w:p>
        </w:tc>
        <w:tc>
          <w:tcPr>
            <w:tcW w:type="dxa" w:w="7488"/>
            <w:tcMar>
              <w:top w:w="120" w:type="dxa"/>
              <w:start w:w="120" w:type="dxa"/>
              <w:bottom w:w="120" w:type="dxa"/>
              <w:end w:w="120" w:type="dxa"/>
            </w:tcMar>
            <w:vAlign w:val="center"/>
          </w:tcPr>
          <w:p>
            <w:r>
              <w:rPr>
                <w:color w:val="142A42"/>
                <w:sz w:val="17"/>
              </w:rPr>
              <w:t>C-suite, business-unit leadership or budget owner depending on engagement size.</w:t>
            </w:r>
          </w:p>
        </w:tc>
      </w:tr>
      <w:tr>
        <w:tc>
          <w:tcPr>
            <w:tcW w:type="dxa" w:w="2592"/>
            <w:tcMar>
              <w:top w:w="120" w:type="dxa"/>
              <w:start w:w="120" w:type="dxa"/>
              <w:bottom w:w="120" w:type="dxa"/>
              <w:end w:w="120" w:type="dxa"/>
            </w:tcMar>
            <w:vAlign w:val="center"/>
          </w:tcPr>
          <w:p>
            <w:r>
              <w:rPr>
                <w:color w:val="142A42"/>
                <w:sz w:val="17"/>
              </w:rPr>
              <w:t>Company profile</w:t>
            </w:r>
          </w:p>
        </w:tc>
        <w:tc>
          <w:tcPr>
            <w:tcW w:type="dxa" w:w="7488"/>
            <w:tcMar>
              <w:top w:w="120" w:type="dxa"/>
              <w:start w:w="120" w:type="dxa"/>
              <w:bottom w:w="120" w:type="dxa"/>
              <w:end w:w="120" w:type="dxa"/>
            </w:tcMar>
            <w:vAlign w:val="center"/>
          </w:tcPr>
          <w:p>
            <w:r>
              <w:rPr>
                <w:color w:val="142A42"/>
                <w:sz w:val="17"/>
              </w:rPr>
              <w:t>Organizations with meaningful sales teams, strongest fit where training is treated as a growth investment rather than a compliance event.</w:t>
            </w:r>
          </w:p>
        </w:tc>
      </w:tr>
      <w:tr>
        <w:tc>
          <w:tcPr>
            <w:tcW w:type="dxa" w:w="2592"/>
            <w:tcMar>
              <w:top w:w="120" w:type="dxa"/>
              <w:start w:w="120" w:type="dxa"/>
              <w:bottom w:w="120" w:type="dxa"/>
              <w:end w:w="120" w:type="dxa"/>
            </w:tcMar>
            <w:vAlign w:val="center"/>
          </w:tcPr>
          <w:p>
            <w:r>
              <w:rPr>
                <w:color w:val="142A42"/>
                <w:sz w:val="17"/>
              </w:rPr>
              <w:t>Priority verticals</w:t>
            </w:r>
          </w:p>
        </w:tc>
        <w:tc>
          <w:tcPr>
            <w:tcW w:type="dxa" w:w="7488"/>
            <w:tcMar>
              <w:top w:w="120" w:type="dxa"/>
              <w:start w:w="120" w:type="dxa"/>
              <w:bottom w:w="120" w:type="dxa"/>
              <w:end w:w="120" w:type="dxa"/>
            </w:tcMar>
            <w:vAlign w:val="center"/>
          </w:tcPr>
          <w:p>
            <w:r>
              <w:rPr>
                <w:color w:val="142A42"/>
                <w:sz w:val="17"/>
              </w:rPr>
              <w:t>Agriculture, Manufacturing and Insurance.</w:t>
            </w:r>
          </w:p>
        </w:tc>
      </w:tr>
      <w:tr>
        <w:tc>
          <w:tcPr>
            <w:tcW w:type="dxa" w:w="2592"/>
            <w:tcMar>
              <w:top w:w="120" w:type="dxa"/>
              <w:start w:w="120" w:type="dxa"/>
              <w:bottom w:w="120" w:type="dxa"/>
              <w:end w:w="120" w:type="dxa"/>
            </w:tcMar>
            <w:vAlign w:val="center"/>
          </w:tcPr>
          <w:p>
            <w:r>
              <w:rPr>
                <w:color w:val="142A42"/>
                <w:sz w:val="17"/>
              </w:rPr>
              <w:t>Trigger events</w:t>
            </w:r>
          </w:p>
        </w:tc>
        <w:tc>
          <w:tcPr>
            <w:tcW w:type="dxa" w:w="7488"/>
            <w:tcMar>
              <w:top w:w="120" w:type="dxa"/>
              <w:start w:w="120" w:type="dxa"/>
              <w:bottom w:w="120" w:type="dxa"/>
              <w:end w:w="120" w:type="dxa"/>
            </w:tcMar>
            <w:vAlign w:val="center"/>
          </w:tcPr>
          <w:p>
            <w:r>
              <w:rPr>
                <w:color w:val="142A42"/>
                <w:sz w:val="17"/>
              </w:rPr>
              <w:t>Performance inconsistency, new leadership, rapid team growth, previous training not sticking, discounting, weak manager coaching, or need to prove training ROI.</w:t>
            </w:r>
          </w:p>
        </w:tc>
      </w:tr>
      <w:tr>
        <w:tc>
          <w:tcPr>
            <w:tcW w:type="dxa" w:w="2592"/>
            <w:tcMar>
              <w:top w:w="120" w:type="dxa"/>
              <w:start w:w="120" w:type="dxa"/>
              <w:bottom w:w="120" w:type="dxa"/>
              <w:end w:w="120" w:type="dxa"/>
            </w:tcMar>
            <w:vAlign w:val="center"/>
          </w:tcPr>
          <w:p>
            <w:r>
              <w:rPr>
                <w:color w:val="142A42"/>
                <w:sz w:val="17"/>
              </w:rPr>
              <w:t>Decision criteria</w:t>
            </w:r>
          </w:p>
        </w:tc>
        <w:tc>
          <w:tcPr>
            <w:tcW w:type="dxa" w:w="7488"/>
            <w:tcMar>
              <w:top w:w="120" w:type="dxa"/>
              <w:start w:w="120" w:type="dxa"/>
              <w:bottom w:w="120" w:type="dxa"/>
              <w:end w:w="120" w:type="dxa"/>
            </w:tcMar>
            <w:vAlign w:val="center"/>
          </w:tcPr>
          <w:p>
            <w:r>
              <w:rPr>
                <w:color w:val="142A42"/>
                <w:sz w:val="17"/>
              </w:rPr>
              <w:t>Business relevance, proof of impact, methodology, customization, industry credibility, reinforcement, delivery flexibility, measurement and risk reduction.</w:t>
            </w:r>
          </w:p>
        </w:tc>
      </w:tr>
      <w:tr>
        <w:tc>
          <w:tcPr>
            <w:tcW w:type="dxa" w:w="2592"/>
            <w:tcMar>
              <w:top w:w="120" w:type="dxa"/>
              <w:start w:w="120" w:type="dxa"/>
              <w:bottom w:w="120" w:type="dxa"/>
              <w:end w:w="120" w:type="dxa"/>
            </w:tcMar>
            <w:vAlign w:val="center"/>
          </w:tcPr>
          <w:p>
            <w:r>
              <w:rPr>
                <w:color w:val="142A42"/>
                <w:sz w:val="17"/>
              </w:rPr>
              <w:t>Not a fit</w:t>
            </w:r>
          </w:p>
        </w:tc>
        <w:tc>
          <w:tcPr>
            <w:tcW w:type="dxa" w:w="7488"/>
            <w:tcMar>
              <w:top w:w="120" w:type="dxa"/>
              <w:start w:w="120" w:type="dxa"/>
              <w:bottom w:w="120" w:type="dxa"/>
              <w:end w:w="120" w:type="dxa"/>
            </w:tcMar>
            <w:vAlign w:val="center"/>
          </w:tcPr>
          <w:p>
            <w:r>
              <w:rPr>
                <w:color w:val="142A42"/>
                <w:sz w:val="17"/>
              </w:rPr>
              <w:t>Organizations seeking a one-time workshop with no follow-through, measurement, or commitment to behavior change.</w:t>
            </w:r>
          </w:p>
        </w:tc>
      </w:tr>
    </w:tbl>
    <w:p>
      <w:pPr>
        <w:spacing w:after="40"/>
      </w:pPr>
    </w:p>
    <w:p>
      <w:pPr>
        <w:pStyle w:val="Heading2"/>
      </w:pPr>
      <w:r>
        <w:t>Secondary audience: Individual Sales Professional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4324A"/>
            <w:tcMar>
              <w:top w:w="120" w:type="dxa"/>
              <w:start w:w="120" w:type="dxa"/>
              <w:bottom w:w="120" w:type="dxa"/>
              <w:end w:w="120" w:type="dxa"/>
            </w:tcMar>
            <w:vAlign w:val="center"/>
          </w:tcPr>
          <w:p>
            <w:pPr>
              <w:jc w:val="left"/>
            </w:pPr>
            <w:r>
              <w:rPr>
                <w:b/>
                <w:color w:val="FFFFFF"/>
                <w:sz w:val="17"/>
              </w:rPr>
              <w:t>Dimension</w:t>
            </w:r>
          </w:p>
        </w:tc>
        <w:tc>
          <w:tcPr>
            <w:tcW w:type="dxa" w:w="7488"/>
            <w:shd w:fill="14324A"/>
            <w:tcMar>
              <w:top w:w="120" w:type="dxa"/>
              <w:start w:w="120" w:type="dxa"/>
              <w:bottom w:w="120" w:type="dxa"/>
              <w:end w:w="120" w:type="dxa"/>
            </w:tcMar>
            <w:vAlign w:val="center"/>
          </w:tcPr>
          <w:p>
            <w:pPr>
              <w:jc w:val="left"/>
            </w:pPr>
            <w:r>
              <w:rPr>
                <w:b/>
                <w:color w:val="FFFFFF"/>
                <w:sz w:val="17"/>
              </w:rPr>
              <w:t>Blueprint Definition</w:t>
            </w:r>
          </w:p>
        </w:tc>
      </w:tr>
      <w:tr>
        <w:tc>
          <w:tcPr>
            <w:tcW w:type="dxa" w:w="2592"/>
            <w:tcMar>
              <w:top w:w="120" w:type="dxa"/>
              <w:start w:w="120" w:type="dxa"/>
              <w:bottom w:w="120" w:type="dxa"/>
              <w:end w:w="120" w:type="dxa"/>
            </w:tcMar>
            <w:vAlign w:val="center"/>
          </w:tcPr>
          <w:p>
            <w:r>
              <w:rPr>
                <w:color w:val="142A42"/>
                <w:sz w:val="17"/>
              </w:rPr>
              <w:t>Buyer</w:t>
            </w:r>
          </w:p>
        </w:tc>
        <w:tc>
          <w:tcPr>
            <w:tcW w:type="dxa" w:w="7488"/>
            <w:tcMar>
              <w:top w:w="120" w:type="dxa"/>
              <w:start w:w="120" w:type="dxa"/>
              <w:bottom w:w="120" w:type="dxa"/>
              <w:end w:w="120" w:type="dxa"/>
            </w:tcMar>
            <w:vAlign w:val="center"/>
          </w:tcPr>
          <w:p>
            <w:r>
              <w:rPr>
                <w:color w:val="142A42"/>
                <w:sz w:val="17"/>
              </w:rPr>
              <w:t>Sales rep, account manager, BDM or sales manager investing in individual skill development.</w:t>
            </w:r>
          </w:p>
        </w:tc>
      </w:tr>
      <w:tr>
        <w:tc>
          <w:tcPr>
            <w:tcW w:type="dxa" w:w="2592"/>
            <w:tcMar>
              <w:top w:w="120" w:type="dxa"/>
              <w:start w:w="120" w:type="dxa"/>
              <w:bottom w:w="120" w:type="dxa"/>
              <w:end w:w="120" w:type="dxa"/>
            </w:tcMar>
            <w:vAlign w:val="center"/>
          </w:tcPr>
          <w:p>
            <w:r>
              <w:rPr>
                <w:color w:val="142A42"/>
                <w:sz w:val="17"/>
              </w:rPr>
              <w:t>Primary need</w:t>
            </w:r>
          </w:p>
        </w:tc>
        <w:tc>
          <w:tcPr>
            <w:tcW w:type="dxa" w:w="7488"/>
            <w:tcMar>
              <w:top w:w="120" w:type="dxa"/>
              <w:start w:w="120" w:type="dxa"/>
              <w:bottom w:w="120" w:type="dxa"/>
              <w:end w:w="120" w:type="dxa"/>
            </w:tcMar>
            <w:vAlign w:val="center"/>
          </w:tcPr>
          <w:p>
            <w:r>
              <w:rPr>
                <w:color w:val="142A42"/>
                <w:sz w:val="17"/>
              </w:rPr>
              <w:t>Improve selling capability, confidence, value-based conversations, negotiation or consultative selling.</w:t>
            </w:r>
          </w:p>
        </w:tc>
      </w:tr>
      <w:tr>
        <w:tc>
          <w:tcPr>
            <w:tcW w:type="dxa" w:w="2592"/>
            <w:tcMar>
              <w:top w:w="120" w:type="dxa"/>
              <w:start w:w="120" w:type="dxa"/>
              <w:bottom w:w="120" w:type="dxa"/>
              <w:end w:w="120" w:type="dxa"/>
            </w:tcMar>
            <w:vAlign w:val="center"/>
          </w:tcPr>
          <w:p>
            <w:r>
              <w:rPr>
                <w:color w:val="142A42"/>
                <w:sz w:val="17"/>
              </w:rPr>
              <w:t>Purchase path</w:t>
            </w:r>
          </w:p>
        </w:tc>
        <w:tc>
          <w:tcPr>
            <w:tcW w:type="dxa" w:w="7488"/>
            <w:tcMar>
              <w:top w:w="120" w:type="dxa"/>
              <w:start w:w="120" w:type="dxa"/>
              <w:bottom w:w="120" w:type="dxa"/>
              <w:end w:w="120" w:type="dxa"/>
            </w:tcMar>
            <w:vAlign w:val="center"/>
          </w:tcPr>
          <w:p>
            <w:r>
              <w:rPr>
                <w:color w:val="142A42"/>
                <w:sz w:val="17"/>
              </w:rPr>
              <w:t>Shorter, often self-directed, with clear dates, pricing and registration.</w:t>
            </w:r>
          </w:p>
        </w:tc>
      </w:tr>
      <w:tr>
        <w:tc>
          <w:tcPr>
            <w:tcW w:type="dxa" w:w="2592"/>
            <w:tcMar>
              <w:top w:w="120" w:type="dxa"/>
              <w:start w:w="120" w:type="dxa"/>
              <w:bottom w:w="120" w:type="dxa"/>
              <w:end w:w="120" w:type="dxa"/>
            </w:tcMar>
            <w:vAlign w:val="center"/>
          </w:tcPr>
          <w:p>
            <w:r>
              <w:rPr>
                <w:color w:val="142A42"/>
                <w:sz w:val="17"/>
              </w:rPr>
              <w:t>Strategic role</w:t>
            </w:r>
          </w:p>
        </w:tc>
        <w:tc>
          <w:tcPr>
            <w:tcW w:type="dxa" w:w="7488"/>
            <w:tcMar>
              <w:top w:w="120" w:type="dxa"/>
              <w:start w:w="120" w:type="dxa"/>
              <w:bottom w:w="120" w:type="dxa"/>
              <w:end w:w="120" w:type="dxa"/>
            </w:tcMar>
            <w:vAlign w:val="center"/>
          </w:tcPr>
          <w:p>
            <w:r>
              <w:rPr>
                <w:color w:val="142A42"/>
                <w:sz w:val="17"/>
              </w:rPr>
              <w:t>Revenue stream plus potential incubator for future corporate relationships.</w:t>
            </w:r>
          </w:p>
        </w:tc>
      </w:tr>
      <w:tr>
        <w:tc>
          <w:tcPr>
            <w:tcW w:type="dxa" w:w="2592"/>
            <w:tcMar>
              <w:top w:w="120" w:type="dxa"/>
              <w:start w:w="120" w:type="dxa"/>
              <w:bottom w:w="120" w:type="dxa"/>
              <w:end w:w="120" w:type="dxa"/>
            </w:tcMar>
            <w:vAlign w:val="center"/>
          </w:tcPr>
          <w:p>
            <w:r>
              <w:rPr>
                <w:color w:val="142A42"/>
                <w:sz w:val="17"/>
              </w:rPr>
              <w:t>Website requirement</w:t>
            </w:r>
          </w:p>
        </w:tc>
        <w:tc>
          <w:tcPr>
            <w:tcW w:type="dxa" w:w="7488"/>
            <w:tcMar>
              <w:top w:w="120" w:type="dxa"/>
              <w:start w:w="120" w:type="dxa"/>
              <w:bottom w:w="120" w:type="dxa"/>
              <w:end w:w="120" w:type="dxa"/>
            </w:tcMar>
            <w:vAlign w:val="center"/>
          </w:tcPr>
          <w:p>
            <w:r>
              <w:rPr>
                <w:color w:val="142A42"/>
                <w:sz w:val="17"/>
              </w:rPr>
              <w:t>A distinct route that does not dilute the enterprise story.</w:t>
            </w:r>
          </w:p>
        </w:tc>
      </w:tr>
    </w:tbl>
    <w:p>
      <w:pPr>
        <w:spacing w:after="40"/>
      </w:pPr>
    </w:p>
    <w:p>
      <w:pPr>
        <w:pStyle w:val="Heading1"/>
      </w:pPr>
      <w:r>
        <w:t>7. Storytelling &amp; Messaging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4324A"/>
            <w:tcMar>
              <w:top w:w="120" w:type="dxa"/>
              <w:start w:w="120" w:type="dxa"/>
              <w:bottom w:w="120" w:type="dxa"/>
              <w:end w:w="120" w:type="dxa"/>
            </w:tcMar>
            <w:vAlign w:val="center"/>
          </w:tcPr>
          <w:p>
            <w:pPr>
              <w:jc w:val="left"/>
            </w:pPr>
            <w:r>
              <w:rPr>
                <w:b/>
                <w:color w:val="FFFFFF"/>
                <w:sz w:val="17"/>
              </w:rPr>
              <w:t>Component</w:t>
            </w:r>
          </w:p>
        </w:tc>
        <w:tc>
          <w:tcPr>
            <w:tcW w:type="dxa" w:w="7488"/>
            <w:shd w:fill="14324A"/>
            <w:tcMar>
              <w:top w:w="120" w:type="dxa"/>
              <w:start w:w="120" w:type="dxa"/>
              <w:bottom w:w="120" w:type="dxa"/>
              <w:end w:w="120" w:type="dxa"/>
            </w:tcMar>
            <w:vAlign w:val="center"/>
          </w:tcPr>
          <w:p>
            <w:pPr>
              <w:jc w:val="left"/>
            </w:pPr>
            <w:r>
              <w:rPr>
                <w:b/>
                <w:color w:val="FFFFFF"/>
                <w:sz w:val="17"/>
              </w:rPr>
              <w:t>Recommended Direction</w:t>
            </w:r>
          </w:p>
        </w:tc>
      </w:tr>
      <w:tr>
        <w:tc>
          <w:tcPr>
            <w:tcW w:type="dxa" w:w="2592"/>
            <w:tcMar>
              <w:top w:w="120" w:type="dxa"/>
              <w:start w:w="120" w:type="dxa"/>
              <w:bottom w:w="120" w:type="dxa"/>
              <w:end w:w="120" w:type="dxa"/>
            </w:tcMar>
            <w:vAlign w:val="center"/>
          </w:tcPr>
          <w:p>
            <w:r>
              <w:rPr>
                <w:color w:val="142A42"/>
                <w:sz w:val="17"/>
              </w:rPr>
              <w:t>Primary Buyer / Hero</w:t>
            </w:r>
          </w:p>
        </w:tc>
        <w:tc>
          <w:tcPr>
            <w:tcW w:type="dxa" w:w="7488"/>
            <w:tcMar>
              <w:top w:w="120" w:type="dxa"/>
              <w:start w:w="120" w:type="dxa"/>
              <w:bottom w:w="120" w:type="dxa"/>
              <w:end w:w="120" w:type="dxa"/>
            </w:tcMar>
            <w:vAlign w:val="center"/>
          </w:tcPr>
          <w:p>
            <w:r>
              <w:rPr>
                <w:color w:val="142A42"/>
                <w:sz w:val="17"/>
              </w:rPr>
              <w:t>A sales or L&amp;D leader accountable for improving team performance and proving that training creates measurable change.</w:t>
            </w:r>
          </w:p>
        </w:tc>
      </w:tr>
      <w:tr>
        <w:tc>
          <w:tcPr>
            <w:tcW w:type="dxa" w:w="2592"/>
            <w:tcMar>
              <w:top w:w="120" w:type="dxa"/>
              <w:start w:w="120" w:type="dxa"/>
              <w:bottom w:w="120" w:type="dxa"/>
              <w:end w:w="120" w:type="dxa"/>
            </w:tcMar>
            <w:vAlign w:val="center"/>
          </w:tcPr>
          <w:p>
            <w:r>
              <w:rPr>
                <w:color w:val="142A42"/>
                <w:sz w:val="17"/>
              </w:rPr>
              <w:t>Desired Outcome</w:t>
            </w:r>
          </w:p>
        </w:tc>
        <w:tc>
          <w:tcPr>
            <w:tcW w:type="dxa" w:w="7488"/>
            <w:tcMar>
              <w:top w:w="120" w:type="dxa"/>
              <w:start w:w="120" w:type="dxa"/>
              <w:bottom w:w="120" w:type="dxa"/>
              <w:end w:w="120" w:type="dxa"/>
            </w:tcMar>
            <w:vAlign w:val="center"/>
          </w:tcPr>
          <w:p>
            <w:r>
              <w:rPr>
                <w:color w:val="142A42"/>
                <w:sz w:val="17"/>
              </w:rPr>
              <w:t>A more capable sales organization that produces stronger results and continues improving after formal training ends.</w:t>
            </w:r>
          </w:p>
        </w:tc>
      </w:tr>
      <w:tr>
        <w:tc>
          <w:tcPr>
            <w:tcW w:type="dxa" w:w="2592"/>
            <w:tcMar>
              <w:top w:w="120" w:type="dxa"/>
              <w:start w:w="120" w:type="dxa"/>
              <w:bottom w:w="120" w:type="dxa"/>
              <w:end w:w="120" w:type="dxa"/>
            </w:tcMar>
            <w:vAlign w:val="center"/>
          </w:tcPr>
          <w:p>
            <w:r>
              <w:rPr>
                <w:color w:val="142A42"/>
                <w:sz w:val="17"/>
              </w:rPr>
              <w:t>Functional Problem</w:t>
            </w:r>
          </w:p>
        </w:tc>
        <w:tc>
          <w:tcPr>
            <w:tcW w:type="dxa" w:w="7488"/>
            <w:tcMar>
              <w:top w:w="120" w:type="dxa"/>
              <w:start w:w="120" w:type="dxa"/>
              <w:bottom w:w="120" w:type="dxa"/>
              <w:end w:w="120" w:type="dxa"/>
            </w:tcMar>
            <w:vAlign w:val="center"/>
          </w:tcPr>
          <w:p>
            <w:r>
              <w:rPr>
                <w:color w:val="142A42"/>
                <w:sz w:val="17"/>
              </w:rPr>
              <w:t>Sales performance is inconsistent; training often fails to create lasting behavior change.</w:t>
            </w:r>
          </w:p>
        </w:tc>
      </w:tr>
      <w:tr>
        <w:tc>
          <w:tcPr>
            <w:tcW w:type="dxa" w:w="2592"/>
            <w:tcMar>
              <w:top w:w="120" w:type="dxa"/>
              <w:start w:w="120" w:type="dxa"/>
              <w:bottom w:w="120" w:type="dxa"/>
              <w:end w:w="120" w:type="dxa"/>
            </w:tcMar>
            <w:vAlign w:val="center"/>
          </w:tcPr>
          <w:p>
            <w:r>
              <w:rPr>
                <w:color w:val="142A42"/>
                <w:sz w:val="17"/>
              </w:rPr>
              <w:t>Emotional Problem</w:t>
            </w:r>
          </w:p>
        </w:tc>
        <w:tc>
          <w:tcPr>
            <w:tcW w:type="dxa" w:w="7488"/>
            <w:tcMar>
              <w:top w:w="120" w:type="dxa"/>
              <w:start w:w="120" w:type="dxa"/>
              <w:bottom w:w="120" w:type="dxa"/>
              <w:end w:w="120" w:type="dxa"/>
            </w:tcMar>
            <w:vAlign w:val="center"/>
          </w:tcPr>
          <w:p>
            <w:r>
              <w:rPr>
                <w:color w:val="142A42"/>
                <w:sz w:val="17"/>
              </w:rPr>
              <w:t>The buyer is frustrated by spending budget and leadership credibility on initiatives that may not stick.</w:t>
            </w:r>
          </w:p>
        </w:tc>
      </w:tr>
      <w:tr>
        <w:tc>
          <w:tcPr>
            <w:tcW w:type="dxa" w:w="2592"/>
            <w:tcMar>
              <w:top w:w="120" w:type="dxa"/>
              <w:start w:w="120" w:type="dxa"/>
              <w:bottom w:w="120" w:type="dxa"/>
              <w:end w:w="120" w:type="dxa"/>
            </w:tcMar>
            <w:vAlign w:val="center"/>
          </w:tcPr>
          <w:p>
            <w:r>
              <w:rPr>
                <w:color w:val="142A42"/>
                <w:sz w:val="17"/>
              </w:rPr>
              <w:t>Belief-Level Problem</w:t>
            </w:r>
          </w:p>
        </w:tc>
        <w:tc>
          <w:tcPr>
            <w:tcW w:type="dxa" w:w="7488"/>
            <w:tcMar>
              <w:top w:w="120" w:type="dxa"/>
              <w:start w:w="120" w:type="dxa"/>
              <w:bottom w:w="120" w:type="dxa"/>
              <w:end w:w="120" w:type="dxa"/>
            </w:tcMar>
            <w:vAlign w:val="center"/>
          </w:tcPr>
          <w:p>
            <w:r>
              <w:rPr>
                <w:color w:val="142A42"/>
                <w:sz w:val="17"/>
              </w:rPr>
              <w:t>Training should produce observable behavior and business improvement, not become another event people forget.</w:t>
            </w:r>
          </w:p>
        </w:tc>
      </w:tr>
      <w:tr>
        <w:tc>
          <w:tcPr>
            <w:tcW w:type="dxa" w:w="2592"/>
            <w:tcMar>
              <w:top w:w="120" w:type="dxa"/>
              <w:start w:w="120" w:type="dxa"/>
              <w:bottom w:w="120" w:type="dxa"/>
              <w:end w:w="120" w:type="dxa"/>
            </w:tcMar>
            <w:vAlign w:val="center"/>
          </w:tcPr>
          <w:p>
            <w:r>
              <w:rPr>
                <w:color w:val="142A42"/>
                <w:sz w:val="17"/>
              </w:rPr>
              <w:t>Root Conflict</w:t>
            </w:r>
          </w:p>
        </w:tc>
        <w:tc>
          <w:tcPr>
            <w:tcW w:type="dxa" w:w="7488"/>
            <w:tcMar>
              <w:top w:w="120" w:type="dxa"/>
              <w:start w:w="120" w:type="dxa"/>
              <w:bottom w:w="120" w:type="dxa"/>
              <w:end w:w="120" w:type="dxa"/>
            </w:tcMar>
            <w:vAlign w:val="center"/>
          </w:tcPr>
          <w:p>
            <w:r>
              <w:rPr>
                <w:color w:val="142A42"/>
                <w:sz w:val="17"/>
              </w:rPr>
              <w:t>Most training is delivered as an event; NuVue's value is in reinforcement, measurement, and sustained application.</w:t>
            </w:r>
          </w:p>
        </w:tc>
      </w:tr>
      <w:tr>
        <w:tc>
          <w:tcPr>
            <w:tcW w:type="dxa" w:w="2592"/>
            <w:tcMar>
              <w:top w:w="120" w:type="dxa"/>
              <w:start w:w="120" w:type="dxa"/>
              <w:bottom w:w="120" w:type="dxa"/>
              <w:end w:w="120" w:type="dxa"/>
            </w:tcMar>
            <w:vAlign w:val="center"/>
          </w:tcPr>
          <w:p>
            <w:r>
              <w:rPr>
                <w:color w:val="142A42"/>
                <w:sz w:val="17"/>
              </w:rPr>
              <w:t>Brand POV</w:t>
            </w:r>
          </w:p>
        </w:tc>
        <w:tc>
          <w:tcPr>
            <w:tcW w:type="dxa" w:w="7488"/>
            <w:tcMar>
              <w:top w:w="120" w:type="dxa"/>
              <w:start w:w="120" w:type="dxa"/>
              <w:bottom w:w="120" w:type="dxa"/>
              <w:end w:w="120" w:type="dxa"/>
            </w:tcMar>
            <w:vAlign w:val="center"/>
          </w:tcPr>
          <w:p>
            <w:r>
              <w:rPr>
                <w:color w:val="142A42"/>
                <w:sz w:val="17"/>
              </w:rPr>
              <w:t>Training creates value when people apply it, leaders reinforce it, and the business can see the impact.</w:t>
            </w:r>
          </w:p>
        </w:tc>
      </w:tr>
      <w:tr>
        <w:tc>
          <w:tcPr>
            <w:tcW w:type="dxa" w:w="2592"/>
            <w:tcMar>
              <w:top w:w="120" w:type="dxa"/>
              <w:start w:w="120" w:type="dxa"/>
              <w:bottom w:w="120" w:type="dxa"/>
              <w:end w:w="120" w:type="dxa"/>
            </w:tcMar>
            <w:vAlign w:val="center"/>
          </w:tcPr>
          <w:p>
            <w:r>
              <w:rPr>
                <w:color w:val="142A42"/>
                <w:sz w:val="17"/>
              </w:rPr>
              <w:t>Brand Role</w:t>
            </w:r>
          </w:p>
        </w:tc>
        <w:tc>
          <w:tcPr>
            <w:tcW w:type="dxa" w:w="7488"/>
            <w:tcMar>
              <w:top w:w="120" w:type="dxa"/>
              <w:start w:w="120" w:type="dxa"/>
              <w:bottom w:w="120" w:type="dxa"/>
              <w:end w:w="120" w:type="dxa"/>
            </w:tcMar>
            <w:vAlign w:val="center"/>
          </w:tcPr>
          <w:p>
            <w:r>
              <w:rPr>
                <w:color w:val="142A42"/>
                <w:sz w:val="17"/>
              </w:rPr>
              <w:t>Experienced partner that helps diagnose performance gaps, select the right development path, reinforce learning, and measure progress.</w:t>
            </w:r>
          </w:p>
        </w:tc>
      </w:tr>
      <w:tr>
        <w:tc>
          <w:tcPr>
            <w:tcW w:type="dxa" w:w="2592"/>
            <w:tcMar>
              <w:top w:w="120" w:type="dxa"/>
              <w:start w:w="120" w:type="dxa"/>
              <w:bottom w:w="120" w:type="dxa"/>
              <w:end w:w="120" w:type="dxa"/>
            </w:tcMar>
            <w:vAlign w:val="center"/>
          </w:tcPr>
          <w:p>
            <w:r>
              <w:rPr>
                <w:color w:val="142A42"/>
                <w:sz w:val="17"/>
              </w:rPr>
              <w:t>Differentiation</w:t>
            </w:r>
          </w:p>
        </w:tc>
        <w:tc>
          <w:tcPr>
            <w:tcW w:type="dxa" w:w="7488"/>
            <w:tcMar>
              <w:top w:w="120" w:type="dxa"/>
              <w:start w:w="120" w:type="dxa"/>
              <w:bottom w:w="120" w:type="dxa"/>
              <w:end w:w="120" w:type="dxa"/>
            </w:tcMar>
            <w:vAlign w:val="center"/>
          </w:tcPr>
          <w:p>
            <w:r>
              <w:rPr>
                <w:color w:val="142A42"/>
                <w:sz w:val="17"/>
              </w:rPr>
              <w:t>Breadth across Sales, Leadership, and Business Acumen; Learning That Never Stops®; measurable ROI; qualified performance guarantee; deep industry experience.</w:t>
            </w:r>
          </w:p>
        </w:tc>
      </w:tr>
      <w:tr>
        <w:tc>
          <w:tcPr>
            <w:tcW w:type="dxa" w:w="2592"/>
            <w:tcMar>
              <w:top w:w="120" w:type="dxa"/>
              <w:start w:w="120" w:type="dxa"/>
              <w:bottom w:w="120" w:type="dxa"/>
              <w:end w:w="120" w:type="dxa"/>
            </w:tcMar>
            <w:vAlign w:val="center"/>
          </w:tcPr>
          <w:p>
            <w:r>
              <w:rPr>
                <w:color w:val="142A42"/>
                <w:sz w:val="17"/>
              </w:rPr>
              <w:t>Path Forward</w:t>
            </w:r>
          </w:p>
        </w:tc>
        <w:tc>
          <w:tcPr>
            <w:tcW w:type="dxa" w:w="7488"/>
            <w:tcMar>
              <w:top w:w="120" w:type="dxa"/>
              <w:start w:w="120" w:type="dxa"/>
              <w:bottom w:w="120" w:type="dxa"/>
              <w:end w:w="120" w:type="dxa"/>
            </w:tcMar>
            <w:vAlign w:val="center"/>
          </w:tcPr>
          <w:p>
            <w:r>
              <w:rPr>
                <w:color w:val="142A42"/>
                <w:sz w:val="17"/>
              </w:rPr>
              <w:t>Identify the performance gap → select the right development path → reinforce behavior → measure impact.</w:t>
            </w:r>
          </w:p>
        </w:tc>
      </w:tr>
      <w:tr>
        <w:tc>
          <w:tcPr>
            <w:tcW w:type="dxa" w:w="2592"/>
            <w:tcMar>
              <w:top w:w="120" w:type="dxa"/>
              <w:start w:w="120" w:type="dxa"/>
              <w:bottom w:w="120" w:type="dxa"/>
              <w:end w:w="120" w:type="dxa"/>
            </w:tcMar>
            <w:vAlign w:val="center"/>
          </w:tcPr>
          <w:p>
            <w:r>
              <w:rPr>
                <w:color w:val="142A42"/>
                <w:sz w:val="17"/>
              </w:rPr>
              <w:t>Stakes</w:t>
            </w:r>
          </w:p>
        </w:tc>
        <w:tc>
          <w:tcPr>
            <w:tcW w:type="dxa" w:w="7488"/>
            <w:tcMar>
              <w:top w:w="120" w:type="dxa"/>
              <w:start w:w="120" w:type="dxa"/>
              <w:bottom w:w="120" w:type="dxa"/>
              <w:end w:w="120" w:type="dxa"/>
            </w:tcMar>
            <w:vAlign w:val="center"/>
          </w:tcPr>
          <w:p>
            <w:r>
              <w:rPr>
                <w:color w:val="142A42"/>
                <w:sz w:val="17"/>
              </w:rPr>
              <w:t>Without reinforcement and measurement, training investment can disappear without changing behavior or business results.</w:t>
            </w:r>
          </w:p>
        </w:tc>
      </w:tr>
      <w:tr>
        <w:tc>
          <w:tcPr>
            <w:tcW w:type="dxa" w:w="2592"/>
            <w:tcMar>
              <w:top w:w="120" w:type="dxa"/>
              <w:start w:w="120" w:type="dxa"/>
              <w:bottom w:w="120" w:type="dxa"/>
              <w:end w:w="120" w:type="dxa"/>
            </w:tcMar>
            <w:vAlign w:val="center"/>
          </w:tcPr>
          <w:p>
            <w:r>
              <w:rPr>
                <w:color w:val="142A42"/>
                <w:sz w:val="17"/>
              </w:rPr>
              <w:t>Future State</w:t>
            </w:r>
          </w:p>
        </w:tc>
        <w:tc>
          <w:tcPr>
            <w:tcW w:type="dxa" w:w="7488"/>
            <w:tcMar>
              <w:top w:w="120" w:type="dxa"/>
              <w:start w:w="120" w:type="dxa"/>
              <w:bottom w:w="120" w:type="dxa"/>
              <w:end w:w="120" w:type="dxa"/>
            </w:tcMar>
            <w:vAlign w:val="center"/>
          </w:tcPr>
          <w:p>
            <w:r>
              <w:rPr>
                <w:color w:val="142A42"/>
                <w:sz w:val="17"/>
              </w:rPr>
              <w:t>A common performance language, more capable managers and reps, stronger business acumen, and evidence leadership can use to justify the investment.</w:t>
            </w:r>
          </w:p>
        </w:tc>
      </w:tr>
      <w:tr>
        <w:tc>
          <w:tcPr>
            <w:tcW w:type="dxa" w:w="2592"/>
            <w:tcMar>
              <w:top w:w="120" w:type="dxa"/>
              <w:start w:w="120" w:type="dxa"/>
              <w:bottom w:w="120" w:type="dxa"/>
              <w:end w:w="120" w:type="dxa"/>
            </w:tcMar>
            <w:vAlign w:val="center"/>
          </w:tcPr>
          <w:p>
            <w:r>
              <w:rPr>
                <w:color w:val="142A42"/>
                <w:sz w:val="17"/>
              </w:rPr>
              <w:t>Core Narrative</w:t>
            </w:r>
          </w:p>
        </w:tc>
        <w:tc>
          <w:tcPr>
            <w:tcW w:type="dxa" w:w="7488"/>
            <w:tcMar>
              <w:top w:w="120" w:type="dxa"/>
              <w:start w:w="120" w:type="dxa"/>
              <w:bottom w:w="120" w:type="dxa"/>
              <w:end w:w="120" w:type="dxa"/>
            </w:tcMar>
            <w:vAlign w:val="center"/>
          </w:tcPr>
          <w:p>
            <w:r>
              <w:rPr>
                <w:color w:val="142A42"/>
                <w:sz w:val="17"/>
              </w:rPr>
              <w:t>Training should change performance, not just fill a calendar.</w:t>
            </w:r>
          </w:p>
        </w:tc>
      </w:tr>
    </w:tbl>
    <w:p>
      <w:pPr>
        <w:spacing w:after="40"/>
      </w:pPr>
    </w:p>
    <w:p>
      <w:pPr>
        <w:pStyle w:val="Heading2"/>
      </w:pPr>
      <w:r>
        <w:t>Recommended messaging hierarchy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4324A"/>
            <w:tcMar>
              <w:top w:w="120" w:type="dxa"/>
              <w:start w:w="120" w:type="dxa"/>
              <w:bottom w:w="120" w:type="dxa"/>
              <w:end w:w="120" w:type="dxa"/>
            </w:tcMar>
            <w:vAlign w:val="center"/>
          </w:tcPr>
          <w:p>
            <w:pPr>
              <w:jc w:val="left"/>
            </w:pPr>
            <w:r>
              <w:rPr>
                <w:b/>
                <w:color w:val="FFFFFF"/>
                <w:sz w:val="17"/>
              </w:rPr>
              <w:t>Level</w:t>
            </w:r>
          </w:p>
        </w:tc>
        <w:tc>
          <w:tcPr>
            <w:tcW w:type="dxa" w:w="3024"/>
            <w:shd w:fill="14324A"/>
            <w:tcMar>
              <w:top w:w="120" w:type="dxa"/>
              <w:start w:w="120" w:type="dxa"/>
              <w:bottom w:w="120" w:type="dxa"/>
              <w:end w:w="120" w:type="dxa"/>
            </w:tcMar>
            <w:vAlign w:val="center"/>
          </w:tcPr>
          <w:p>
            <w:pPr>
              <w:jc w:val="left"/>
            </w:pPr>
            <w:r>
              <w:rPr>
                <w:b/>
                <w:color w:val="FFFFFF"/>
                <w:sz w:val="17"/>
              </w:rPr>
              <w:t>Message Job</w:t>
            </w:r>
          </w:p>
        </w:tc>
        <w:tc>
          <w:tcPr>
            <w:tcW w:type="dxa" w:w="5328"/>
            <w:shd w:fill="14324A"/>
            <w:tcMar>
              <w:top w:w="120" w:type="dxa"/>
              <w:start w:w="120" w:type="dxa"/>
              <w:bottom w:w="120" w:type="dxa"/>
              <w:end w:w="120" w:type="dxa"/>
            </w:tcMar>
            <w:vAlign w:val="center"/>
          </w:tcPr>
          <w:p>
            <w:pPr>
              <w:jc w:val="left"/>
            </w:pPr>
            <w:r>
              <w:rPr>
                <w:b/>
                <w:color w:val="FFFFFF"/>
                <w:sz w:val="17"/>
              </w:rPr>
              <w:t>Example Direction</w:t>
            </w:r>
          </w:p>
        </w:tc>
      </w:tr>
      <w:tr>
        <w:tc>
          <w:tcPr>
            <w:tcW w:type="dxa" w:w="1728"/>
            <w:tcMar>
              <w:top w:w="120" w:type="dxa"/>
              <w:start w:w="120" w:type="dxa"/>
              <w:bottom w:w="120" w:type="dxa"/>
              <w:end w:w="120" w:type="dxa"/>
            </w:tcMar>
            <w:vAlign w:val="center"/>
          </w:tcPr>
          <w:p>
            <w:r>
              <w:rPr>
                <w:color w:val="142A42"/>
                <w:sz w:val="17"/>
              </w:rPr>
              <w:t>Brand promise</w:t>
            </w:r>
          </w:p>
        </w:tc>
        <w:tc>
          <w:tcPr>
            <w:tcW w:type="dxa" w:w="3024"/>
            <w:tcMar>
              <w:top w:w="120" w:type="dxa"/>
              <w:start w:w="120" w:type="dxa"/>
              <w:bottom w:w="120" w:type="dxa"/>
              <w:end w:w="120" w:type="dxa"/>
            </w:tcMar>
            <w:vAlign w:val="center"/>
          </w:tcPr>
          <w:p>
            <w:r>
              <w:rPr>
                <w:color w:val="142A42"/>
                <w:sz w:val="17"/>
              </w:rPr>
              <w:t>State the outcome NuVue helps create.</w:t>
            </w:r>
          </w:p>
        </w:tc>
        <w:tc>
          <w:tcPr>
            <w:tcW w:type="dxa" w:w="5328"/>
            <w:tcMar>
              <w:top w:w="120" w:type="dxa"/>
              <w:start w:w="120" w:type="dxa"/>
              <w:bottom w:w="120" w:type="dxa"/>
              <w:end w:w="120" w:type="dxa"/>
            </w:tcMar>
            <w:vAlign w:val="center"/>
          </w:tcPr>
          <w:p>
            <w:r>
              <w:rPr>
                <w:color w:val="142A42"/>
                <w:sz w:val="17"/>
              </w:rPr>
              <w:t>Build sales and leadership capability that shows up in performance.</w:t>
            </w:r>
          </w:p>
        </w:tc>
      </w:tr>
      <w:tr>
        <w:tc>
          <w:tcPr>
            <w:tcW w:type="dxa" w:w="1728"/>
            <w:tcMar>
              <w:top w:w="120" w:type="dxa"/>
              <w:start w:w="120" w:type="dxa"/>
              <w:bottom w:w="120" w:type="dxa"/>
              <w:end w:w="120" w:type="dxa"/>
            </w:tcMar>
            <w:vAlign w:val="center"/>
          </w:tcPr>
          <w:p>
            <w:r>
              <w:rPr>
                <w:color w:val="142A42"/>
                <w:sz w:val="17"/>
              </w:rPr>
              <w:t>POV</w:t>
            </w:r>
          </w:p>
        </w:tc>
        <w:tc>
          <w:tcPr>
            <w:tcW w:type="dxa" w:w="3024"/>
            <w:tcMar>
              <w:top w:w="120" w:type="dxa"/>
              <w:start w:w="120" w:type="dxa"/>
              <w:bottom w:w="120" w:type="dxa"/>
              <w:end w:w="120" w:type="dxa"/>
            </w:tcMar>
            <w:vAlign w:val="center"/>
          </w:tcPr>
          <w:p>
            <w:r>
              <w:rPr>
                <w:color w:val="142A42"/>
                <w:sz w:val="17"/>
              </w:rPr>
              <w:t>Express the belief behind the methodology.</w:t>
            </w:r>
          </w:p>
        </w:tc>
        <w:tc>
          <w:tcPr>
            <w:tcW w:type="dxa" w:w="5328"/>
            <w:tcMar>
              <w:top w:w="120" w:type="dxa"/>
              <w:start w:w="120" w:type="dxa"/>
              <w:bottom w:w="120" w:type="dxa"/>
              <w:end w:w="120" w:type="dxa"/>
            </w:tcMar>
            <w:vAlign w:val="center"/>
          </w:tcPr>
          <w:p>
            <w:r>
              <w:rPr>
                <w:color w:val="142A42"/>
                <w:sz w:val="17"/>
              </w:rPr>
              <w:t>Training only works when learning continues after the workshop.</w:t>
            </w:r>
          </w:p>
        </w:tc>
      </w:tr>
      <w:tr>
        <w:tc>
          <w:tcPr>
            <w:tcW w:type="dxa" w:w="1728"/>
            <w:tcMar>
              <w:top w:w="120" w:type="dxa"/>
              <w:start w:w="120" w:type="dxa"/>
              <w:bottom w:w="120" w:type="dxa"/>
              <w:end w:w="120" w:type="dxa"/>
            </w:tcMar>
            <w:vAlign w:val="center"/>
          </w:tcPr>
          <w:p>
            <w:r>
              <w:rPr>
                <w:color w:val="142A42"/>
                <w:sz w:val="17"/>
              </w:rPr>
              <w:t>Proof</w:t>
            </w:r>
          </w:p>
        </w:tc>
        <w:tc>
          <w:tcPr>
            <w:tcW w:type="dxa" w:w="3024"/>
            <w:tcMar>
              <w:top w:w="120" w:type="dxa"/>
              <w:start w:w="120" w:type="dxa"/>
              <w:bottom w:w="120" w:type="dxa"/>
              <w:end w:w="120" w:type="dxa"/>
            </w:tcMar>
            <w:vAlign w:val="center"/>
          </w:tcPr>
          <w:p>
            <w:r>
              <w:rPr>
                <w:color w:val="142A42"/>
                <w:sz w:val="17"/>
              </w:rPr>
              <w:t>Reduce risk.</w:t>
            </w:r>
          </w:p>
        </w:tc>
        <w:tc>
          <w:tcPr>
            <w:tcW w:type="dxa" w:w="5328"/>
            <w:tcMar>
              <w:top w:w="120" w:type="dxa"/>
              <w:start w:w="120" w:type="dxa"/>
              <w:bottom w:w="120" w:type="dxa"/>
              <w:end w:w="120" w:type="dxa"/>
            </w:tcMar>
            <w:vAlign w:val="center"/>
          </w:tcPr>
          <w:p>
            <w:r>
              <w:rPr>
                <w:color w:val="142A42"/>
                <w:sz w:val="17"/>
              </w:rPr>
              <w:t>24+ years, measurable ROI, enterprise experience, sustained-learning system, qualified guarantee.</w:t>
            </w:r>
          </w:p>
        </w:tc>
      </w:tr>
      <w:tr>
        <w:tc>
          <w:tcPr>
            <w:tcW w:type="dxa" w:w="1728"/>
            <w:tcMar>
              <w:top w:w="120" w:type="dxa"/>
              <w:start w:w="120" w:type="dxa"/>
              <w:bottom w:w="120" w:type="dxa"/>
              <w:end w:w="120" w:type="dxa"/>
            </w:tcMar>
            <w:vAlign w:val="center"/>
          </w:tcPr>
          <w:p>
            <w:r>
              <w:rPr>
                <w:color w:val="142A42"/>
                <w:sz w:val="17"/>
              </w:rPr>
              <w:t>Offer</w:t>
            </w:r>
          </w:p>
        </w:tc>
        <w:tc>
          <w:tcPr>
            <w:tcW w:type="dxa" w:w="3024"/>
            <w:tcMar>
              <w:top w:w="120" w:type="dxa"/>
              <w:start w:w="120" w:type="dxa"/>
              <w:bottom w:w="120" w:type="dxa"/>
              <w:end w:w="120" w:type="dxa"/>
            </w:tcMar>
            <w:vAlign w:val="center"/>
          </w:tcPr>
          <w:p>
            <w:r>
              <w:rPr>
                <w:color w:val="142A42"/>
                <w:sz w:val="17"/>
              </w:rPr>
              <w:t>Show how NuVue delivers.</w:t>
            </w:r>
          </w:p>
        </w:tc>
        <w:tc>
          <w:tcPr>
            <w:tcW w:type="dxa" w:w="5328"/>
            <w:tcMar>
              <w:top w:w="120" w:type="dxa"/>
              <w:start w:w="120" w:type="dxa"/>
              <w:bottom w:w="120" w:type="dxa"/>
              <w:end w:w="120" w:type="dxa"/>
            </w:tcMar>
            <w:vAlign w:val="center"/>
          </w:tcPr>
          <w:p>
            <w:r>
              <w:rPr>
                <w:color w:val="142A42"/>
                <w:sz w:val="17"/>
              </w:rPr>
              <w:t>Sales Development, Leadership &amp; Executive Coaching, Business Acumen.</w:t>
            </w:r>
          </w:p>
        </w:tc>
      </w:tr>
      <w:tr>
        <w:tc>
          <w:tcPr>
            <w:tcW w:type="dxa" w:w="1728"/>
            <w:tcMar>
              <w:top w:w="120" w:type="dxa"/>
              <w:start w:w="120" w:type="dxa"/>
              <w:bottom w:w="120" w:type="dxa"/>
              <w:end w:w="120" w:type="dxa"/>
            </w:tcMar>
            <w:vAlign w:val="center"/>
          </w:tcPr>
          <w:p>
            <w:r>
              <w:rPr>
                <w:color w:val="142A42"/>
                <w:sz w:val="17"/>
              </w:rPr>
              <w:t>Action</w:t>
            </w:r>
          </w:p>
        </w:tc>
        <w:tc>
          <w:tcPr>
            <w:tcW w:type="dxa" w:w="3024"/>
            <w:tcMar>
              <w:top w:w="120" w:type="dxa"/>
              <w:start w:w="120" w:type="dxa"/>
              <w:bottom w:w="120" w:type="dxa"/>
              <w:end w:w="120" w:type="dxa"/>
            </w:tcMar>
            <w:vAlign w:val="center"/>
          </w:tcPr>
          <w:p>
            <w:r>
              <w:rPr>
                <w:color w:val="142A42"/>
                <w:sz w:val="17"/>
              </w:rPr>
              <w:t>Give the buyer the next step.</w:t>
            </w:r>
          </w:p>
        </w:tc>
        <w:tc>
          <w:tcPr>
            <w:tcW w:type="dxa" w:w="5328"/>
            <w:tcMar>
              <w:top w:w="120" w:type="dxa"/>
              <w:start w:w="120" w:type="dxa"/>
              <w:bottom w:w="120" w:type="dxa"/>
              <w:end w:w="120" w:type="dxa"/>
            </w:tcMar>
            <w:vAlign w:val="center"/>
          </w:tcPr>
          <w:p>
            <w:r>
              <w:rPr>
                <w:color w:val="142A42"/>
                <w:sz w:val="17"/>
              </w:rPr>
              <w:t>Request a consultation / Explore programs / Apply for guarantee where qualified.</w:t>
            </w:r>
          </w:p>
        </w:tc>
      </w:tr>
    </w:tbl>
    <w:p>
      <w:pPr>
        <w:spacing w:after="40"/>
      </w:pPr>
    </w:p>
    <w:p>
      <w:pPr>
        <w:pStyle w:val="Heading1"/>
      </w:pPr>
      <w:r>
        <w:t>8. Buyer Journey &amp; Offer Architecture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shd w:fill="14324A"/>
            <w:tcMar>
              <w:top w:w="120" w:type="dxa"/>
              <w:start w:w="120" w:type="dxa"/>
              <w:bottom w:w="120" w:type="dxa"/>
              <w:end w:w="120" w:type="dxa"/>
            </w:tcMar>
            <w:vAlign w:val="center"/>
          </w:tcPr>
          <w:p>
            <w:pPr>
              <w:jc w:val="left"/>
            </w:pPr>
            <w:r>
              <w:rPr>
                <w:b/>
                <w:color w:val="FFFFFF"/>
                <w:sz w:val="16"/>
              </w:rPr>
              <w:t>Intent Stage</w:t>
            </w:r>
          </w:p>
        </w:tc>
        <w:tc>
          <w:tcPr>
            <w:tcW w:type="dxa" w:w="2880"/>
            <w:shd w:fill="14324A"/>
            <w:tcMar>
              <w:top w:w="120" w:type="dxa"/>
              <w:start w:w="120" w:type="dxa"/>
              <w:bottom w:w="120" w:type="dxa"/>
              <w:end w:w="120" w:type="dxa"/>
            </w:tcMar>
            <w:vAlign w:val="center"/>
          </w:tcPr>
          <w:p>
            <w:pPr>
              <w:jc w:val="left"/>
            </w:pPr>
            <w:r>
              <w:rPr>
                <w:b/>
                <w:color w:val="FFFFFF"/>
                <w:sz w:val="16"/>
              </w:rPr>
              <w:t>Buyer Question</w:t>
            </w:r>
          </w:p>
        </w:tc>
        <w:tc>
          <w:tcPr>
            <w:tcW w:type="dxa" w:w="4320"/>
            <w:shd w:fill="14324A"/>
            <w:tcMar>
              <w:top w:w="120" w:type="dxa"/>
              <w:start w:w="120" w:type="dxa"/>
              <w:bottom w:w="120" w:type="dxa"/>
              <w:end w:w="120" w:type="dxa"/>
            </w:tcMar>
            <w:vAlign w:val="center"/>
          </w:tcPr>
          <w:p>
            <w:pPr>
              <w:jc w:val="left"/>
            </w:pPr>
            <w:r>
              <w:rPr>
                <w:b/>
                <w:color w:val="FFFFFF"/>
                <w:sz w:val="16"/>
              </w:rPr>
              <w:t>Required Experience</w:t>
            </w:r>
          </w:p>
        </w:tc>
        <w:tc>
          <w:tcPr>
            <w:tcW w:type="dxa" w:w="1800"/>
            <w:shd w:fill="14324A"/>
            <w:tcMar>
              <w:top w:w="120" w:type="dxa"/>
              <w:start w:w="120" w:type="dxa"/>
              <w:bottom w:w="120" w:type="dxa"/>
              <w:end w:w="120" w:type="dxa"/>
            </w:tcMar>
            <w:vAlign w:val="center"/>
          </w:tcPr>
          <w:p>
            <w:pPr>
              <w:jc w:val="left"/>
            </w:pPr>
            <w:r>
              <w:rPr>
                <w:b/>
                <w:color w:val="FFFFFF"/>
                <w:sz w:val="16"/>
              </w:rPr>
              <w:t>Primary CTA</w:t>
            </w:r>
          </w:p>
        </w:tc>
      </w:tr>
      <w:tr>
        <w:tc>
          <w:tcPr>
            <w:tcW w:type="dxa" w:w="1800"/>
            <w:tcMar>
              <w:top w:w="120" w:type="dxa"/>
              <w:start w:w="120" w:type="dxa"/>
              <w:bottom w:w="120" w:type="dxa"/>
              <w:end w:w="120" w:type="dxa"/>
            </w:tcMar>
            <w:vAlign w:val="center"/>
          </w:tcPr>
          <w:p>
            <w:r>
              <w:rPr>
                <w:color w:val="142A42"/>
                <w:sz w:val="16"/>
              </w:rPr>
              <w:t>Problem Recognition</w:t>
            </w:r>
          </w:p>
        </w:tc>
        <w:tc>
          <w:tcPr>
            <w:tcW w:type="dxa" w:w="2880"/>
            <w:tcMar>
              <w:top w:w="120" w:type="dxa"/>
              <w:start w:w="120" w:type="dxa"/>
              <w:bottom w:w="120" w:type="dxa"/>
              <w:end w:w="120" w:type="dxa"/>
            </w:tcMar>
            <w:vAlign w:val="center"/>
          </w:tcPr>
          <w:p>
            <w:r>
              <w:rPr>
                <w:color w:val="142A42"/>
                <w:sz w:val="16"/>
              </w:rPr>
              <w:t>Why isn't our training or sales performance improving?</w:t>
            </w:r>
          </w:p>
        </w:tc>
        <w:tc>
          <w:tcPr>
            <w:tcW w:type="dxa" w:w="4320"/>
            <w:tcMar>
              <w:top w:w="120" w:type="dxa"/>
              <w:start w:w="120" w:type="dxa"/>
              <w:bottom w:w="120" w:type="dxa"/>
              <w:end w:w="120" w:type="dxa"/>
            </w:tcMar>
            <w:vAlign w:val="center"/>
          </w:tcPr>
          <w:p>
            <w:r>
              <w:rPr>
                <w:color w:val="142A42"/>
                <w:sz w:val="16"/>
              </w:rPr>
              <w:t>Problem-led educational content, self-assessment, executive POV.</w:t>
            </w:r>
          </w:p>
        </w:tc>
        <w:tc>
          <w:tcPr>
            <w:tcW w:type="dxa" w:w="1800"/>
            <w:tcMar>
              <w:top w:w="120" w:type="dxa"/>
              <w:start w:w="120" w:type="dxa"/>
              <w:bottom w:w="120" w:type="dxa"/>
              <w:end w:w="120" w:type="dxa"/>
            </w:tcMar>
            <w:vAlign w:val="center"/>
          </w:tcPr>
          <w:p>
            <w:r>
              <w:rPr>
                <w:color w:val="142A42"/>
                <w:sz w:val="16"/>
              </w:rPr>
              <w:t>Take assessment / Explore insight</w:t>
            </w:r>
          </w:p>
        </w:tc>
      </w:tr>
      <w:tr>
        <w:tc>
          <w:tcPr>
            <w:tcW w:type="dxa" w:w="1800"/>
            <w:tcMar>
              <w:top w:w="120" w:type="dxa"/>
              <w:start w:w="120" w:type="dxa"/>
              <w:bottom w:w="120" w:type="dxa"/>
              <w:end w:w="120" w:type="dxa"/>
            </w:tcMar>
            <w:vAlign w:val="center"/>
          </w:tcPr>
          <w:p>
            <w:r>
              <w:rPr>
                <w:color w:val="142A42"/>
                <w:sz w:val="16"/>
              </w:rPr>
              <w:t>Solution Exploration</w:t>
            </w:r>
          </w:p>
        </w:tc>
        <w:tc>
          <w:tcPr>
            <w:tcW w:type="dxa" w:w="2880"/>
            <w:tcMar>
              <w:top w:w="120" w:type="dxa"/>
              <w:start w:w="120" w:type="dxa"/>
              <w:bottom w:w="120" w:type="dxa"/>
              <w:end w:w="120" w:type="dxa"/>
            </w:tcMar>
            <w:vAlign w:val="center"/>
          </w:tcPr>
          <w:p>
            <w:r>
              <w:rPr>
                <w:color w:val="142A42"/>
                <w:sz w:val="16"/>
              </w:rPr>
              <w:t>What kind of training approach fits our situation?</w:t>
            </w:r>
          </w:p>
        </w:tc>
        <w:tc>
          <w:tcPr>
            <w:tcW w:type="dxa" w:w="4320"/>
            <w:tcMar>
              <w:top w:w="120" w:type="dxa"/>
              <w:start w:w="120" w:type="dxa"/>
              <w:bottom w:w="120" w:type="dxa"/>
              <w:end w:w="120" w:type="dxa"/>
            </w:tcMar>
            <w:vAlign w:val="center"/>
          </w:tcPr>
          <w:p>
            <w:r>
              <w:rPr>
                <w:color w:val="142A42"/>
                <w:sz w:val="16"/>
              </w:rPr>
              <w:t>Methodology, three pillars, delivery options, vertical relevance.</w:t>
            </w:r>
          </w:p>
        </w:tc>
        <w:tc>
          <w:tcPr>
            <w:tcW w:type="dxa" w:w="1800"/>
            <w:tcMar>
              <w:top w:w="120" w:type="dxa"/>
              <w:start w:w="120" w:type="dxa"/>
              <w:bottom w:w="120" w:type="dxa"/>
              <w:end w:w="120" w:type="dxa"/>
            </w:tcMar>
            <w:vAlign w:val="center"/>
          </w:tcPr>
          <w:p>
            <w:r>
              <w:rPr>
                <w:color w:val="142A42"/>
                <w:sz w:val="16"/>
              </w:rPr>
              <w:t>Explore solutions</w:t>
            </w:r>
          </w:p>
        </w:tc>
      </w:tr>
      <w:tr>
        <w:tc>
          <w:tcPr>
            <w:tcW w:type="dxa" w:w="1800"/>
            <w:tcMar>
              <w:top w:w="120" w:type="dxa"/>
              <w:start w:w="120" w:type="dxa"/>
              <w:bottom w:w="120" w:type="dxa"/>
              <w:end w:w="120" w:type="dxa"/>
            </w:tcMar>
            <w:vAlign w:val="center"/>
          </w:tcPr>
          <w:p>
            <w:r>
              <w:rPr>
                <w:color w:val="142A42"/>
                <w:sz w:val="16"/>
              </w:rPr>
              <w:t>Provider Evaluation</w:t>
            </w:r>
          </w:p>
        </w:tc>
        <w:tc>
          <w:tcPr>
            <w:tcW w:type="dxa" w:w="2880"/>
            <w:tcMar>
              <w:top w:w="120" w:type="dxa"/>
              <w:start w:w="120" w:type="dxa"/>
              <w:bottom w:w="120" w:type="dxa"/>
              <w:end w:w="120" w:type="dxa"/>
            </w:tcMar>
            <w:vAlign w:val="center"/>
          </w:tcPr>
          <w:p>
            <w:r>
              <w:rPr>
                <w:color w:val="142A42"/>
                <w:sz w:val="16"/>
              </w:rPr>
              <w:t>Why NuVue instead of another provider?</w:t>
            </w:r>
          </w:p>
        </w:tc>
        <w:tc>
          <w:tcPr>
            <w:tcW w:type="dxa" w:w="4320"/>
            <w:tcMar>
              <w:top w:w="120" w:type="dxa"/>
              <w:start w:w="120" w:type="dxa"/>
              <w:bottom w:w="120" w:type="dxa"/>
              <w:end w:w="120" w:type="dxa"/>
            </w:tcMar>
            <w:vAlign w:val="center"/>
          </w:tcPr>
          <w:p>
            <w:r>
              <w:rPr>
                <w:color w:val="142A42"/>
                <w:sz w:val="16"/>
              </w:rPr>
              <w:t>Proof, ROI, case studies, methodology, credentials, guarantee eligibility.</w:t>
            </w:r>
          </w:p>
        </w:tc>
        <w:tc>
          <w:tcPr>
            <w:tcW w:type="dxa" w:w="1800"/>
            <w:tcMar>
              <w:top w:w="120" w:type="dxa"/>
              <w:start w:w="120" w:type="dxa"/>
              <w:bottom w:w="120" w:type="dxa"/>
              <w:end w:w="120" w:type="dxa"/>
            </w:tcMar>
            <w:vAlign w:val="center"/>
          </w:tcPr>
          <w:p>
            <w:r>
              <w:rPr>
                <w:color w:val="142A42"/>
                <w:sz w:val="16"/>
              </w:rPr>
              <w:t>Request consultation</w:t>
            </w:r>
          </w:p>
        </w:tc>
      </w:tr>
      <w:tr>
        <w:tc>
          <w:tcPr>
            <w:tcW w:type="dxa" w:w="1800"/>
            <w:tcMar>
              <w:top w:w="120" w:type="dxa"/>
              <w:start w:w="120" w:type="dxa"/>
              <w:bottom w:w="120" w:type="dxa"/>
              <w:end w:w="120" w:type="dxa"/>
            </w:tcMar>
            <w:vAlign w:val="center"/>
          </w:tcPr>
          <w:p>
            <w:r>
              <w:rPr>
                <w:color w:val="142A42"/>
                <w:sz w:val="16"/>
              </w:rPr>
              <w:t>Decision</w:t>
            </w:r>
          </w:p>
        </w:tc>
        <w:tc>
          <w:tcPr>
            <w:tcW w:type="dxa" w:w="2880"/>
            <w:tcMar>
              <w:top w:w="120" w:type="dxa"/>
              <w:start w:w="120" w:type="dxa"/>
              <w:bottom w:w="120" w:type="dxa"/>
              <w:end w:w="120" w:type="dxa"/>
            </w:tcMar>
            <w:vAlign w:val="center"/>
          </w:tcPr>
          <w:p>
            <w:r>
              <w:rPr>
                <w:color w:val="142A42"/>
                <w:sz w:val="16"/>
              </w:rPr>
              <w:t>Can this work for our team and what happens next?</w:t>
            </w:r>
          </w:p>
        </w:tc>
        <w:tc>
          <w:tcPr>
            <w:tcW w:type="dxa" w:w="4320"/>
            <w:tcMar>
              <w:top w:w="120" w:type="dxa"/>
              <w:start w:w="120" w:type="dxa"/>
              <w:bottom w:w="120" w:type="dxa"/>
              <w:end w:w="120" w:type="dxa"/>
            </w:tcMar>
            <w:vAlign w:val="center"/>
          </w:tcPr>
          <w:p>
            <w:r>
              <w:rPr>
                <w:color w:val="142A42"/>
                <w:sz w:val="16"/>
              </w:rPr>
              <w:t>Qualification, needs analysis, clear process, program recommendation.</w:t>
            </w:r>
          </w:p>
        </w:tc>
        <w:tc>
          <w:tcPr>
            <w:tcW w:type="dxa" w:w="1800"/>
            <w:tcMar>
              <w:top w:w="120" w:type="dxa"/>
              <w:start w:w="120" w:type="dxa"/>
              <w:bottom w:w="120" w:type="dxa"/>
              <w:end w:w="120" w:type="dxa"/>
            </w:tcMar>
            <w:vAlign w:val="center"/>
          </w:tcPr>
          <w:p>
            <w:r>
              <w:rPr>
                <w:color w:val="142A42"/>
                <w:sz w:val="16"/>
              </w:rPr>
              <w:t>Request consultation / Apply</w:t>
            </w:r>
          </w:p>
        </w:tc>
      </w:tr>
      <w:tr>
        <w:tc>
          <w:tcPr>
            <w:tcW w:type="dxa" w:w="1800"/>
            <w:tcMar>
              <w:top w:w="120" w:type="dxa"/>
              <w:start w:w="120" w:type="dxa"/>
              <w:bottom w:w="120" w:type="dxa"/>
              <w:end w:w="120" w:type="dxa"/>
            </w:tcMar>
            <w:vAlign w:val="center"/>
          </w:tcPr>
          <w:p>
            <w:r>
              <w:rPr>
                <w:color w:val="142A42"/>
                <w:sz w:val="16"/>
              </w:rPr>
              <w:t>Expansion</w:t>
            </w:r>
          </w:p>
        </w:tc>
        <w:tc>
          <w:tcPr>
            <w:tcW w:type="dxa" w:w="2880"/>
            <w:tcMar>
              <w:top w:w="120" w:type="dxa"/>
              <w:start w:w="120" w:type="dxa"/>
              <w:bottom w:w="120" w:type="dxa"/>
              <w:end w:w="120" w:type="dxa"/>
            </w:tcMar>
            <w:vAlign w:val="center"/>
          </w:tcPr>
          <w:p>
            <w:r>
              <w:rPr>
                <w:color w:val="142A42"/>
                <w:sz w:val="16"/>
              </w:rPr>
              <w:t>What else should we develop or reinforce?</w:t>
            </w:r>
          </w:p>
        </w:tc>
        <w:tc>
          <w:tcPr>
            <w:tcW w:type="dxa" w:w="4320"/>
            <w:tcMar>
              <w:top w:w="120" w:type="dxa"/>
              <w:start w:w="120" w:type="dxa"/>
              <w:bottom w:w="120" w:type="dxa"/>
              <w:end w:w="120" w:type="dxa"/>
            </w:tcMar>
            <w:vAlign w:val="center"/>
          </w:tcPr>
          <w:p>
            <w:r>
              <w:rPr>
                <w:color w:val="142A42"/>
                <w:sz w:val="16"/>
              </w:rPr>
              <w:t>LTNS, leadership, business acumen, advanced sales curriculum, ROI review.</w:t>
            </w:r>
          </w:p>
        </w:tc>
        <w:tc>
          <w:tcPr>
            <w:tcW w:type="dxa" w:w="1800"/>
            <w:tcMar>
              <w:top w:w="120" w:type="dxa"/>
              <w:start w:w="120" w:type="dxa"/>
              <w:bottom w:w="120" w:type="dxa"/>
              <w:end w:w="120" w:type="dxa"/>
            </w:tcMar>
            <w:vAlign w:val="center"/>
          </w:tcPr>
          <w:p>
            <w:r>
              <w:rPr>
                <w:color w:val="142A42"/>
                <w:sz w:val="16"/>
              </w:rPr>
              <w:t>Plan next phase</w:t>
            </w:r>
          </w:p>
        </w:tc>
      </w:tr>
    </w:tbl>
    <w:p>
      <w:pPr>
        <w:spacing w:after="40"/>
      </w:pPr>
    </w:p>
    <w:p>
      <w:pPr>
        <w:pStyle w:val="Heading2"/>
      </w:pPr>
      <w:r>
        <w:t>Offer architecture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14324A"/>
            <w:tcMar>
              <w:top w:w="120" w:type="dxa"/>
              <w:start w:w="120" w:type="dxa"/>
              <w:bottom w:w="120" w:type="dxa"/>
              <w:end w:w="120" w:type="dxa"/>
            </w:tcMar>
            <w:vAlign w:val="center"/>
          </w:tcPr>
          <w:p>
            <w:pPr>
              <w:jc w:val="left"/>
            </w:pPr>
            <w:r>
              <w:rPr>
                <w:b/>
                <w:color w:val="FFFFFF"/>
                <w:sz w:val="17"/>
              </w:rPr>
              <w:t>Audience</w:t>
            </w:r>
          </w:p>
        </w:tc>
        <w:tc>
          <w:tcPr>
            <w:tcW w:type="dxa" w:w="2880"/>
            <w:shd w:fill="14324A"/>
            <w:tcMar>
              <w:top w:w="120" w:type="dxa"/>
              <w:start w:w="120" w:type="dxa"/>
              <w:bottom w:w="120" w:type="dxa"/>
              <w:end w:w="120" w:type="dxa"/>
            </w:tcMar>
            <w:vAlign w:val="center"/>
          </w:tcPr>
          <w:p>
            <w:pPr>
              <w:jc w:val="left"/>
            </w:pPr>
            <w:r>
              <w:rPr>
                <w:b/>
                <w:color w:val="FFFFFF"/>
                <w:sz w:val="17"/>
              </w:rPr>
              <w:t>Entry Offer</w:t>
            </w:r>
          </w:p>
        </w:tc>
        <w:tc>
          <w:tcPr>
            <w:tcW w:type="dxa" w:w="4032"/>
            <w:shd w:fill="14324A"/>
            <w:tcMar>
              <w:top w:w="120" w:type="dxa"/>
              <w:start w:w="120" w:type="dxa"/>
              <w:bottom w:w="120" w:type="dxa"/>
              <w:end w:w="120" w:type="dxa"/>
            </w:tcMar>
            <w:vAlign w:val="center"/>
          </w:tcPr>
          <w:p>
            <w:pPr>
              <w:jc w:val="left"/>
            </w:pPr>
            <w:r>
              <w:rPr>
                <w:b/>
                <w:color w:val="FFFFFF"/>
                <w:sz w:val="17"/>
              </w:rPr>
              <w:t>Core Offer</w:t>
            </w:r>
          </w:p>
        </w:tc>
        <w:tc>
          <w:tcPr>
            <w:tcW w:type="dxa" w:w="2880"/>
            <w:shd w:fill="14324A"/>
            <w:tcMar>
              <w:top w:w="120" w:type="dxa"/>
              <w:start w:w="120" w:type="dxa"/>
              <w:bottom w:w="120" w:type="dxa"/>
              <w:end w:w="120" w:type="dxa"/>
            </w:tcMar>
            <w:vAlign w:val="center"/>
          </w:tcPr>
          <w:p>
            <w:pPr>
              <w:jc w:val="left"/>
            </w:pPr>
            <w:r>
              <w:rPr>
                <w:b/>
                <w:color w:val="FFFFFF"/>
                <w:sz w:val="17"/>
              </w:rPr>
              <w:t>Expansion / Retention</w:t>
            </w:r>
          </w:p>
        </w:tc>
      </w:tr>
      <w:tr>
        <w:tc>
          <w:tcPr>
            <w:tcW w:type="dxa" w:w="2016"/>
            <w:tcMar>
              <w:top w:w="120" w:type="dxa"/>
              <w:start w:w="120" w:type="dxa"/>
              <w:bottom w:w="120" w:type="dxa"/>
              <w:end w:w="120" w:type="dxa"/>
            </w:tcMar>
            <w:vAlign w:val="center"/>
          </w:tcPr>
          <w:p>
            <w:r>
              <w:rPr>
                <w:color w:val="142A42"/>
                <w:sz w:val="17"/>
              </w:rPr>
              <w:t>Corporate</w:t>
            </w:r>
          </w:p>
        </w:tc>
        <w:tc>
          <w:tcPr>
            <w:tcW w:type="dxa" w:w="2880"/>
            <w:tcMar>
              <w:top w:w="120" w:type="dxa"/>
              <w:start w:w="120" w:type="dxa"/>
              <w:bottom w:w="120" w:type="dxa"/>
              <w:end w:w="120" w:type="dxa"/>
            </w:tcMar>
            <w:vAlign w:val="center"/>
          </w:tcPr>
          <w:p>
            <w:r>
              <w:rPr>
                <w:color w:val="142A42"/>
                <w:sz w:val="17"/>
              </w:rPr>
              <w:t>Self-assessment / Consultation</w:t>
            </w:r>
          </w:p>
        </w:tc>
        <w:tc>
          <w:tcPr>
            <w:tcW w:type="dxa" w:w="4032"/>
            <w:tcMar>
              <w:top w:w="120" w:type="dxa"/>
              <w:start w:w="120" w:type="dxa"/>
              <w:bottom w:w="120" w:type="dxa"/>
              <w:end w:w="120" w:type="dxa"/>
            </w:tcMar>
            <w:vAlign w:val="center"/>
          </w:tcPr>
          <w:p>
            <w:r>
              <w:rPr>
                <w:color w:val="142A42"/>
                <w:sz w:val="17"/>
              </w:rPr>
              <w:t>Sales Development, Leadership &amp; Executive Coaching, Business Acumen</w:t>
            </w:r>
          </w:p>
        </w:tc>
        <w:tc>
          <w:tcPr>
            <w:tcW w:type="dxa" w:w="2880"/>
            <w:tcMar>
              <w:top w:w="120" w:type="dxa"/>
              <w:start w:w="120" w:type="dxa"/>
              <w:bottom w:w="120" w:type="dxa"/>
              <w:end w:w="120" w:type="dxa"/>
            </w:tcMar>
            <w:vAlign w:val="center"/>
          </w:tcPr>
          <w:p>
            <w:r>
              <w:rPr>
                <w:color w:val="142A42"/>
                <w:sz w:val="17"/>
              </w:rPr>
              <w:t>Advanced programs, LTNS, ROI Impact Evaluation, strategic planning</w:t>
            </w:r>
          </w:p>
        </w:tc>
      </w:tr>
      <w:tr>
        <w:tc>
          <w:tcPr>
            <w:tcW w:type="dxa" w:w="2016"/>
            <w:tcMar>
              <w:top w:w="120" w:type="dxa"/>
              <w:start w:w="120" w:type="dxa"/>
              <w:bottom w:w="120" w:type="dxa"/>
              <w:end w:w="120" w:type="dxa"/>
            </w:tcMar>
            <w:vAlign w:val="center"/>
          </w:tcPr>
          <w:p>
            <w:r>
              <w:rPr>
                <w:color w:val="142A42"/>
                <w:sz w:val="17"/>
              </w:rPr>
              <w:t>Qualified enterprise</w:t>
            </w:r>
          </w:p>
        </w:tc>
        <w:tc>
          <w:tcPr>
            <w:tcW w:type="dxa" w:w="2880"/>
            <w:tcMar>
              <w:top w:w="120" w:type="dxa"/>
              <w:start w:w="120" w:type="dxa"/>
              <w:bottom w:w="120" w:type="dxa"/>
              <w:end w:w="120" w:type="dxa"/>
            </w:tcMar>
            <w:vAlign w:val="center"/>
          </w:tcPr>
          <w:p>
            <w:r>
              <w:rPr>
                <w:color w:val="142A42"/>
                <w:sz w:val="17"/>
              </w:rPr>
              <w:t>Consultation / Guarantee assessment</w:t>
            </w:r>
          </w:p>
        </w:tc>
        <w:tc>
          <w:tcPr>
            <w:tcW w:type="dxa" w:w="4032"/>
            <w:tcMar>
              <w:top w:w="120" w:type="dxa"/>
              <w:start w:w="120" w:type="dxa"/>
              <w:bottom w:w="120" w:type="dxa"/>
              <w:end w:w="120" w:type="dxa"/>
            </w:tcMar>
            <w:vAlign w:val="center"/>
          </w:tcPr>
          <w:p>
            <w:r>
              <w:rPr>
                <w:color w:val="142A42"/>
                <w:sz w:val="17"/>
              </w:rPr>
              <w:t>CSP Guarantee Program</w:t>
            </w:r>
          </w:p>
        </w:tc>
        <w:tc>
          <w:tcPr>
            <w:tcW w:type="dxa" w:w="2880"/>
            <w:tcMar>
              <w:top w:w="120" w:type="dxa"/>
              <w:start w:w="120" w:type="dxa"/>
              <w:bottom w:w="120" w:type="dxa"/>
              <w:end w:w="120" w:type="dxa"/>
            </w:tcMar>
            <w:vAlign w:val="center"/>
          </w:tcPr>
          <w:p>
            <w:r>
              <w:rPr>
                <w:color w:val="142A42"/>
                <w:sz w:val="17"/>
              </w:rPr>
              <w:t>Manager coaching, additional pillars, enterprise rollout</w:t>
            </w:r>
          </w:p>
        </w:tc>
      </w:tr>
      <w:tr>
        <w:tc>
          <w:tcPr>
            <w:tcW w:type="dxa" w:w="2016"/>
            <w:tcMar>
              <w:top w:w="120" w:type="dxa"/>
              <w:start w:w="120" w:type="dxa"/>
              <w:bottom w:w="120" w:type="dxa"/>
              <w:end w:w="120" w:type="dxa"/>
            </w:tcMar>
            <w:vAlign w:val="center"/>
          </w:tcPr>
          <w:p>
            <w:r>
              <w:rPr>
                <w:color w:val="142A42"/>
                <w:sz w:val="17"/>
              </w:rPr>
              <w:t>Individual</w:t>
            </w:r>
          </w:p>
        </w:tc>
        <w:tc>
          <w:tcPr>
            <w:tcW w:type="dxa" w:w="2880"/>
            <w:tcMar>
              <w:top w:w="120" w:type="dxa"/>
              <w:start w:w="120" w:type="dxa"/>
              <w:bottom w:w="120" w:type="dxa"/>
              <w:end w:w="120" w:type="dxa"/>
            </w:tcMar>
            <w:vAlign w:val="center"/>
          </w:tcPr>
          <w:p>
            <w:r>
              <w:rPr>
                <w:color w:val="142A42"/>
                <w:sz w:val="17"/>
              </w:rPr>
              <w:t>Program discovery / self-assessment</w:t>
            </w:r>
          </w:p>
        </w:tc>
        <w:tc>
          <w:tcPr>
            <w:tcW w:type="dxa" w:w="4032"/>
            <w:tcMar>
              <w:top w:w="120" w:type="dxa"/>
              <w:start w:w="120" w:type="dxa"/>
              <w:bottom w:w="120" w:type="dxa"/>
              <w:end w:w="120" w:type="dxa"/>
            </w:tcMar>
            <w:vAlign w:val="center"/>
          </w:tcPr>
          <w:p>
            <w:r>
              <w:rPr>
                <w:color w:val="142A42"/>
                <w:sz w:val="17"/>
              </w:rPr>
              <w:t>Public seminars</w:t>
            </w:r>
          </w:p>
        </w:tc>
        <w:tc>
          <w:tcPr>
            <w:tcW w:type="dxa" w:w="2880"/>
            <w:tcMar>
              <w:top w:w="120" w:type="dxa"/>
              <w:start w:w="120" w:type="dxa"/>
              <w:bottom w:w="120" w:type="dxa"/>
              <w:end w:w="120" w:type="dxa"/>
            </w:tcMar>
            <w:vAlign w:val="center"/>
          </w:tcPr>
          <w:p>
            <w:r>
              <w:rPr>
                <w:color w:val="142A42"/>
                <w:sz w:val="17"/>
              </w:rPr>
              <w:t>LTNS membership, additional seminars</w:t>
            </w:r>
          </w:p>
        </w:tc>
      </w:tr>
    </w:tbl>
    <w:p>
      <w:pPr>
        <w:spacing w:after="40"/>
      </w:pPr>
    </w:p>
    <w:p>
      <w:pPr>
        <w:pStyle w:val="Heading1"/>
      </w:pPr>
      <w:r>
        <w:t>9. Discoverability &amp; AI Recommendation Strategy</w:t>
      </w:r>
    </w:p>
    <w:p>
      <w:r>
        <w:t>The goal is not simply to rank for more keywords. NuVue should become easier for qualified buyers to discover, understand, and recommend across traditional search and AI-assisted research.</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4324A"/>
            <w:tcMar>
              <w:top w:w="120" w:type="dxa"/>
              <w:start w:w="120" w:type="dxa"/>
              <w:bottom w:w="120" w:type="dxa"/>
              <w:end w:w="120" w:type="dxa"/>
            </w:tcMar>
            <w:vAlign w:val="center"/>
          </w:tcPr>
          <w:p>
            <w:pPr>
              <w:jc w:val="left"/>
            </w:pPr>
            <w:r>
              <w:rPr>
                <w:b/>
                <w:color w:val="FFFFFF"/>
                <w:sz w:val="16"/>
              </w:rPr>
              <w:t>Buyer Research Theme</w:t>
            </w:r>
          </w:p>
        </w:tc>
        <w:tc>
          <w:tcPr>
            <w:tcW w:type="dxa" w:w="4032"/>
            <w:shd w:fill="14324A"/>
            <w:tcMar>
              <w:top w:w="120" w:type="dxa"/>
              <w:start w:w="120" w:type="dxa"/>
              <w:bottom w:w="120" w:type="dxa"/>
              <w:end w:w="120" w:type="dxa"/>
            </w:tcMar>
            <w:vAlign w:val="center"/>
          </w:tcPr>
          <w:p>
            <w:pPr>
              <w:jc w:val="left"/>
            </w:pPr>
            <w:r>
              <w:rPr>
                <w:b/>
                <w:color w:val="FFFFFF"/>
                <w:sz w:val="16"/>
              </w:rPr>
              <w:t>Representative Prompt / Query</w:t>
            </w:r>
          </w:p>
        </w:tc>
        <w:tc>
          <w:tcPr>
            <w:tcW w:type="dxa" w:w="4680"/>
            <w:shd w:fill="14324A"/>
            <w:tcMar>
              <w:top w:w="120" w:type="dxa"/>
              <w:start w:w="120" w:type="dxa"/>
              <w:bottom w:w="120" w:type="dxa"/>
              <w:end w:w="120" w:type="dxa"/>
            </w:tcMar>
            <w:vAlign w:val="center"/>
          </w:tcPr>
          <w:p>
            <w:pPr>
              <w:jc w:val="left"/>
            </w:pPr>
            <w:r>
              <w:rPr>
                <w:b/>
                <w:color w:val="FFFFFF"/>
                <w:sz w:val="16"/>
              </w:rPr>
              <w:t>Strategic Requirement</w:t>
            </w:r>
          </w:p>
        </w:tc>
      </w:tr>
      <w:tr>
        <w:tc>
          <w:tcPr>
            <w:tcW w:type="dxa" w:w="2232"/>
            <w:tcMar>
              <w:top w:w="120" w:type="dxa"/>
              <w:start w:w="120" w:type="dxa"/>
              <w:bottom w:w="120" w:type="dxa"/>
              <w:end w:w="120" w:type="dxa"/>
            </w:tcMar>
            <w:vAlign w:val="center"/>
          </w:tcPr>
          <w:p>
            <w:r>
              <w:rPr>
                <w:color w:val="142A42"/>
                <w:sz w:val="16"/>
              </w:rPr>
              <w:t>Category recommendation</w:t>
            </w:r>
          </w:p>
        </w:tc>
        <w:tc>
          <w:tcPr>
            <w:tcW w:type="dxa" w:w="4032"/>
            <w:tcMar>
              <w:top w:w="120" w:type="dxa"/>
              <w:start w:w="120" w:type="dxa"/>
              <w:bottom w:w="120" w:type="dxa"/>
              <w:end w:w="120" w:type="dxa"/>
            </w:tcMar>
            <w:vAlign w:val="center"/>
          </w:tcPr>
          <w:p>
            <w:r>
              <w:rPr>
                <w:color w:val="142A42"/>
                <w:sz w:val="16"/>
              </w:rPr>
              <w:t>Best enterprise sales training companies for a 100+ rep team</w:t>
            </w:r>
          </w:p>
        </w:tc>
        <w:tc>
          <w:tcPr>
            <w:tcW w:type="dxa" w:w="4680"/>
            <w:tcMar>
              <w:top w:w="120" w:type="dxa"/>
              <w:start w:w="120" w:type="dxa"/>
              <w:bottom w:w="120" w:type="dxa"/>
              <w:end w:w="120" w:type="dxa"/>
            </w:tcMar>
            <w:vAlign w:val="center"/>
          </w:tcPr>
          <w:p>
            <w:r>
              <w:rPr>
                <w:color w:val="142A42"/>
                <w:sz w:val="16"/>
              </w:rPr>
              <w:t>Clear entity/category positioning, comparison-ready proof, external authority.</w:t>
            </w:r>
          </w:p>
        </w:tc>
      </w:tr>
      <w:tr>
        <w:tc>
          <w:tcPr>
            <w:tcW w:type="dxa" w:w="2232"/>
            <w:tcMar>
              <w:top w:w="120" w:type="dxa"/>
              <w:start w:w="120" w:type="dxa"/>
              <w:bottom w:w="120" w:type="dxa"/>
              <w:end w:w="120" w:type="dxa"/>
            </w:tcMar>
            <w:vAlign w:val="center"/>
          </w:tcPr>
          <w:p>
            <w:r>
              <w:rPr>
                <w:color w:val="142A42"/>
                <w:sz w:val="16"/>
              </w:rPr>
              <w:t>Vertical recommendation</w:t>
            </w:r>
          </w:p>
        </w:tc>
        <w:tc>
          <w:tcPr>
            <w:tcW w:type="dxa" w:w="4032"/>
            <w:tcMar>
              <w:top w:w="120" w:type="dxa"/>
              <w:start w:w="120" w:type="dxa"/>
              <w:bottom w:w="120" w:type="dxa"/>
              <w:end w:w="120" w:type="dxa"/>
            </w:tcMar>
            <w:vAlign w:val="center"/>
          </w:tcPr>
          <w:p>
            <w:r>
              <w:rPr>
                <w:color w:val="142A42"/>
                <w:sz w:val="16"/>
              </w:rPr>
              <w:t>Best sales training company for agriculture</w:t>
            </w:r>
          </w:p>
        </w:tc>
        <w:tc>
          <w:tcPr>
            <w:tcW w:type="dxa" w:w="4680"/>
            <w:tcMar>
              <w:top w:w="120" w:type="dxa"/>
              <w:start w:w="120" w:type="dxa"/>
              <w:bottom w:w="120" w:type="dxa"/>
              <w:end w:w="120" w:type="dxa"/>
            </w:tcMar>
            <w:vAlign w:val="center"/>
          </w:tcPr>
          <w:p>
            <w:r>
              <w:rPr>
                <w:color w:val="142A42"/>
                <w:sz w:val="16"/>
              </w:rPr>
              <w:t>Agriculture page, vertical proof, expert content, third-party mentions.</w:t>
            </w:r>
          </w:p>
        </w:tc>
      </w:tr>
      <w:tr>
        <w:tc>
          <w:tcPr>
            <w:tcW w:type="dxa" w:w="2232"/>
            <w:tcMar>
              <w:top w:w="120" w:type="dxa"/>
              <w:start w:w="120" w:type="dxa"/>
              <w:bottom w:w="120" w:type="dxa"/>
              <w:end w:w="120" w:type="dxa"/>
            </w:tcMar>
            <w:vAlign w:val="center"/>
          </w:tcPr>
          <w:p>
            <w:r>
              <w:rPr>
                <w:color w:val="142A42"/>
                <w:sz w:val="16"/>
              </w:rPr>
              <w:t>Outcome / risk reduction</w:t>
            </w:r>
          </w:p>
        </w:tc>
        <w:tc>
          <w:tcPr>
            <w:tcW w:type="dxa" w:w="4032"/>
            <w:tcMar>
              <w:top w:w="120" w:type="dxa"/>
              <w:start w:w="120" w:type="dxa"/>
              <w:bottom w:w="120" w:type="dxa"/>
              <w:end w:w="120" w:type="dxa"/>
            </w:tcMar>
            <w:vAlign w:val="center"/>
          </w:tcPr>
          <w:p>
            <w:r>
              <w:rPr>
                <w:color w:val="142A42"/>
                <w:sz w:val="16"/>
              </w:rPr>
              <w:t>Sales training with measurable or guaranteed results</w:t>
            </w:r>
          </w:p>
        </w:tc>
        <w:tc>
          <w:tcPr>
            <w:tcW w:type="dxa" w:w="4680"/>
            <w:tcMar>
              <w:top w:w="120" w:type="dxa"/>
              <w:start w:w="120" w:type="dxa"/>
              <w:bottom w:w="120" w:type="dxa"/>
              <w:end w:w="120" w:type="dxa"/>
            </w:tcMar>
            <w:vAlign w:val="center"/>
          </w:tcPr>
          <w:p>
            <w:r>
              <w:rPr>
                <w:color w:val="142A42"/>
                <w:sz w:val="16"/>
              </w:rPr>
              <w:t>Dedicated guarantee/ROI content with eligibility, evidence and credible claims.</w:t>
            </w:r>
          </w:p>
        </w:tc>
      </w:tr>
      <w:tr>
        <w:tc>
          <w:tcPr>
            <w:tcW w:type="dxa" w:w="2232"/>
            <w:tcMar>
              <w:top w:w="120" w:type="dxa"/>
              <w:start w:w="120" w:type="dxa"/>
              <w:bottom w:w="120" w:type="dxa"/>
              <w:end w:w="120" w:type="dxa"/>
            </w:tcMar>
            <w:vAlign w:val="center"/>
          </w:tcPr>
          <w:p>
            <w:r>
              <w:rPr>
                <w:color w:val="142A42"/>
                <w:sz w:val="16"/>
              </w:rPr>
              <w:t>Methodology</w:t>
            </w:r>
          </w:p>
        </w:tc>
        <w:tc>
          <w:tcPr>
            <w:tcW w:type="dxa" w:w="4032"/>
            <w:tcMar>
              <w:top w:w="120" w:type="dxa"/>
              <w:start w:w="120" w:type="dxa"/>
              <w:bottom w:w="120" w:type="dxa"/>
              <w:end w:w="120" w:type="dxa"/>
            </w:tcMar>
            <w:vAlign w:val="center"/>
          </w:tcPr>
          <w:p>
            <w:r>
              <w:rPr>
                <w:color w:val="142A42"/>
                <w:sz w:val="16"/>
              </w:rPr>
              <w:t>Consultative selling training that reinforces learning after the workshop</w:t>
            </w:r>
          </w:p>
        </w:tc>
        <w:tc>
          <w:tcPr>
            <w:tcW w:type="dxa" w:w="4680"/>
            <w:tcMar>
              <w:top w:w="120" w:type="dxa"/>
              <w:start w:w="120" w:type="dxa"/>
              <w:bottom w:w="120" w:type="dxa"/>
              <w:end w:w="120" w:type="dxa"/>
            </w:tcMar>
            <w:vAlign w:val="center"/>
          </w:tcPr>
          <w:p>
            <w:r>
              <w:rPr>
                <w:color w:val="142A42"/>
                <w:sz w:val="16"/>
              </w:rPr>
              <w:t>Methodology content explaining sustained learning and differentiation.</w:t>
            </w:r>
          </w:p>
        </w:tc>
      </w:tr>
      <w:tr>
        <w:tc>
          <w:tcPr>
            <w:tcW w:type="dxa" w:w="2232"/>
            <w:tcMar>
              <w:top w:w="120" w:type="dxa"/>
              <w:start w:w="120" w:type="dxa"/>
              <w:bottom w:w="120" w:type="dxa"/>
              <w:end w:w="120" w:type="dxa"/>
            </w:tcMar>
            <w:vAlign w:val="center"/>
          </w:tcPr>
          <w:p>
            <w:r>
              <w:rPr>
                <w:color w:val="142A42"/>
                <w:sz w:val="16"/>
              </w:rPr>
              <w:t>Leadership</w:t>
            </w:r>
          </w:p>
        </w:tc>
        <w:tc>
          <w:tcPr>
            <w:tcW w:type="dxa" w:w="4032"/>
            <w:tcMar>
              <w:top w:w="120" w:type="dxa"/>
              <w:start w:w="120" w:type="dxa"/>
              <w:bottom w:w="120" w:type="dxa"/>
              <w:end w:w="120" w:type="dxa"/>
            </w:tcMar>
            <w:vAlign w:val="center"/>
          </w:tcPr>
          <w:p>
            <w:r>
              <w:rPr>
                <w:color w:val="142A42"/>
                <w:sz w:val="16"/>
              </w:rPr>
              <w:t>Leadership training for newly promoted sales managers</w:t>
            </w:r>
          </w:p>
        </w:tc>
        <w:tc>
          <w:tcPr>
            <w:tcW w:type="dxa" w:w="4680"/>
            <w:tcMar>
              <w:top w:w="120" w:type="dxa"/>
              <w:start w:w="120" w:type="dxa"/>
              <w:bottom w:w="120" w:type="dxa"/>
              <w:end w:w="120" w:type="dxa"/>
            </w:tcMar>
            <w:vAlign w:val="center"/>
          </w:tcPr>
          <w:p>
            <w:r>
              <w:rPr>
                <w:color w:val="142A42"/>
                <w:sz w:val="16"/>
              </w:rPr>
              <w:t>Dedicated leadership pillar content and relevant proof.</w:t>
            </w:r>
          </w:p>
        </w:tc>
      </w:tr>
      <w:tr>
        <w:tc>
          <w:tcPr>
            <w:tcW w:type="dxa" w:w="2232"/>
            <w:tcMar>
              <w:top w:w="120" w:type="dxa"/>
              <w:start w:w="120" w:type="dxa"/>
              <w:bottom w:w="120" w:type="dxa"/>
              <w:end w:w="120" w:type="dxa"/>
            </w:tcMar>
            <w:vAlign w:val="center"/>
          </w:tcPr>
          <w:p>
            <w:r>
              <w:rPr>
                <w:color w:val="142A42"/>
                <w:sz w:val="16"/>
              </w:rPr>
              <w:t>Business acumen</w:t>
            </w:r>
          </w:p>
        </w:tc>
        <w:tc>
          <w:tcPr>
            <w:tcW w:type="dxa" w:w="4032"/>
            <w:tcMar>
              <w:top w:w="120" w:type="dxa"/>
              <w:start w:w="120" w:type="dxa"/>
              <w:bottom w:w="120" w:type="dxa"/>
              <w:end w:w="120" w:type="dxa"/>
            </w:tcMar>
            <w:vAlign w:val="center"/>
          </w:tcPr>
          <w:p>
            <w:r>
              <w:rPr>
                <w:color w:val="142A42"/>
                <w:sz w:val="16"/>
              </w:rPr>
              <w:t>Business acumen training for sales teams</w:t>
            </w:r>
          </w:p>
        </w:tc>
        <w:tc>
          <w:tcPr>
            <w:tcW w:type="dxa" w:w="4680"/>
            <w:tcMar>
              <w:top w:w="120" w:type="dxa"/>
              <w:start w:w="120" w:type="dxa"/>
              <w:bottom w:w="120" w:type="dxa"/>
              <w:end w:w="120" w:type="dxa"/>
            </w:tcMar>
            <w:vAlign w:val="center"/>
          </w:tcPr>
          <w:p>
            <w:r>
              <w:rPr>
                <w:color w:val="142A42"/>
                <w:sz w:val="16"/>
              </w:rPr>
              <w:t>Dedicated pillar page, simulation explanation, expert content and use cases.</w:t>
            </w:r>
          </w:p>
        </w:tc>
      </w:tr>
    </w:tbl>
    <w:p>
      <w:pPr>
        <w:spacing w:after="40"/>
      </w:pPr>
    </w:p>
    <w:p>
      <w:pPr>
        <w:pStyle w:val="Heading2"/>
      </w:pPr>
      <w:r>
        <w:t>Illustrative AI recommendation finding</w:t>
      </w:r>
    </w:p>
    <w:tbl>
      <w:tblPr>
        <w:tblStyle w:val="TableGrid"/>
        <w:tblW w:type="auto" w:w="0"/>
        <w:jc w:val="center"/>
        <w:tblLook w:firstColumn="1" w:firstRow="1" w:lastColumn="0" w:lastRow="0" w:noHBand="0" w:noVBand="1" w:val="04A0"/>
      </w:tblPr>
      <w:tblGrid>
        <w:gridCol w:w="10080"/>
      </w:tblGrid>
      <w:tr>
        <w:trPr>
          <w:cantSplit/>
        </w:trPr>
        <w:tc>
          <w:tcPr>
            <w:tcW w:type="dxa" w:w="10080"/>
            <w:shd w:fill="F8F2E6"/>
            <w:tcMar>
              <w:top w:w="160" w:type="dxa"/>
              <w:start w:w="180" w:type="dxa"/>
              <w:bottom w:w="160" w:type="dxa"/>
              <w:end w:w="180" w:type="dxa"/>
            </w:tcMar>
          </w:tcPr>
          <w:p>
            <w:r>
              <w:rPr>
                <w:b/>
                <w:color w:val="142A42"/>
                <w:sz w:val="22"/>
              </w:rPr>
              <w:t>Working assumption for demonstration</w:t>
            </w:r>
          </w:p>
          <w:p>
            <w:pPr>
              <w:pStyle w:val="Callout"/>
            </w:pPr>
            <w:r>
              <w:t>In a final Blueprint, this section would show date-stamped prompt tests, which brands appeared, why they were recommended, and which sources informed the answers. A finding such as 'NuVue is underrepresented' would only be stated after those runs are documented.</w:t>
            </w:r>
          </w:p>
        </w:tc>
      </w:tr>
    </w:tbl>
    <w:p>
      <w:pPr>
        <w:spacing w:after="4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464"/>
            <w:shd w:fill="14324A"/>
            <w:tcMar>
              <w:top w:w="120" w:type="dxa"/>
              <w:start w:w="120" w:type="dxa"/>
              <w:bottom w:w="120" w:type="dxa"/>
              <w:end w:w="120" w:type="dxa"/>
            </w:tcMar>
            <w:vAlign w:val="center"/>
          </w:tcPr>
          <w:p>
            <w:pPr>
              <w:jc w:val="left"/>
            </w:pPr>
            <w:r>
              <w:rPr>
                <w:b/>
                <w:color w:val="FFFFFF"/>
                <w:sz w:val="17"/>
              </w:rPr>
              <w:t>What We Would Measure</w:t>
            </w:r>
          </w:p>
        </w:tc>
        <w:tc>
          <w:tcPr>
            <w:tcW w:type="dxa" w:w="5760"/>
            <w:shd w:fill="14324A"/>
            <w:tcMar>
              <w:top w:w="120" w:type="dxa"/>
              <w:start w:w="120" w:type="dxa"/>
              <w:bottom w:w="120" w:type="dxa"/>
              <w:end w:w="120" w:type="dxa"/>
            </w:tcMar>
            <w:vAlign w:val="center"/>
          </w:tcPr>
          <w:p>
            <w:pPr>
              <w:jc w:val="left"/>
            </w:pPr>
            <w:r>
              <w:rPr>
                <w:b/>
                <w:color w:val="FFFFFF"/>
                <w:sz w:val="17"/>
              </w:rPr>
              <w:t>Output</w:t>
            </w:r>
          </w:p>
        </w:tc>
      </w:tr>
      <w:tr>
        <w:tc>
          <w:tcPr>
            <w:tcW w:type="dxa" w:w="4464"/>
            <w:tcMar>
              <w:top w:w="120" w:type="dxa"/>
              <w:start w:w="120" w:type="dxa"/>
              <w:bottom w:w="120" w:type="dxa"/>
              <w:end w:w="120" w:type="dxa"/>
            </w:tcMar>
            <w:vAlign w:val="center"/>
          </w:tcPr>
          <w:p>
            <w:r>
              <w:rPr>
                <w:color w:val="142A42"/>
                <w:sz w:val="17"/>
              </w:rPr>
              <w:t>NuVue appears in tested buyer prompts</w:t>
            </w:r>
          </w:p>
        </w:tc>
        <w:tc>
          <w:tcPr>
            <w:tcW w:type="dxa" w:w="5760"/>
            <w:tcMar>
              <w:top w:w="120" w:type="dxa"/>
              <w:start w:w="120" w:type="dxa"/>
              <w:bottom w:w="120" w:type="dxa"/>
              <w:end w:w="120" w:type="dxa"/>
            </w:tcMar>
            <w:vAlign w:val="center"/>
          </w:tcPr>
          <w:p>
            <w:r>
              <w:rPr>
                <w:color w:val="142A42"/>
                <w:sz w:val="17"/>
              </w:rPr>
              <w:t>Recommendation visibility rate</w:t>
            </w:r>
          </w:p>
        </w:tc>
      </w:tr>
      <w:tr>
        <w:tc>
          <w:tcPr>
            <w:tcW w:type="dxa" w:w="4464"/>
            <w:tcMar>
              <w:top w:w="120" w:type="dxa"/>
              <w:start w:w="120" w:type="dxa"/>
              <w:bottom w:w="120" w:type="dxa"/>
              <w:end w:w="120" w:type="dxa"/>
            </w:tcMar>
            <w:vAlign w:val="center"/>
          </w:tcPr>
          <w:p>
            <w:r>
              <w:rPr>
                <w:color w:val="142A42"/>
                <w:sz w:val="17"/>
              </w:rPr>
              <w:t>Competitors appearing most often</w:t>
            </w:r>
          </w:p>
        </w:tc>
        <w:tc>
          <w:tcPr>
            <w:tcW w:type="dxa" w:w="5760"/>
            <w:tcMar>
              <w:top w:w="120" w:type="dxa"/>
              <w:start w:w="120" w:type="dxa"/>
              <w:bottom w:w="120" w:type="dxa"/>
              <w:end w:w="120" w:type="dxa"/>
            </w:tcMar>
            <w:vAlign w:val="center"/>
          </w:tcPr>
          <w:p>
            <w:r>
              <w:rPr>
                <w:color w:val="142A42"/>
                <w:sz w:val="17"/>
              </w:rPr>
              <w:t>Competitor recommendation set</w:t>
            </w:r>
          </w:p>
        </w:tc>
      </w:tr>
      <w:tr>
        <w:tc>
          <w:tcPr>
            <w:tcW w:type="dxa" w:w="4464"/>
            <w:tcMar>
              <w:top w:w="120" w:type="dxa"/>
              <w:start w:w="120" w:type="dxa"/>
              <w:bottom w:w="120" w:type="dxa"/>
              <w:end w:w="120" w:type="dxa"/>
            </w:tcMar>
            <w:vAlign w:val="center"/>
          </w:tcPr>
          <w:p>
            <w:r>
              <w:rPr>
                <w:color w:val="142A42"/>
                <w:sz w:val="17"/>
              </w:rPr>
              <w:t>Reasons competitors are recommended</w:t>
            </w:r>
          </w:p>
        </w:tc>
        <w:tc>
          <w:tcPr>
            <w:tcW w:type="dxa" w:w="5760"/>
            <w:tcMar>
              <w:top w:w="120" w:type="dxa"/>
              <w:start w:w="120" w:type="dxa"/>
              <w:bottom w:w="120" w:type="dxa"/>
              <w:end w:w="120" w:type="dxa"/>
            </w:tcMar>
            <w:vAlign w:val="center"/>
          </w:tcPr>
          <w:p>
            <w:r>
              <w:rPr>
                <w:color w:val="142A42"/>
                <w:sz w:val="17"/>
              </w:rPr>
              <w:t>Recommendation attribute map</w:t>
            </w:r>
          </w:p>
        </w:tc>
      </w:tr>
      <w:tr>
        <w:tc>
          <w:tcPr>
            <w:tcW w:type="dxa" w:w="4464"/>
            <w:tcMar>
              <w:top w:w="120" w:type="dxa"/>
              <w:start w:w="120" w:type="dxa"/>
              <w:bottom w:w="120" w:type="dxa"/>
              <w:end w:w="120" w:type="dxa"/>
            </w:tcMar>
            <w:vAlign w:val="center"/>
          </w:tcPr>
          <w:p>
            <w:r>
              <w:rPr>
                <w:color w:val="142A42"/>
                <w:sz w:val="17"/>
              </w:rPr>
              <w:t>Sources cited or repeatedly referenced</w:t>
            </w:r>
          </w:p>
        </w:tc>
        <w:tc>
          <w:tcPr>
            <w:tcW w:type="dxa" w:w="5760"/>
            <w:tcMar>
              <w:top w:w="120" w:type="dxa"/>
              <w:start w:w="120" w:type="dxa"/>
              <w:bottom w:w="120" w:type="dxa"/>
              <w:end w:w="120" w:type="dxa"/>
            </w:tcMar>
            <w:vAlign w:val="center"/>
          </w:tcPr>
          <w:p>
            <w:r>
              <w:rPr>
                <w:color w:val="142A42"/>
                <w:sz w:val="17"/>
              </w:rPr>
              <w:t>Source influence map</w:t>
            </w:r>
          </w:p>
        </w:tc>
      </w:tr>
      <w:tr>
        <w:tc>
          <w:tcPr>
            <w:tcW w:type="dxa" w:w="4464"/>
            <w:tcMar>
              <w:top w:w="120" w:type="dxa"/>
              <w:start w:w="120" w:type="dxa"/>
              <w:bottom w:w="120" w:type="dxa"/>
              <w:end w:w="120" w:type="dxa"/>
            </w:tcMar>
            <w:vAlign w:val="center"/>
          </w:tcPr>
          <w:p>
            <w:r>
              <w:rPr>
                <w:color w:val="142A42"/>
                <w:sz w:val="17"/>
              </w:rPr>
              <w:t>Attributes missing from NuVue's web representation</w:t>
            </w:r>
          </w:p>
        </w:tc>
        <w:tc>
          <w:tcPr>
            <w:tcW w:type="dxa" w:w="5760"/>
            <w:tcMar>
              <w:top w:w="120" w:type="dxa"/>
              <w:start w:w="120" w:type="dxa"/>
              <w:bottom w:w="120" w:type="dxa"/>
              <w:end w:w="120" w:type="dxa"/>
            </w:tcMar>
            <w:vAlign w:val="center"/>
          </w:tcPr>
          <w:p>
            <w:r>
              <w:rPr>
                <w:color w:val="142A42"/>
                <w:sz w:val="17"/>
              </w:rPr>
              <w:t>Representation gaps</w:t>
            </w:r>
          </w:p>
        </w:tc>
      </w:tr>
      <w:tr>
        <w:tc>
          <w:tcPr>
            <w:tcW w:type="dxa" w:w="4464"/>
            <w:tcMar>
              <w:top w:w="120" w:type="dxa"/>
              <w:start w:w="120" w:type="dxa"/>
              <w:bottom w:w="120" w:type="dxa"/>
              <w:end w:w="120" w:type="dxa"/>
            </w:tcMar>
            <w:vAlign w:val="center"/>
          </w:tcPr>
          <w:p>
            <w:r>
              <w:rPr>
                <w:color w:val="142A42"/>
                <w:sz w:val="17"/>
              </w:rPr>
              <w:t>Trusted external sources where NuVue is absent</w:t>
            </w:r>
          </w:p>
        </w:tc>
        <w:tc>
          <w:tcPr>
            <w:tcW w:type="dxa" w:w="5760"/>
            <w:tcMar>
              <w:top w:w="120" w:type="dxa"/>
              <w:start w:w="120" w:type="dxa"/>
              <w:bottom w:w="120" w:type="dxa"/>
              <w:end w:w="120" w:type="dxa"/>
            </w:tcMar>
            <w:vAlign w:val="center"/>
          </w:tcPr>
          <w:p>
            <w:r>
              <w:rPr>
                <w:color w:val="142A42"/>
                <w:sz w:val="17"/>
              </w:rPr>
              <w:t>Authority-building opportunities</w:t>
            </w:r>
          </w:p>
        </w:tc>
      </w:tr>
    </w:tbl>
    <w:p>
      <w:pPr>
        <w:spacing w:after="40"/>
      </w:pPr>
    </w:p>
    <w:p>
      <w:pPr>
        <w:pStyle w:val="Heading1"/>
      </w:pPr>
      <w:r>
        <w:t>10. FAST Website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4324A"/>
            <w:tcMar>
              <w:top w:w="120" w:type="dxa"/>
              <w:start w:w="120" w:type="dxa"/>
              <w:bottom w:w="120" w:type="dxa"/>
              <w:end w:w="120" w:type="dxa"/>
            </w:tcMar>
            <w:vAlign w:val="center"/>
          </w:tcPr>
          <w:p>
            <w:pPr>
              <w:jc w:val="left"/>
            </w:pPr>
            <w:r>
              <w:rPr>
                <w:b/>
                <w:color w:val="FFFFFF"/>
                <w:sz w:val="16"/>
              </w:rPr>
              <w:t>FAST Standard</w:t>
            </w:r>
          </w:p>
        </w:tc>
        <w:tc>
          <w:tcPr>
            <w:tcW w:type="dxa" w:w="4032"/>
            <w:shd w:fill="14324A"/>
            <w:tcMar>
              <w:top w:w="120" w:type="dxa"/>
              <w:start w:w="120" w:type="dxa"/>
              <w:bottom w:w="120" w:type="dxa"/>
              <w:end w:w="120" w:type="dxa"/>
            </w:tcMar>
            <w:vAlign w:val="center"/>
          </w:tcPr>
          <w:p>
            <w:pPr>
              <w:jc w:val="left"/>
            </w:pPr>
            <w:r>
              <w:rPr>
                <w:b/>
                <w:color w:val="FFFFFF"/>
                <w:sz w:val="16"/>
              </w:rPr>
              <w:t>Current Finding</w:t>
            </w:r>
          </w:p>
        </w:tc>
        <w:tc>
          <w:tcPr>
            <w:tcW w:type="dxa" w:w="4464"/>
            <w:shd w:fill="14324A"/>
            <w:tcMar>
              <w:top w:w="120" w:type="dxa"/>
              <w:start w:w="120" w:type="dxa"/>
              <w:bottom w:w="120" w:type="dxa"/>
              <w:end w:w="120" w:type="dxa"/>
            </w:tcMar>
            <w:vAlign w:val="center"/>
          </w:tcPr>
          <w:p>
            <w:pPr>
              <w:jc w:val="left"/>
            </w:pPr>
            <w:r>
              <w:rPr>
                <w:b/>
                <w:color w:val="FFFFFF"/>
                <w:sz w:val="16"/>
              </w:rPr>
              <w:t>Required Future State</w:t>
            </w:r>
          </w:p>
        </w:tc>
      </w:tr>
      <w:tr>
        <w:tc>
          <w:tcPr>
            <w:tcW w:type="dxa" w:w="1728"/>
            <w:tcMar>
              <w:top w:w="120" w:type="dxa"/>
              <w:start w:w="120" w:type="dxa"/>
              <w:bottom w:w="120" w:type="dxa"/>
              <w:end w:w="120" w:type="dxa"/>
            </w:tcMar>
            <w:vAlign w:val="center"/>
          </w:tcPr>
          <w:p>
            <w:r>
              <w:rPr>
                <w:color w:val="142A42"/>
                <w:sz w:val="16"/>
              </w:rPr>
              <w:t>Flexible</w:t>
            </w:r>
          </w:p>
        </w:tc>
        <w:tc>
          <w:tcPr>
            <w:tcW w:type="dxa" w:w="4032"/>
            <w:tcMar>
              <w:top w:w="120" w:type="dxa"/>
              <w:start w:w="120" w:type="dxa"/>
              <w:bottom w:w="120" w:type="dxa"/>
              <w:end w:w="120" w:type="dxa"/>
            </w:tcMar>
            <w:vAlign w:val="center"/>
          </w:tcPr>
          <w:p>
            <w:r>
              <w:rPr>
                <w:color w:val="142A42"/>
                <w:sz w:val="16"/>
              </w:rPr>
              <w:t>Current WPBakery environment may limit marketing autonomy, but operational friction still needs direct validation with the team.</w:t>
            </w:r>
          </w:p>
        </w:tc>
        <w:tc>
          <w:tcPr>
            <w:tcW w:type="dxa" w:w="4464"/>
            <w:tcMar>
              <w:top w:w="120" w:type="dxa"/>
              <w:start w:w="120" w:type="dxa"/>
              <w:bottom w:w="120" w:type="dxa"/>
              <w:end w:w="120" w:type="dxa"/>
            </w:tcMar>
            <w:vAlign w:val="center"/>
          </w:tcPr>
          <w:p>
            <w:r>
              <w:rPr>
                <w:color w:val="142A42"/>
                <w:sz w:val="16"/>
              </w:rPr>
              <w:t>Marketing can publish, update, and launch priority content without unnecessary developer dependence.</w:t>
            </w:r>
          </w:p>
        </w:tc>
      </w:tr>
      <w:tr>
        <w:tc>
          <w:tcPr>
            <w:tcW w:type="dxa" w:w="1728"/>
            <w:tcMar>
              <w:top w:w="120" w:type="dxa"/>
              <w:start w:w="120" w:type="dxa"/>
              <w:bottom w:w="120" w:type="dxa"/>
              <w:end w:w="120" w:type="dxa"/>
            </w:tcMar>
            <w:vAlign w:val="center"/>
          </w:tcPr>
          <w:p>
            <w:r>
              <w:rPr>
                <w:color w:val="142A42"/>
                <w:sz w:val="16"/>
              </w:rPr>
              <w:t>Accessible</w:t>
            </w:r>
          </w:p>
        </w:tc>
        <w:tc>
          <w:tcPr>
            <w:tcW w:type="dxa" w:w="4032"/>
            <w:tcMar>
              <w:top w:w="120" w:type="dxa"/>
              <w:start w:w="120" w:type="dxa"/>
              <w:bottom w:w="120" w:type="dxa"/>
              <w:end w:w="120" w:type="dxa"/>
            </w:tcMar>
            <w:vAlign w:val="center"/>
          </w:tcPr>
          <w:p>
            <w:r>
              <w:rPr>
                <w:color w:val="142A42"/>
                <w:sz w:val="16"/>
              </w:rPr>
              <w:t>Formal accessibility validation is not yet documented in the sample.</w:t>
            </w:r>
          </w:p>
        </w:tc>
        <w:tc>
          <w:tcPr>
            <w:tcW w:type="dxa" w:w="4464"/>
            <w:tcMar>
              <w:top w:w="120" w:type="dxa"/>
              <w:start w:w="120" w:type="dxa"/>
              <w:bottom w:w="120" w:type="dxa"/>
              <w:end w:w="120" w:type="dxa"/>
            </w:tcMar>
            <w:vAlign w:val="center"/>
          </w:tcPr>
          <w:p>
            <w:r>
              <w:rPr>
                <w:color w:val="142A42"/>
                <w:sz w:val="16"/>
              </w:rPr>
              <w:t>Priority templates and interactions meet approved accessibility requirements and are validated through automated + human review.</w:t>
            </w:r>
          </w:p>
        </w:tc>
      </w:tr>
      <w:tr>
        <w:tc>
          <w:tcPr>
            <w:tcW w:type="dxa" w:w="1728"/>
            <w:tcMar>
              <w:top w:w="120" w:type="dxa"/>
              <w:start w:w="120" w:type="dxa"/>
              <w:bottom w:w="120" w:type="dxa"/>
              <w:end w:w="120" w:type="dxa"/>
            </w:tcMar>
            <w:vAlign w:val="center"/>
          </w:tcPr>
          <w:p>
            <w:r>
              <w:rPr>
                <w:color w:val="142A42"/>
                <w:sz w:val="16"/>
              </w:rPr>
              <w:t>Strategic</w:t>
            </w:r>
          </w:p>
        </w:tc>
        <w:tc>
          <w:tcPr>
            <w:tcW w:type="dxa" w:w="4032"/>
            <w:tcMar>
              <w:top w:w="120" w:type="dxa"/>
              <w:start w:w="120" w:type="dxa"/>
              <w:bottom w:w="120" w:type="dxa"/>
              <w:end w:w="120" w:type="dxa"/>
            </w:tcMar>
            <w:vAlign w:val="center"/>
          </w:tcPr>
          <w:p>
            <w:r>
              <w:rPr>
                <w:color w:val="142A42"/>
                <w:sz w:val="16"/>
              </w:rPr>
              <w:t>Buyer paths, proof, positioning and offers are fragmented.</w:t>
            </w:r>
          </w:p>
        </w:tc>
        <w:tc>
          <w:tcPr>
            <w:tcW w:type="dxa" w:w="4464"/>
            <w:tcMar>
              <w:top w:w="120" w:type="dxa"/>
              <w:start w:w="120" w:type="dxa"/>
              <w:bottom w:w="120" w:type="dxa"/>
              <w:end w:w="120" w:type="dxa"/>
            </w:tcMar>
            <w:vAlign w:val="center"/>
          </w:tcPr>
          <w:p>
            <w:r>
              <w:rPr>
                <w:color w:val="142A42"/>
                <w:sz w:val="16"/>
              </w:rPr>
              <w:t>Website clearly serves the corporate buyer, preserves the individual path, communicates differentiation, and connects discoverability to conversion.</w:t>
            </w:r>
          </w:p>
        </w:tc>
      </w:tr>
      <w:tr>
        <w:tc>
          <w:tcPr>
            <w:tcW w:type="dxa" w:w="1728"/>
            <w:tcMar>
              <w:top w:w="120" w:type="dxa"/>
              <w:start w:w="120" w:type="dxa"/>
              <w:bottom w:w="120" w:type="dxa"/>
              <w:end w:w="120" w:type="dxa"/>
            </w:tcMar>
            <w:vAlign w:val="center"/>
          </w:tcPr>
          <w:p>
            <w:r>
              <w:rPr>
                <w:color w:val="142A42"/>
                <w:sz w:val="16"/>
              </w:rPr>
              <w:t>Trackable</w:t>
            </w:r>
          </w:p>
        </w:tc>
        <w:tc>
          <w:tcPr>
            <w:tcW w:type="dxa" w:w="4032"/>
            <w:tcMar>
              <w:top w:w="120" w:type="dxa"/>
              <w:start w:w="120" w:type="dxa"/>
              <w:bottom w:w="120" w:type="dxa"/>
              <w:end w:w="120" w:type="dxa"/>
            </w:tcMar>
            <w:vAlign w:val="center"/>
          </w:tcPr>
          <w:p>
            <w:r>
              <w:rPr>
                <w:color w:val="142A42"/>
                <w:sz w:val="16"/>
              </w:rPr>
              <w:t>GA4 exists, but conversion definitions, GTM and CRM progression are incomplete.</w:t>
            </w:r>
          </w:p>
        </w:tc>
        <w:tc>
          <w:tcPr>
            <w:tcW w:type="dxa" w:w="4464"/>
            <w:tcMar>
              <w:top w:w="120" w:type="dxa"/>
              <w:start w:w="120" w:type="dxa"/>
              <w:bottom w:w="120" w:type="dxa"/>
              <w:end w:w="120" w:type="dxa"/>
            </w:tcMar>
            <w:vAlign w:val="center"/>
          </w:tcPr>
          <w:p>
            <w:r>
              <w:rPr>
                <w:color w:val="142A42"/>
                <w:sz w:val="16"/>
              </w:rPr>
              <w:t>Meaningful website actions are defined, tracked, and connected to lead qualification and opportunity progression where technically possible.</w:t>
            </w:r>
          </w:p>
        </w:tc>
      </w:tr>
    </w:tbl>
    <w:p>
      <w:pPr>
        <w:spacing w:after="40"/>
      </w:pPr>
    </w:p>
    <w:p>
      <w:pPr>
        <w:pStyle w:val="Heading1"/>
      </w:pPr>
      <w:r>
        <w:t>11. Recommended Website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4324A"/>
            <w:tcMar>
              <w:top w:w="120" w:type="dxa"/>
              <w:start w:w="120" w:type="dxa"/>
              <w:bottom w:w="120" w:type="dxa"/>
              <w:end w:w="120" w:type="dxa"/>
            </w:tcMar>
            <w:vAlign w:val="center"/>
          </w:tcPr>
          <w:p>
            <w:pPr>
              <w:jc w:val="left"/>
            </w:pPr>
            <w:r>
              <w:rPr>
                <w:b/>
                <w:color w:val="FFFFFF"/>
                <w:sz w:val="17"/>
              </w:rPr>
              <w:t>Primary Navigation</w:t>
            </w:r>
          </w:p>
        </w:tc>
        <w:tc>
          <w:tcPr>
            <w:tcW w:type="dxa" w:w="6912"/>
            <w:shd w:fill="14324A"/>
            <w:tcMar>
              <w:top w:w="120" w:type="dxa"/>
              <w:start w:w="120" w:type="dxa"/>
              <w:bottom w:w="120" w:type="dxa"/>
              <w:end w:w="120" w:type="dxa"/>
            </w:tcMar>
            <w:vAlign w:val="center"/>
          </w:tcPr>
          <w:p>
            <w:pPr>
              <w:jc w:val="left"/>
            </w:pPr>
            <w:r>
              <w:rPr>
                <w:b/>
                <w:color w:val="FFFFFF"/>
                <w:sz w:val="17"/>
              </w:rPr>
              <w:t>Strategic Role</w:t>
            </w:r>
          </w:p>
        </w:tc>
      </w:tr>
      <w:tr>
        <w:tc>
          <w:tcPr>
            <w:tcW w:type="dxa" w:w="3168"/>
            <w:tcMar>
              <w:top w:w="120" w:type="dxa"/>
              <w:start w:w="120" w:type="dxa"/>
              <w:bottom w:w="120" w:type="dxa"/>
              <w:end w:w="120" w:type="dxa"/>
            </w:tcMar>
            <w:vAlign w:val="center"/>
          </w:tcPr>
          <w:p>
            <w:r>
              <w:rPr>
                <w:color w:val="142A42"/>
                <w:sz w:val="17"/>
              </w:rPr>
              <w:t>For Organizations</w:t>
            </w:r>
          </w:p>
        </w:tc>
        <w:tc>
          <w:tcPr>
            <w:tcW w:type="dxa" w:w="6912"/>
            <w:tcMar>
              <w:top w:w="120" w:type="dxa"/>
              <w:start w:w="120" w:type="dxa"/>
              <w:bottom w:w="120" w:type="dxa"/>
              <w:end w:w="120" w:type="dxa"/>
            </w:tcMar>
            <w:vAlign w:val="center"/>
          </w:tcPr>
          <w:p>
            <w:r>
              <w:rPr>
                <w:color w:val="142A42"/>
                <w:sz w:val="17"/>
              </w:rPr>
              <w:t>Primary corporate entry path and umbrella for enterprise decision-making.</w:t>
            </w:r>
          </w:p>
        </w:tc>
      </w:tr>
      <w:tr>
        <w:tc>
          <w:tcPr>
            <w:tcW w:type="dxa" w:w="3168"/>
            <w:tcMar>
              <w:top w:w="120" w:type="dxa"/>
              <w:start w:w="120" w:type="dxa"/>
              <w:bottom w:w="120" w:type="dxa"/>
              <w:end w:w="120" w:type="dxa"/>
            </w:tcMar>
            <w:vAlign w:val="center"/>
          </w:tcPr>
          <w:p>
            <w:r>
              <w:rPr>
                <w:color w:val="142A42"/>
                <w:sz w:val="17"/>
              </w:rPr>
              <w:t>Solutions</w:t>
            </w:r>
          </w:p>
        </w:tc>
        <w:tc>
          <w:tcPr>
            <w:tcW w:type="dxa" w:w="6912"/>
            <w:tcMar>
              <w:top w:w="120" w:type="dxa"/>
              <w:start w:w="120" w:type="dxa"/>
              <w:bottom w:w="120" w:type="dxa"/>
              <w:end w:w="120" w:type="dxa"/>
            </w:tcMar>
            <w:vAlign w:val="center"/>
          </w:tcPr>
          <w:p>
            <w:r>
              <w:rPr>
                <w:color w:val="142A42"/>
                <w:sz w:val="17"/>
              </w:rPr>
              <w:t>Three pillars: Sales Development, Leadership &amp; Executive Coaching, Business Acumen.</w:t>
            </w:r>
          </w:p>
        </w:tc>
      </w:tr>
      <w:tr>
        <w:tc>
          <w:tcPr>
            <w:tcW w:type="dxa" w:w="3168"/>
            <w:tcMar>
              <w:top w:w="120" w:type="dxa"/>
              <w:start w:w="120" w:type="dxa"/>
              <w:bottom w:w="120" w:type="dxa"/>
              <w:end w:w="120" w:type="dxa"/>
            </w:tcMar>
            <w:vAlign w:val="center"/>
          </w:tcPr>
          <w:p>
            <w:r>
              <w:rPr>
                <w:color w:val="142A42"/>
                <w:sz w:val="17"/>
              </w:rPr>
              <w:t>Industries</w:t>
            </w:r>
          </w:p>
        </w:tc>
        <w:tc>
          <w:tcPr>
            <w:tcW w:type="dxa" w:w="6912"/>
            <w:tcMar>
              <w:top w:w="120" w:type="dxa"/>
              <w:start w:w="120" w:type="dxa"/>
              <w:bottom w:w="120" w:type="dxa"/>
              <w:end w:w="120" w:type="dxa"/>
            </w:tcMar>
            <w:vAlign w:val="center"/>
          </w:tcPr>
          <w:p>
            <w:r>
              <w:rPr>
                <w:color w:val="142A42"/>
                <w:sz w:val="17"/>
              </w:rPr>
              <w:t>Agriculture, Manufacturing, Insurance.</w:t>
            </w:r>
          </w:p>
        </w:tc>
      </w:tr>
      <w:tr>
        <w:tc>
          <w:tcPr>
            <w:tcW w:type="dxa" w:w="3168"/>
            <w:tcMar>
              <w:top w:w="120" w:type="dxa"/>
              <w:start w:w="120" w:type="dxa"/>
              <w:bottom w:w="120" w:type="dxa"/>
              <w:end w:w="120" w:type="dxa"/>
            </w:tcMar>
            <w:vAlign w:val="center"/>
          </w:tcPr>
          <w:p>
            <w:r>
              <w:rPr>
                <w:color w:val="142A42"/>
                <w:sz w:val="17"/>
              </w:rPr>
              <w:t>Results</w:t>
            </w:r>
          </w:p>
        </w:tc>
        <w:tc>
          <w:tcPr>
            <w:tcW w:type="dxa" w:w="6912"/>
            <w:tcMar>
              <w:top w:w="120" w:type="dxa"/>
              <w:start w:w="120" w:type="dxa"/>
              <w:bottom w:w="120" w:type="dxa"/>
              <w:end w:w="120" w:type="dxa"/>
            </w:tcMar>
            <w:vAlign w:val="center"/>
          </w:tcPr>
          <w:p>
            <w:r>
              <w:rPr>
                <w:color w:val="142A42"/>
                <w:sz w:val="17"/>
              </w:rPr>
              <w:t>ROI evidence, case studies, testimonials, client proof.</w:t>
            </w:r>
          </w:p>
        </w:tc>
      </w:tr>
      <w:tr>
        <w:tc>
          <w:tcPr>
            <w:tcW w:type="dxa" w:w="3168"/>
            <w:tcMar>
              <w:top w:w="120" w:type="dxa"/>
              <w:start w:w="120" w:type="dxa"/>
              <w:bottom w:w="120" w:type="dxa"/>
              <w:end w:w="120" w:type="dxa"/>
            </w:tcMar>
            <w:vAlign w:val="center"/>
          </w:tcPr>
          <w:p>
            <w:r>
              <w:rPr>
                <w:color w:val="142A42"/>
                <w:sz w:val="17"/>
              </w:rPr>
              <w:t>How We Work</w:t>
            </w:r>
          </w:p>
        </w:tc>
        <w:tc>
          <w:tcPr>
            <w:tcW w:type="dxa" w:w="6912"/>
            <w:tcMar>
              <w:top w:w="120" w:type="dxa"/>
              <w:start w:w="120" w:type="dxa"/>
              <w:bottom w:w="120" w:type="dxa"/>
              <w:end w:w="120" w:type="dxa"/>
            </w:tcMar>
            <w:vAlign w:val="center"/>
          </w:tcPr>
          <w:p>
            <w:r>
              <w:rPr>
                <w:color w:val="142A42"/>
                <w:sz w:val="17"/>
              </w:rPr>
              <w:t>Methodology, Learning That Never Stops®, delivery formats, measurement.</w:t>
            </w:r>
          </w:p>
        </w:tc>
      </w:tr>
      <w:tr>
        <w:tc>
          <w:tcPr>
            <w:tcW w:type="dxa" w:w="3168"/>
            <w:tcMar>
              <w:top w:w="120" w:type="dxa"/>
              <w:start w:w="120" w:type="dxa"/>
              <w:bottom w:w="120" w:type="dxa"/>
              <w:end w:w="120" w:type="dxa"/>
            </w:tcMar>
            <w:vAlign w:val="center"/>
          </w:tcPr>
          <w:p>
            <w:r>
              <w:rPr>
                <w:color w:val="142A42"/>
                <w:sz w:val="17"/>
              </w:rPr>
              <w:t>For Sales Professionals</w:t>
            </w:r>
          </w:p>
        </w:tc>
        <w:tc>
          <w:tcPr>
            <w:tcW w:type="dxa" w:w="6912"/>
            <w:tcMar>
              <w:top w:w="120" w:type="dxa"/>
              <w:start w:w="120" w:type="dxa"/>
              <w:bottom w:w="120" w:type="dxa"/>
              <w:end w:w="120" w:type="dxa"/>
            </w:tcMar>
            <w:vAlign w:val="center"/>
          </w:tcPr>
          <w:p>
            <w:r>
              <w:rPr>
                <w:color w:val="142A42"/>
                <w:sz w:val="17"/>
              </w:rPr>
              <w:t>Public seminars and individual development path.</w:t>
            </w:r>
          </w:p>
        </w:tc>
      </w:tr>
      <w:tr>
        <w:tc>
          <w:tcPr>
            <w:tcW w:type="dxa" w:w="3168"/>
            <w:tcMar>
              <w:top w:w="120" w:type="dxa"/>
              <w:start w:w="120" w:type="dxa"/>
              <w:bottom w:w="120" w:type="dxa"/>
              <w:end w:w="120" w:type="dxa"/>
            </w:tcMar>
            <w:vAlign w:val="center"/>
          </w:tcPr>
          <w:p>
            <w:r>
              <w:rPr>
                <w:color w:val="142A42"/>
                <w:sz w:val="17"/>
              </w:rPr>
              <w:t>Resources</w:t>
            </w:r>
          </w:p>
        </w:tc>
        <w:tc>
          <w:tcPr>
            <w:tcW w:type="dxa" w:w="6912"/>
            <w:tcMar>
              <w:top w:w="120" w:type="dxa"/>
              <w:start w:w="120" w:type="dxa"/>
              <w:bottom w:w="120" w:type="dxa"/>
              <w:end w:w="120" w:type="dxa"/>
            </w:tcMar>
            <w:vAlign w:val="center"/>
          </w:tcPr>
          <w:p>
            <w:r>
              <w:rPr>
                <w:color w:val="142A42"/>
                <w:sz w:val="17"/>
              </w:rPr>
              <w:t>Buyer education, thought leadership, AEO/search authority.</w:t>
            </w:r>
          </w:p>
        </w:tc>
      </w:tr>
      <w:tr>
        <w:tc>
          <w:tcPr>
            <w:tcW w:type="dxa" w:w="3168"/>
            <w:tcMar>
              <w:top w:w="120" w:type="dxa"/>
              <w:start w:w="120" w:type="dxa"/>
              <w:bottom w:w="120" w:type="dxa"/>
              <w:end w:w="120" w:type="dxa"/>
            </w:tcMar>
            <w:vAlign w:val="center"/>
          </w:tcPr>
          <w:p>
            <w:r>
              <w:rPr>
                <w:color w:val="142A42"/>
                <w:sz w:val="17"/>
              </w:rPr>
              <w:t>About</w:t>
            </w:r>
          </w:p>
        </w:tc>
        <w:tc>
          <w:tcPr>
            <w:tcW w:type="dxa" w:w="6912"/>
            <w:tcMar>
              <w:top w:w="120" w:type="dxa"/>
              <w:start w:w="120" w:type="dxa"/>
              <w:bottom w:w="120" w:type="dxa"/>
              <w:end w:w="120" w:type="dxa"/>
            </w:tcMar>
            <w:vAlign w:val="center"/>
          </w:tcPr>
          <w:p>
            <w:r>
              <w:rPr>
                <w:color w:val="142A42"/>
                <w:sz w:val="17"/>
              </w:rPr>
              <w:t>Expertise, history, partnerships, team credibility.</w:t>
            </w:r>
          </w:p>
        </w:tc>
      </w:tr>
    </w:tbl>
    <w:p>
      <w:pPr>
        <w:spacing w:after="40"/>
      </w:pPr>
    </w:p>
    <w:p>
      <w:pPr>
        <w:pStyle w:val="Heading2"/>
      </w:pPr>
      <w:r>
        <w:t>Illustrative sitemap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4324A"/>
            <w:tcMar>
              <w:top w:w="120" w:type="dxa"/>
              <w:start w:w="120" w:type="dxa"/>
              <w:bottom w:w="120" w:type="dxa"/>
              <w:end w:w="120" w:type="dxa"/>
            </w:tcMar>
            <w:vAlign w:val="center"/>
          </w:tcPr>
          <w:p>
            <w:pPr>
              <w:jc w:val="left"/>
            </w:pPr>
            <w:r>
              <w:rPr>
                <w:b/>
                <w:color w:val="FFFFFF"/>
                <w:sz w:val="17"/>
              </w:rPr>
              <w:t>Section</w:t>
            </w:r>
          </w:p>
        </w:tc>
        <w:tc>
          <w:tcPr>
            <w:tcW w:type="dxa" w:w="7488"/>
            <w:shd w:fill="14324A"/>
            <w:tcMar>
              <w:top w:w="120" w:type="dxa"/>
              <w:start w:w="120" w:type="dxa"/>
              <w:bottom w:w="120" w:type="dxa"/>
              <w:end w:w="120" w:type="dxa"/>
            </w:tcMar>
            <w:vAlign w:val="center"/>
          </w:tcPr>
          <w:p>
            <w:pPr>
              <w:jc w:val="left"/>
            </w:pPr>
            <w:r>
              <w:rPr>
                <w:b/>
                <w:color w:val="FFFFFF"/>
                <w:sz w:val="17"/>
              </w:rPr>
              <w:t>Priority Pages</w:t>
            </w:r>
          </w:p>
        </w:tc>
      </w:tr>
      <w:tr>
        <w:tc>
          <w:tcPr>
            <w:tcW w:type="dxa" w:w="2592"/>
            <w:tcMar>
              <w:top w:w="120" w:type="dxa"/>
              <w:start w:w="120" w:type="dxa"/>
              <w:bottom w:w="120" w:type="dxa"/>
              <w:end w:w="120" w:type="dxa"/>
            </w:tcMar>
            <w:vAlign w:val="center"/>
          </w:tcPr>
          <w:p>
            <w:r>
              <w:rPr>
                <w:color w:val="142A42"/>
                <w:sz w:val="17"/>
              </w:rPr>
              <w:t>Corporate</w:t>
            </w:r>
          </w:p>
        </w:tc>
        <w:tc>
          <w:tcPr>
            <w:tcW w:type="dxa" w:w="7488"/>
            <w:tcMar>
              <w:top w:w="120" w:type="dxa"/>
              <w:start w:w="120" w:type="dxa"/>
              <w:bottom w:w="120" w:type="dxa"/>
              <w:end w:w="120" w:type="dxa"/>
            </w:tcMar>
            <w:vAlign w:val="center"/>
          </w:tcPr>
          <w:p>
            <w:r>
              <w:rPr>
                <w:color w:val="142A42"/>
                <w:sz w:val="17"/>
              </w:rPr>
              <w:t>For Organizations; Consultation; Guarantee Program; Results</w:t>
            </w:r>
          </w:p>
        </w:tc>
      </w:tr>
      <w:tr>
        <w:tc>
          <w:tcPr>
            <w:tcW w:type="dxa" w:w="2592"/>
            <w:tcMar>
              <w:top w:w="120" w:type="dxa"/>
              <w:start w:w="120" w:type="dxa"/>
              <w:bottom w:w="120" w:type="dxa"/>
              <w:end w:w="120" w:type="dxa"/>
            </w:tcMar>
            <w:vAlign w:val="center"/>
          </w:tcPr>
          <w:p>
            <w:r>
              <w:rPr>
                <w:color w:val="142A42"/>
                <w:sz w:val="17"/>
              </w:rPr>
              <w:t>Sales Development</w:t>
            </w:r>
          </w:p>
        </w:tc>
        <w:tc>
          <w:tcPr>
            <w:tcW w:type="dxa" w:w="7488"/>
            <w:tcMar>
              <w:top w:w="120" w:type="dxa"/>
              <w:start w:w="120" w:type="dxa"/>
              <w:bottom w:w="120" w:type="dxa"/>
              <w:end w:w="120" w:type="dxa"/>
            </w:tcMar>
            <w:vAlign w:val="center"/>
          </w:tcPr>
          <w:p>
            <w:r>
              <w:rPr>
                <w:color w:val="142A42"/>
                <w:sz w:val="17"/>
              </w:rPr>
              <w:t>Overview; Counselor Salesperson™; Advanced Sales Curriculum; Coaching for Sales Performance</w:t>
            </w:r>
          </w:p>
        </w:tc>
      </w:tr>
      <w:tr>
        <w:tc>
          <w:tcPr>
            <w:tcW w:type="dxa" w:w="2592"/>
            <w:tcMar>
              <w:top w:w="120" w:type="dxa"/>
              <w:start w:w="120" w:type="dxa"/>
              <w:bottom w:w="120" w:type="dxa"/>
              <w:end w:w="120" w:type="dxa"/>
            </w:tcMar>
            <w:vAlign w:val="center"/>
          </w:tcPr>
          <w:p>
            <w:r>
              <w:rPr>
                <w:color w:val="142A42"/>
                <w:sz w:val="17"/>
              </w:rPr>
              <w:t>Leadership</w:t>
            </w:r>
          </w:p>
        </w:tc>
        <w:tc>
          <w:tcPr>
            <w:tcW w:type="dxa" w:w="7488"/>
            <w:tcMar>
              <w:top w:w="120" w:type="dxa"/>
              <w:start w:w="120" w:type="dxa"/>
              <w:bottom w:w="120" w:type="dxa"/>
              <w:end w:w="120" w:type="dxa"/>
            </w:tcMar>
            <w:vAlign w:val="center"/>
          </w:tcPr>
          <w:p>
            <w:r>
              <w:rPr>
                <w:color w:val="142A42"/>
                <w:sz w:val="17"/>
              </w:rPr>
              <w:t>Overview; Leader Manager; Coaching for Performance; Executive Coaching</w:t>
            </w:r>
          </w:p>
        </w:tc>
      </w:tr>
      <w:tr>
        <w:tc>
          <w:tcPr>
            <w:tcW w:type="dxa" w:w="2592"/>
            <w:tcMar>
              <w:top w:w="120" w:type="dxa"/>
              <w:start w:w="120" w:type="dxa"/>
              <w:bottom w:w="120" w:type="dxa"/>
              <w:end w:w="120" w:type="dxa"/>
            </w:tcMar>
            <w:vAlign w:val="center"/>
          </w:tcPr>
          <w:p>
            <w:r>
              <w:rPr>
                <w:color w:val="142A42"/>
                <w:sz w:val="17"/>
              </w:rPr>
              <w:t>Business Acumen</w:t>
            </w:r>
          </w:p>
        </w:tc>
        <w:tc>
          <w:tcPr>
            <w:tcW w:type="dxa" w:w="7488"/>
            <w:tcMar>
              <w:top w:w="120" w:type="dxa"/>
              <w:start w:w="120" w:type="dxa"/>
              <w:bottom w:w="120" w:type="dxa"/>
              <w:end w:w="120" w:type="dxa"/>
            </w:tcMar>
            <w:vAlign w:val="center"/>
          </w:tcPr>
          <w:p>
            <w:r>
              <w:rPr>
                <w:color w:val="142A42"/>
                <w:sz w:val="17"/>
              </w:rPr>
              <w:t>Overview; Income|Outcome; Finance for Sales Professionals; Finance for Managers</w:t>
            </w:r>
          </w:p>
        </w:tc>
      </w:tr>
      <w:tr>
        <w:tc>
          <w:tcPr>
            <w:tcW w:type="dxa" w:w="2592"/>
            <w:tcMar>
              <w:top w:w="120" w:type="dxa"/>
              <w:start w:w="120" w:type="dxa"/>
              <w:bottom w:w="120" w:type="dxa"/>
              <w:end w:w="120" w:type="dxa"/>
            </w:tcMar>
            <w:vAlign w:val="center"/>
          </w:tcPr>
          <w:p>
            <w:r>
              <w:rPr>
                <w:color w:val="142A42"/>
                <w:sz w:val="17"/>
              </w:rPr>
              <w:t>Industries</w:t>
            </w:r>
          </w:p>
        </w:tc>
        <w:tc>
          <w:tcPr>
            <w:tcW w:type="dxa" w:w="7488"/>
            <w:tcMar>
              <w:top w:w="120" w:type="dxa"/>
              <w:start w:w="120" w:type="dxa"/>
              <w:bottom w:w="120" w:type="dxa"/>
              <w:end w:w="120" w:type="dxa"/>
            </w:tcMar>
            <w:vAlign w:val="center"/>
          </w:tcPr>
          <w:p>
            <w:r>
              <w:rPr>
                <w:color w:val="142A42"/>
                <w:sz w:val="17"/>
              </w:rPr>
              <w:t>Agriculture; Manufacturing; Insurance</w:t>
            </w:r>
          </w:p>
        </w:tc>
      </w:tr>
      <w:tr>
        <w:tc>
          <w:tcPr>
            <w:tcW w:type="dxa" w:w="2592"/>
            <w:tcMar>
              <w:top w:w="120" w:type="dxa"/>
              <w:start w:w="120" w:type="dxa"/>
              <w:bottom w:w="120" w:type="dxa"/>
              <w:end w:w="120" w:type="dxa"/>
            </w:tcMar>
            <w:vAlign w:val="center"/>
          </w:tcPr>
          <w:p>
            <w:r>
              <w:rPr>
                <w:color w:val="142A42"/>
                <w:sz w:val="17"/>
              </w:rPr>
              <w:t>Individual</w:t>
            </w:r>
          </w:p>
        </w:tc>
        <w:tc>
          <w:tcPr>
            <w:tcW w:type="dxa" w:w="7488"/>
            <w:tcMar>
              <w:top w:w="120" w:type="dxa"/>
              <w:start w:w="120" w:type="dxa"/>
              <w:bottom w:w="120" w:type="dxa"/>
              <w:end w:w="120" w:type="dxa"/>
            </w:tcMar>
            <w:vAlign w:val="center"/>
          </w:tcPr>
          <w:p>
            <w:r>
              <w:rPr>
                <w:color w:val="142A42"/>
                <w:sz w:val="17"/>
              </w:rPr>
              <w:t>Public Seminars; Seminar Detail Template; LTNS</w:t>
            </w:r>
          </w:p>
        </w:tc>
      </w:tr>
      <w:tr>
        <w:tc>
          <w:tcPr>
            <w:tcW w:type="dxa" w:w="2592"/>
            <w:tcMar>
              <w:top w:w="120" w:type="dxa"/>
              <w:start w:w="120" w:type="dxa"/>
              <w:bottom w:w="120" w:type="dxa"/>
              <w:end w:w="120" w:type="dxa"/>
            </w:tcMar>
            <w:vAlign w:val="center"/>
          </w:tcPr>
          <w:p>
            <w:r>
              <w:rPr>
                <w:color w:val="142A42"/>
                <w:sz w:val="17"/>
              </w:rPr>
              <w:t>Authority</w:t>
            </w:r>
          </w:p>
        </w:tc>
        <w:tc>
          <w:tcPr>
            <w:tcW w:type="dxa" w:w="7488"/>
            <w:tcMar>
              <w:top w:w="120" w:type="dxa"/>
              <w:start w:w="120" w:type="dxa"/>
              <w:bottom w:w="120" w:type="dxa"/>
              <w:end w:w="120" w:type="dxa"/>
            </w:tcMar>
            <w:vAlign w:val="center"/>
          </w:tcPr>
          <w:p>
            <w:r>
              <w:rPr>
                <w:color w:val="142A42"/>
                <w:sz w:val="17"/>
              </w:rPr>
              <w:t>Methodology; Resources; Case Studies; About</w:t>
            </w:r>
          </w:p>
        </w:tc>
      </w:tr>
    </w:tbl>
    <w:p>
      <w:pPr>
        <w:spacing w:after="40"/>
      </w:pPr>
    </w:p>
    <w:p>
      <w:pPr>
        <w:pStyle w:val="Heading1"/>
      </w:pPr>
      <w:r>
        <w:t>12. Priority Page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728"/>
            <w:shd w:fill="14324A"/>
            <w:tcMar>
              <w:top w:w="120" w:type="dxa"/>
              <w:start w:w="120" w:type="dxa"/>
              <w:bottom w:w="120" w:type="dxa"/>
              <w:end w:w="120" w:type="dxa"/>
            </w:tcMar>
            <w:vAlign w:val="center"/>
          </w:tcPr>
          <w:p>
            <w:pPr>
              <w:jc w:val="left"/>
            </w:pPr>
            <w:r>
              <w:rPr>
                <w:b/>
                <w:color w:val="FFFFFF"/>
                <w:sz w:val="15"/>
              </w:rPr>
              <w:t>Page</w:t>
            </w:r>
          </w:p>
        </w:tc>
        <w:tc>
          <w:tcPr>
            <w:tcW w:type="dxa" w:w="2448"/>
            <w:shd w:fill="14324A"/>
            <w:tcMar>
              <w:top w:w="120" w:type="dxa"/>
              <w:start w:w="120" w:type="dxa"/>
              <w:bottom w:w="120" w:type="dxa"/>
              <w:end w:w="120" w:type="dxa"/>
            </w:tcMar>
            <w:vAlign w:val="center"/>
          </w:tcPr>
          <w:p>
            <w:pPr>
              <w:jc w:val="left"/>
            </w:pPr>
            <w:r>
              <w:rPr>
                <w:b/>
                <w:color w:val="FFFFFF"/>
                <w:sz w:val="15"/>
              </w:rPr>
              <w:t>Strategic Job</w:t>
            </w:r>
          </w:p>
        </w:tc>
        <w:tc>
          <w:tcPr>
            <w:tcW w:type="dxa" w:w="4032"/>
            <w:shd w:fill="14324A"/>
            <w:tcMar>
              <w:top w:w="120" w:type="dxa"/>
              <w:start w:w="120" w:type="dxa"/>
              <w:bottom w:w="120" w:type="dxa"/>
              <w:end w:w="120" w:type="dxa"/>
            </w:tcMar>
            <w:vAlign w:val="center"/>
          </w:tcPr>
          <w:p>
            <w:pPr>
              <w:jc w:val="left"/>
            </w:pPr>
            <w:r>
              <w:rPr>
                <w:b/>
                <w:color w:val="FFFFFF"/>
                <w:sz w:val="15"/>
              </w:rPr>
              <w:t>Required Message / Proof</w:t>
            </w:r>
          </w:p>
        </w:tc>
        <w:tc>
          <w:tcPr>
            <w:tcW w:type="dxa" w:w="1728"/>
            <w:shd w:fill="14324A"/>
            <w:tcMar>
              <w:top w:w="120" w:type="dxa"/>
              <w:start w:w="120" w:type="dxa"/>
              <w:bottom w:w="120" w:type="dxa"/>
              <w:end w:w="120" w:type="dxa"/>
            </w:tcMar>
            <w:vAlign w:val="center"/>
          </w:tcPr>
          <w:p>
            <w:pPr>
              <w:jc w:val="left"/>
            </w:pPr>
            <w:r>
              <w:rPr>
                <w:b/>
                <w:color w:val="FFFFFF"/>
                <w:sz w:val="15"/>
              </w:rPr>
              <w:t>Primary CTA</w:t>
            </w:r>
          </w:p>
        </w:tc>
        <w:tc>
          <w:tcPr>
            <w:tcW w:type="dxa" w:w="1800"/>
            <w:shd w:fill="14324A"/>
            <w:tcMar>
              <w:top w:w="120" w:type="dxa"/>
              <w:start w:w="120" w:type="dxa"/>
              <w:bottom w:w="120" w:type="dxa"/>
              <w:end w:w="120" w:type="dxa"/>
            </w:tcMar>
            <w:vAlign w:val="center"/>
          </w:tcPr>
          <w:p>
            <w:pPr>
              <w:jc w:val="left"/>
            </w:pPr>
            <w:r>
              <w:rPr>
                <w:b/>
                <w:color w:val="FFFFFF"/>
                <w:sz w:val="15"/>
              </w:rPr>
              <w:t>Measurement</w:t>
            </w:r>
          </w:p>
        </w:tc>
      </w:tr>
      <w:tr>
        <w:tc>
          <w:tcPr>
            <w:tcW w:type="dxa" w:w="1728"/>
            <w:tcMar>
              <w:top w:w="120" w:type="dxa"/>
              <w:start w:w="120" w:type="dxa"/>
              <w:bottom w:w="120" w:type="dxa"/>
              <w:end w:w="120" w:type="dxa"/>
            </w:tcMar>
            <w:vAlign w:val="center"/>
          </w:tcPr>
          <w:p>
            <w:r>
              <w:rPr>
                <w:color w:val="142A42"/>
                <w:sz w:val="15"/>
              </w:rPr>
              <w:t>Homepage</w:t>
            </w:r>
          </w:p>
        </w:tc>
        <w:tc>
          <w:tcPr>
            <w:tcW w:type="dxa" w:w="2448"/>
            <w:tcMar>
              <w:top w:w="120" w:type="dxa"/>
              <w:start w:w="120" w:type="dxa"/>
              <w:bottom w:w="120" w:type="dxa"/>
              <w:end w:w="120" w:type="dxa"/>
            </w:tcMar>
            <w:vAlign w:val="center"/>
          </w:tcPr>
          <w:p>
            <w:r>
              <w:rPr>
                <w:color w:val="142A42"/>
                <w:sz w:val="15"/>
              </w:rPr>
              <w:t>Establish relevance, differentiation, and route buyers.</w:t>
            </w:r>
          </w:p>
        </w:tc>
        <w:tc>
          <w:tcPr>
            <w:tcW w:type="dxa" w:w="4032"/>
            <w:tcMar>
              <w:top w:w="120" w:type="dxa"/>
              <w:start w:w="120" w:type="dxa"/>
              <w:bottom w:w="120" w:type="dxa"/>
              <w:end w:w="120" w:type="dxa"/>
            </w:tcMar>
            <w:vAlign w:val="center"/>
          </w:tcPr>
          <w:p>
            <w:r>
              <w:rPr>
                <w:color w:val="142A42"/>
                <w:sz w:val="15"/>
              </w:rPr>
              <w:t>Core narrative; 3 pillars; enterprise proof; buyer-path choice.</w:t>
            </w:r>
          </w:p>
        </w:tc>
        <w:tc>
          <w:tcPr>
            <w:tcW w:type="dxa" w:w="1728"/>
            <w:tcMar>
              <w:top w:w="120" w:type="dxa"/>
              <w:start w:w="120" w:type="dxa"/>
              <w:bottom w:w="120" w:type="dxa"/>
              <w:end w:w="120" w:type="dxa"/>
            </w:tcMar>
            <w:vAlign w:val="center"/>
          </w:tcPr>
          <w:p>
            <w:r>
              <w:rPr>
                <w:color w:val="142A42"/>
                <w:sz w:val="15"/>
              </w:rPr>
              <w:t>For Organizations / For Sales Professionals</w:t>
            </w:r>
          </w:p>
        </w:tc>
        <w:tc>
          <w:tcPr>
            <w:tcW w:type="dxa" w:w="1800"/>
            <w:tcMar>
              <w:top w:w="120" w:type="dxa"/>
              <w:start w:w="120" w:type="dxa"/>
              <w:bottom w:w="120" w:type="dxa"/>
              <w:end w:w="120" w:type="dxa"/>
            </w:tcMar>
            <w:vAlign w:val="center"/>
          </w:tcPr>
          <w:p>
            <w:r>
              <w:rPr>
                <w:color w:val="142A42"/>
                <w:sz w:val="15"/>
              </w:rPr>
              <w:t>Path selection + downstream conversion</w:t>
            </w:r>
          </w:p>
        </w:tc>
      </w:tr>
      <w:tr>
        <w:tc>
          <w:tcPr>
            <w:tcW w:type="dxa" w:w="1728"/>
            <w:tcMar>
              <w:top w:w="120" w:type="dxa"/>
              <w:start w:w="120" w:type="dxa"/>
              <w:bottom w:w="120" w:type="dxa"/>
              <w:end w:w="120" w:type="dxa"/>
            </w:tcMar>
            <w:vAlign w:val="center"/>
          </w:tcPr>
          <w:p>
            <w:r>
              <w:rPr>
                <w:color w:val="142A42"/>
                <w:sz w:val="15"/>
              </w:rPr>
              <w:t>For Organizations</w:t>
            </w:r>
          </w:p>
        </w:tc>
        <w:tc>
          <w:tcPr>
            <w:tcW w:type="dxa" w:w="2448"/>
            <w:tcMar>
              <w:top w:w="120" w:type="dxa"/>
              <w:start w:w="120" w:type="dxa"/>
              <w:bottom w:w="120" w:type="dxa"/>
              <w:end w:w="120" w:type="dxa"/>
            </w:tcMar>
            <w:vAlign w:val="center"/>
          </w:tcPr>
          <w:p>
            <w:r>
              <w:rPr>
                <w:color w:val="142A42"/>
                <w:sz w:val="15"/>
              </w:rPr>
              <w:t>Establish enterprise fit and buying logic.</w:t>
            </w:r>
          </w:p>
        </w:tc>
        <w:tc>
          <w:tcPr>
            <w:tcW w:type="dxa" w:w="4032"/>
            <w:tcMar>
              <w:top w:w="120" w:type="dxa"/>
              <w:start w:w="120" w:type="dxa"/>
              <w:bottom w:w="120" w:type="dxa"/>
              <w:end w:w="120" w:type="dxa"/>
            </w:tcMar>
            <w:vAlign w:val="center"/>
          </w:tcPr>
          <w:p>
            <w:r>
              <w:rPr>
                <w:color w:val="142A42"/>
                <w:sz w:val="15"/>
              </w:rPr>
              <w:t>Business outcomes, 3 pillars, methodology, ROI proof, industries.</w:t>
            </w:r>
          </w:p>
        </w:tc>
        <w:tc>
          <w:tcPr>
            <w:tcW w:type="dxa" w:w="1728"/>
            <w:tcMar>
              <w:top w:w="120" w:type="dxa"/>
              <w:start w:w="120" w:type="dxa"/>
              <w:bottom w:w="120" w:type="dxa"/>
              <w:end w:w="120" w:type="dxa"/>
            </w:tcMar>
            <w:vAlign w:val="center"/>
          </w:tcPr>
          <w:p>
            <w:r>
              <w:rPr>
                <w:color w:val="142A42"/>
                <w:sz w:val="15"/>
              </w:rPr>
              <w:t>Request Consultation</w:t>
            </w:r>
          </w:p>
        </w:tc>
        <w:tc>
          <w:tcPr>
            <w:tcW w:type="dxa" w:w="1800"/>
            <w:tcMar>
              <w:top w:w="120" w:type="dxa"/>
              <w:start w:w="120" w:type="dxa"/>
              <w:bottom w:w="120" w:type="dxa"/>
              <w:end w:w="120" w:type="dxa"/>
            </w:tcMar>
            <w:vAlign w:val="center"/>
          </w:tcPr>
          <w:p>
            <w:r>
              <w:rPr>
                <w:color w:val="142A42"/>
                <w:sz w:val="15"/>
              </w:rPr>
              <w:t>Qualified consultation</w:t>
            </w:r>
          </w:p>
        </w:tc>
      </w:tr>
      <w:tr>
        <w:tc>
          <w:tcPr>
            <w:tcW w:type="dxa" w:w="1728"/>
            <w:tcMar>
              <w:top w:w="120" w:type="dxa"/>
              <w:start w:w="120" w:type="dxa"/>
              <w:bottom w:w="120" w:type="dxa"/>
              <w:end w:w="120" w:type="dxa"/>
            </w:tcMar>
            <w:vAlign w:val="center"/>
          </w:tcPr>
          <w:p>
            <w:r>
              <w:rPr>
                <w:color w:val="142A42"/>
                <w:sz w:val="15"/>
              </w:rPr>
              <w:t>CSP Guarantee</w:t>
            </w:r>
          </w:p>
        </w:tc>
        <w:tc>
          <w:tcPr>
            <w:tcW w:type="dxa" w:w="2448"/>
            <w:tcMar>
              <w:top w:w="120" w:type="dxa"/>
              <w:start w:w="120" w:type="dxa"/>
              <w:bottom w:w="120" w:type="dxa"/>
              <w:end w:w="120" w:type="dxa"/>
            </w:tcMar>
            <w:vAlign w:val="center"/>
          </w:tcPr>
          <w:p>
            <w:r>
              <w:rPr>
                <w:color w:val="142A42"/>
                <w:sz w:val="15"/>
              </w:rPr>
              <w:t>Reduce risk for qualified enterprise buyers.</w:t>
            </w:r>
          </w:p>
        </w:tc>
        <w:tc>
          <w:tcPr>
            <w:tcW w:type="dxa" w:w="4032"/>
            <w:tcMar>
              <w:top w:w="120" w:type="dxa"/>
              <w:start w:w="120" w:type="dxa"/>
              <w:bottom w:w="120" w:type="dxa"/>
              <w:end w:w="120" w:type="dxa"/>
            </w:tcMar>
            <w:vAlign w:val="center"/>
          </w:tcPr>
          <w:p>
            <w:r>
              <w:rPr>
                <w:color w:val="142A42"/>
                <w:sz w:val="15"/>
              </w:rPr>
              <w:t>Eligibility, terms, proof, who it is for, why the model works.</w:t>
            </w:r>
          </w:p>
        </w:tc>
        <w:tc>
          <w:tcPr>
            <w:tcW w:type="dxa" w:w="1728"/>
            <w:tcMar>
              <w:top w:w="120" w:type="dxa"/>
              <w:start w:w="120" w:type="dxa"/>
              <w:bottom w:w="120" w:type="dxa"/>
              <w:end w:w="120" w:type="dxa"/>
            </w:tcMar>
            <w:vAlign w:val="center"/>
          </w:tcPr>
          <w:p>
            <w:r>
              <w:rPr>
                <w:color w:val="142A42"/>
                <w:sz w:val="15"/>
              </w:rPr>
              <w:t>Apply / Discuss Eligibility</w:t>
            </w:r>
          </w:p>
        </w:tc>
        <w:tc>
          <w:tcPr>
            <w:tcW w:type="dxa" w:w="1800"/>
            <w:tcMar>
              <w:top w:w="120" w:type="dxa"/>
              <w:start w:w="120" w:type="dxa"/>
              <w:bottom w:w="120" w:type="dxa"/>
              <w:end w:w="120" w:type="dxa"/>
            </w:tcMar>
            <w:vAlign w:val="center"/>
          </w:tcPr>
          <w:p>
            <w:r>
              <w:rPr>
                <w:color w:val="142A42"/>
                <w:sz w:val="15"/>
              </w:rPr>
              <w:t>Qualified application</w:t>
            </w:r>
          </w:p>
        </w:tc>
      </w:tr>
      <w:tr>
        <w:tc>
          <w:tcPr>
            <w:tcW w:type="dxa" w:w="1728"/>
            <w:tcMar>
              <w:top w:w="120" w:type="dxa"/>
              <w:start w:w="120" w:type="dxa"/>
              <w:bottom w:w="120" w:type="dxa"/>
              <w:end w:w="120" w:type="dxa"/>
            </w:tcMar>
            <w:vAlign w:val="center"/>
          </w:tcPr>
          <w:p>
            <w:r>
              <w:rPr>
                <w:color w:val="142A42"/>
                <w:sz w:val="15"/>
              </w:rPr>
              <w:t>Agriculture</w:t>
            </w:r>
          </w:p>
        </w:tc>
        <w:tc>
          <w:tcPr>
            <w:tcW w:type="dxa" w:w="2448"/>
            <w:tcMar>
              <w:top w:w="120" w:type="dxa"/>
              <w:start w:w="120" w:type="dxa"/>
              <w:bottom w:w="120" w:type="dxa"/>
              <w:end w:w="120" w:type="dxa"/>
            </w:tcMar>
            <w:vAlign w:val="center"/>
          </w:tcPr>
          <w:p>
            <w:r>
              <w:rPr>
                <w:color w:val="142A42"/>
                <w:sz w:val="15"/>
              </w:rPr>
              <w:t>Establish vertical relevance.</w:t>
            </w:r>
          </w:p>
        </w:tc>
        <w:tc>
          <w:tcPr>
            <w:tcW w:type="dxa" w:w="4032"/>
            <w:tcMar>
              <w:top w:w="120" w:type="dxa"/>
              <w:start w:w="120" w:type="dxa"/>
              <w:bottom w:w="120" w:type="dxa"/>
              <w:end w:w="120" w:type="dxa"/>
            </w:tcMar>
            <w:vAlign w:val="center"/>
          </w:tcPr>
          <w:p>
            <w:r>
              <w:rPr>
                <w:color w:val="142A42"/>
                <w:sz w:val="15"/>
              </w:rPr>
              <w:t>Ag-specific pains, expertise, proof, relevant programs.</w:t>
            </w:r>
          </w:p>
        </w:tc>
        <w:tc>
          <w:tcPr>
            <w:tcW w:type="dxa" w:w="1728"/>
            <w:tcMar>
              <w:top w:w="120" w:type="dxa"/>
              <w:start w:w="120" w:type="dxa"/>
              <w:bottom w:w="120" w:type="dxa"/>
              <w:end w:w="120" w:type="dxa"/>
            </w:tcMar>
            <w:vAlign w:val="center"/>
          </w:tcPr>
          <w:p>
            <w:r>
              <w:rPr>
                <w:color w:val="142A42"/>
                <w:sz w:val="15"/>
              </w:rPr>
              <w:t>Request Consultation</w:t>
            </w:r>
          </w:p>
        </w:tc>
        <w:tc>
          <w:tcPr>
            <w:tcW w:type="dxa" w:w="1800"/>
            <w:tcMar>
              <w:top w:w="120" w:type="dxa"/>
              <w:start w:w="120" w:type="dxa"/>
              <w:bottom w:w="120" w:type="dxa"/>
              <w:end w:w="120" w:type="dxa"/>
            </w:tcMar>
            <w:vAlign w:val="center"/>
          </w:tcPr>
          <w:p>
            <w:r>
              <w:rPr>
                <w:color w:val="142A42"/>
                <w:sz w:val="15"/>
              </w:rPr>
              <w:t>Qualified Ag lead</w:t>
            </w:r>
          </w:p>
        </w:tc>
      </w:tr>
      <w:tr>
        <w:tc>
          <w:tcPr>
            <w:tcW w:type="dxa" w:w="1728"/>
            <w:tcMar>
              <w:top w:w="120" w:type="dxa"/>
              <w:start w:w="120" w:type="dxa"/>
              <w:bottom w:w="120" w:type="dxa"/>
              <w:end w:w="120" w:type="dxa"/>
            </w:tcMar>
            <w:vAlign w:val="center"/>
          </w:tcPr>
          <w:p>
            <w:r>
              <w:rPr>
                <w:color w:val="142A42"/>
                <w:sz w:val="15"/>
              </w:rPr>
              <w:t>Results</w:t>
            </w:r>
          </w:p>
        </w:tc>
        <w:tc>
          <w:tcPr>
            <w:tcW w:type="dxa" w:w="2448"/>
            <w:tcMar>
              <w:top w:w="120" w:type="dxa"/>
              <w:start w:w="120" w:type="dxa"/>
              <w:bottom w:w="120" w:type="dxa"/>
              <w:end w:w="120" w:type="dxa"/>
            </w:tcMar>
            <w:vAlign w:val="center"/>
          </w:tcPr>
          <w:p>
            <w:r>
              <w:rPr>
                <w:color w:val="142A42"/>
                <w:sz w:val="15"/>
              </w:rPr>
              <w:t>Create confidence.</w:t>
            </w:r>
          </w:p>
        </w:tc>
        <w:tc>
          <w:tcPr>
            <w:tcW w:type="dxa" w:w="4032"/>
            <w:tcMar>
              <w:top w:w="120" w:type="dxa"/>
              <w:start w:w="120" w:type="dxa"/>
              <w:bottom w:w="120" w:type="dxa"/>
              <w:end w:w="120" w:type="dxa"/>
            </w:tcMar>
            <w:vAlign w:val="center"/>
          </w:tcPr>
          <w:p>
            <w:r>
              <w:rPr>
                <w:color w:val="142A42"/>
                <w:sz w:val="15"/>
              </w:rPr>
              <w:t>ROI evaluations, case studies, testimonials, proof methodology.</w:t>
            </w:r>
          </w:p>
        </w:tc>
        <w:tc>
          <w:tcPr>
            <w:tcW w:type="dxa" w:w="1728"/>
            <w:tcMar>
              <w:top w:w="120" w:type="dxa"/>
              <w:start w:w="120" w:type="dxa"/>
              <w:bottom w:w="120" w:type="dxa"/>
              <w:end w:w="120" w:type="dxa"/>
            </w:tcMar>
            <w:vAlign w:val="center"/>
          </w:tcPr>
          <w:p>
            <w:r>
              <w:rPr>
                <w:color w:val="142A42"/>
                <w:sz w:val="15"/>
              </w:rPr>
              <w:t>Discuss Your Team</w:t>
            </w:r>
          </w:p>
        </w:tc>
        <w:tc>
          <w:tcPr>
            <w:tcW w:type="dxa" w:w="1800"/>
            <w:tcMar>
              <w:top w:w="120" w:type="dxa"/>
              <w:start w:w="120" w:type="dxa"/>
              <w:bottom w:w="120" w:type="dxa"/>
              <w:end w:w="120" w:type="dxa"/>
            </w:tcMar>
            <w:vAlign w:val="center"/>
          </w:tcPr>
          <w:p>
            <w:r>
              <w:rPr>
                <w:color w:val="142A42"/>
                <w:sz w:val="15"/>
              </w:rPr>
              <w:t>Assisted conversion</w:t>
            </w:r>
          </w:p>
        </w:tc>
      </w:tr>
      <w:tr>
        <w:tc>
          <w:tcPr>
            <w:tcW w:type="dxa" w:w="1728"/>
            <w:tcMar>
              <w:top w:w="120" w:type="dxa"/>
              <w:start w:w="120" w:type="dxa"/>
              <w:bottom w:w="120" w:type="dxa"/>
              <w:end w:w="120" w:type="dxa"/>
            </w:tcMar>
            <w:vAlign w:val="center"/>
          </w:tcPr>
          <w:p>
            <w:r>
              <w:rPr>
                <w:color w:val="142A42"/>
                <w:sz w:val="15"/>
              </w:rPr>
              <w:t>Public Seminars</w:t>
            </w:r>
          </w:p>
        </w:tc>
        <w:tc>
          <w:tcPr>
            <w:tcW w:type="dxa" w:w="2448"/>
            <w:tcMar>
              <w:top w:w="120" w:type="dxa"/>
              <w:start w:w="120" w:type="dxa"/>
              <w:bottom w:w="120" w:type="dxa"/>
              <w:end w:w="120" w:type="dxa"/>
            </w:tcMar>
            <w:vAlign w:val="center"/>
          </w:tcPr>
          <w:p>
            <w:r>
              <w:rPr>
                <w:color w:val="142A42"/>
                <w:sz w:val="15"/>
              </w:rPr>
              <w:t>Convert individual demand.</w:t>
            </w:r>
          </w:p>
        </w:tc>
        <w:tc>
          <w:tcPr>
            <w:tcW w:type="dxa" w:w="4032"/>
            <w:tcMar>
              <w:top w:w="120" w:type="dxa"/>
              <w:start w:w="120" w:type="dxa"/>
              <w:bottom w:w="120" w:type="dxa"/>
              <w:end w:w="120" w:type="dxa"/>
            </w:tcMar>
            <w:vAlign w:val="center"/>
          </w:tcPr>
          <w:p>
            <w:r>
              <w:rPr>
                <w:color w:val="142A42"/>
                <w:sz w:val="15"/>
              </w:rPr>
              <w:t>Dates, pricing, delivery options, attendee proof.</w:t>
            </w:r>
          </w:p>
        </w:tc>
        <w:tc>
          <w:tcPr>
            <w:tcW w:type="dxa" w:w="1728"/>
            <w:tcMar>
              <w:top w:w="120" w:type="dxa"/>
              <w:start w:w="120" w:type="dxa"/>
              <w:bottom w:w="120" w:type="dxa"/>
              <w:end w:w="120" w:type="dxa"/>
            </w:tcMar>
            <w:vAlign w:val="center"/>
          </w:tcPr>
          <w:p>
            <w:r>
              <w:rPr>
                <w:color w:val="142A42"/>
                <w:sz w:val="15"/>
              </w:rPr>
              <w:t>Register</w:t>
            </w:r>
          </w:p>
        </w:tc>
        <w:tc>
          <w:tcPr>
            <w:tcW w:type="dxa" w:w="1800"/>
            <w:tcMar>
              <w:top w:w="120" w:type="dxa"/>
              <w:start w:w="120" w:type="dxa"/>
              <w:bottom w:w="120" w:type="dxa"/>
              <w:end w:w="120" w:type="dxa"/>
            </w:tcMar>
            <w:vAlign w:val="center"/>
          </w:tcPr>
          <w:p>
            <w:r>
              <w:rPr>
                <w:color w:val="142A42"/>
                <w:sz w:val="15"/>
              </w:rPr>
              <w:t>Transaction + company attribution</w:t>
            </w:r>
          </w:p>
        </w:tc>
      </w:tr>
      <w:tr>
        <w:tc>
          <w:tcPr>
            <w:tcW w:type="dxa" w:w="1728"/>
            <w:tcMar>
              <w:top w:w="120" w:type="dxa"/>
              <w:start w:w="120" w:type="dxa"/>
              <w:bottom w:w="120" w:type="dxa"/>
              <w:end w:w="120" w:type="dxa"/>
            </w:tcMar>
            <w:vAlign w:val="center"/>
          </w:tcPr>
          <w:p>
            <w:r>
              <w:rPr>
                <w:color w:val="142A42"/>
                <w:sz w:val="15"/>
              </w:rPr>
              <w:t>Methodology</w:t>
            </w:r>
          </w:p>
        </w:tc>
        <w:tc>
          <w:tcPr>
            <w:tcW w:type="dxa" w:w="2448"/>
            <w:tcMar>
              <w:top w:w="120" w:type="dxa"/>
              <w:start w:w="120" w:type="dxa"/>
              <w:bottom w:w="120" w:type="dxa"/>
              <w:end w:w="120" w:type="dxa"/>
            </w:tcMar>
            <w:vAlign w:val="center"/>
          </w:tcPr>
          <w:p>
            <w:r>
              <w:rPr>
                <w:color w:val="142A42"/>
                <w:sz w:val="15"/>
              </w:rPr>
              <w:t>Explain why NuVue's approach is different.</w:t>
            </w:r>
          </w:p>
        </w:tc>
        <w:tc>
          <w:tcPr>
            <w:tcW w:type="dxa" w:w="4032"/>
            <w:tcMar>
              <w:top w:w="120" w:type="dxa"/>
              <w:start w:w="120" w:type="dxa"/>
              <w:bottom w:w="120" w:type="dxa"/>
              <w:end w:w="120" w:type="dxa"/>
            </w:tcMar>
            <w:vAlign w:val="center"/>
          </w:tcPr>
          <w:p>
            <w:r>
              <w:rPr>
                <w:color w:val="142A42"/>
                <w:sz w:val="15"/>
              </w:rPr>
              <w:t>Sustained learning, reinforcement, measurement, delivery flexibility.</w:t>
            </w:r>
          </w:p>
        </w:tc>
        <w:tc>
          <w:tcPr>
            <w:tcW w:type="dxa" w:w="1728"/>
            <w:tcMar>
              <w:top w:w="120" w:type="dxa"/>
              <w:start w:w="120" w:type="dxa"/>
              <w:bottom w:w="120" w:type="dxa"/>
              <w:end w:w="120" w:type="dxa"/>
            </w:tcMar>
            <w:vAlign w:val="center"/>
          </w:tcPr>
          <w:p>
            <w:r>
              <w:rPr>
                <w:color w:val="142A42"/>
                <w:sz w:val="15"/>
              </w:rPr>
              <w:t>Explore Programs</w:t>
            </w:r>
          </w:p>
        </w:tc>
        <w:tc>
          <w:tcPr>
            <w:tcW w:type="dxa" w:w="1800"/>
            <w:tcMar>
              <w:top w:w="120" w:type="dxa"/>
              <w:start w:w="120" w:type="dxa"/>
              <w:bottom w:w="120" w:type="dxa"/>
              <w:end w:w="120" w:type="dxa"/>
            </w:tcMar>
            <w:vAlign w:val="center"/>
          </w:tcPr>
          <w:p>
            <w:r>
              <w:rPr>
                <w:color w:val="142A42"/>
                <w:sz w:val="15"/>
              </w:rPr>
              <w:t>Content progression</w:t>
            </w:r>
          </w:p>
        </w:tc>
      </w:tr>
    </w:tbl>
    <w:p>
      <w:pPr>
        <w:spacing w:after="40"/>
      </w:pPr>
    </w:p>
    <w:p>
      <w:pPr>
        <w:pStyle w:val="Heading1"/>
      </w:pPr>
      <w:r>
        <w:t>13. Conversion Architecture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14324A"/>
            <w:tcMar>
              <w:top w:w="120" w:type="dxa"/>
              <w:start w:w="120" w:type="dxa"/>
              <w:bottom w:w="120" w:type="dxa"/>
              <w:end w:w="120" w:type="dxa"/>
            </w:tcMar>
            <w:vAlign w:val="center"/>
          </w:tcPr>
          <w:p>
            <w:pPr>
              <w:jc w:val="left"/>
            </w:pPr>
            <w:r>
              <w:rPr>
                <w:b/>
                <w:color w:val="FFFFFF"/>
                <w:sz w:val="17"/>
              </w:rPr>
              <w:t>Audience</w:t>
            </w:r>
          </w:p>
        </w:tc>
        <w:tc>
          <w:tcPr>
            <w:tcW w:type="dxa" w:w="2880"/>
            <w:shd w:fill="14324A"/>
            <w:tcMar>
              <w:top w:w="120" w:type="dxa"/>
              <w:start w:w="120" w:type="dxa"/>
              <w:bottom w:w="120" w:type="dxa"/>
              <w:end w:w="120" w:type="dxa"/>
            </w:tcMar>
            <w:vAlign w:val="center"/>
          </w:tcPr>
          <w:p>
            <w:pPr>
              <w:jc w:val="left"/>
            </w:pPr>
            <w:r>
              <w:rPr>
                <w:b/>
                <w:color w:val="FFFFFF"/>
                <w:sz w:val="17"/>
              </w:rPr>
              <w:t>High-Intent Action</w:t>
            </w:r>
          </w:p>
        </w:tc>
        <w:tc>
          <w:tcPr>
            <w:tcW w:type="dxa" w:w="2880"/>
            <w:shd w:fill="14324A"/>
            <w:tcMar>
              <w:top w:w="120" w:type="dxa"/>
              <w:start w:w="120" w:type="dxa"/>
              <w:bottom w:w="120" w:type="dxa"/>
              <w:end w:w="120" w:type="dxa"/>
            </w:tcMar>
            <w:vAlign w:val="center"/>
          </w:tcPr>
          <w:p>
            <w:pPr>
              <w:jc w:val="left"/>
            </w:pPr>
            <w:r>
              <w:rPr>
                <w:b/>
                <w:color w:val="FFFFFF"/>
                <w:sz w:val="17"/>
              </w:rPr>
              <w:t>Transitional Action</w:t>
            </w:r>
          </w:p>
        </w:tc>
        <w:tc>
          <w:tcPr>
            <w:tcW w:type="dxa" w:w="3744"/>
            <w:shd w:fill="14324A"/>
            <w:tcMar>
              <w:top w:w="120" w:type="dxa"/>
              <w:start w:w="120" w:type="dxa"/>
              <w:bottom w:w="120" w:type="dxa"/>
              <w:end w:w="120" w:type="dxa"/>
            </w:tcMar>
            <w:vAlign w:val="center"/>
          </w:tcPr>
          <w:p>
            <w:pPr>
              <w:jc w:val="left"/>
            </w:pPr>
            <w:r>
              <w:rPr>
                <w:b/>
                <w:color w:val="FFFFFF"/>
                <w:sz w:val="17"/>
              </w:rPr>
              <w:t>Qualification / Routing</w:t>
            </w:r>
          </w:p>
        </w:tc>
      </w:tr>
      <w:tr>
        <w:tc>
          <w:tcPr>
            <w:tcW w:type="dxa" w:w="2016"/>
            <w:tcMar>
              <w:top w:w="120" w:type="dxa"/>
              <w:start w:w="120" w:type="dxa"/>
              <w:bottom w:w="120" w:type="dxa"/>
              <w:end w:w="120" w:type="dxa"/>
            </w:tcMar>
            <w:vAlign w:val="center"/>
          </w:tcPr>
          <w:p>
            <w:r>
              <w:rPr>
                <w:color w:val="142A42"/>
                <w:sz w:val="17"/>
              </w:rPr>
              <w:t>Corporate</w:t>
            </w:r>
          </w:p>
        </w:tc>
        <w:tc>
          <w:tcPr>
            <w:tcW w:type="dxa" w:w="2880"/>
            <w:tcMar>
              <w:top w:w="120" w:type="dxa"/>
              <w:start w:w="120" w:type="dxa"/>
              <w:bottom w:w="120" w:type="dxa"/>
              <w:end w:w="120" w:type="dxa"/>
            </w:tcMar>
            <w:vAlign w:val="center"/>
          </w:tcPr>
          <w:p>
            <w:r>
              <w:rPr>
                <w:color w:val="142A42"/>
                <w:sz w:val="17"/>
              </w:rPr>
              <w:t>Request Consultation</w:t>
            </w:r>
          </w:p>
        </w:tc>
        <w:tc>
          <w:tcPr>
            <w:tcW w:type="dxa" w:w="2880"/>
            <w:tcMar>
              <w:top w:w="120" w:type="dxa"/>
              <w:start w:w="120" w:type="dxa"/>
              <w:bottom w:w="120" w:type="dxa"/>
              <w:end w:w="120" w:type="dxa"/>
            </w:tcMar>
            <w:vAlign w:val="center"/>
          </w:tcPr>
          <w:p>
            <w:r>
              <w:rPr>
                <w:color w:val="142A42"/>
                <w:sz w:val="17"/>
              </w:rPr>
              <w:t>Self-assessment / Results content</w:t>
            </w:r>
          </w:p>
        </w:tc>
        <w:tc>
          <w:tcPr>
            <w:tcW w:type="dxa" w:w="3744"/>
            <w:tcMar>
              <w:top w:w="120" w:type="dxa"/>
              <w:start w:w="120" w:type="dxa"/>
              <w:bottom w:w="120" w:type="dxa"/>
              <w:end w:w="120" w:type="dxa"/>
            </w:tcMar>
            <w:vAlign w:val="center"/>
          </w:tcPr>
          <w:p>
            <w:r>
              <w:rPr>
                <w:color w:val="142A42"/>
                <w:sz w:val="17"/>
              </w:rPr>
              <w:t>Industry, team size, challenge, timeline, company</w:t>
            </w:r>
          </w:p>
        </w:tc>
      </w:tr>
      <w:tr>
        <w:tc>
          <w:tcPr>
            <w:tcW w:type="dxa" w:w="2016"/>
            <w:tcMar>
              <w:top w:w="120" w:type="dxa"/>
              <w:start w:w="120" w:type="dxa"/>
              <w:bottom w:w="120" w:type="dxa"/>
              <w:end w:w="120" w:type="dxa"/>
            </w:tcMar>
            <w:vAlign w:val="center"/>
          </w:tcPr>
          <w:p>
            <w:r>
              <w:rPr>
                <w:color w:val="142A42"/>
                <w:sz w:val="17"/>
              </w:rPr>
              <w:t>Qualified enterprise</w:t>
            </w:r>
          </w:p>
        </w:tc>
        <w:tc>
          <w:tcPr>
            <w:tcW w:type="dxa" w:w="2880"/>
            <w:tcMar>
              <w:top w:w="120" w:type="dxa"/>
              <w:start w:w="120" w:type="dxa"/>
              <w:bottom w:w="120" w:type="dxa"/>
              <w:end w:w="120" w:type="dxa"/>
            </w:tcMar>
            <w:vAlign w:val="center"/>
          </w:tcPr>
          <w:p>
            <w:r>
              <w:rPr>
                <w:color w:val="142A42"/>
                <w:sz w:val="17"/>
              </w:rPr>
              <w:t>Apply / Discuss Guarantee</w:t>
            </w:r>
          </w:p>
        </w:tc>
        <w:tc>
          <w:tcPr>
            <w:tcW w:type="dxa" w:w="2880"/>
            <w:tcMar>
              <w:top w:w="120" w:type="dxa"/>
              <w:start w:w="120" w:type="dxa"/>
              <w:bottom w:w="120" w:type="dxa"/>
              <w:end w:w="120" w:type="dxa"/>
            </w:tcMar>
            <w:vAlign w:val="center"/>
          </w:tcPr>
          <w:p>
            <w:r>
              <w:rPr>
                <w:color w:val="142A42"/>
                <w:sz w:val="17"/>
              </w:rPr>
              <w:t>Guarantee FAQ / ROI proof</w:t>
            </w:r>
          </w:p>
        </w:tc>
        <w:tc>
          <w:tcPr>
            <w:tcW w:type="dxa" w:w="3744"/>
            <w:tcMar>
              <w:top w:w="120" w:type="dxa"/>
              <w:start w:w="120" w:type="dxa"/>
              <w:bottom w:w="120" w:type="dxa"/>
              <w:end w:w="120" w:type="dxa"/>
            </w:tcMar>
            <w:vAlign w:val="center"/>
          </w:tcPr>
          <w:p>
            <w:r>
              <w:rPr>
                <w:color w:val="142A42"/>
                <w:sz w:val="17"/>
              </w:rPr>
              <w:t>100+ reps and other program eligibility conditions</w:t>
            </w:r>
          </w:p>
        </w:tc>
      </w:tr>
      <w:tr>
        <w:tc>
          <w:tcPr>
            <w:tcW w:type="dxa" w:w="2016"/>
            <w:tcMar>
              <w:top w:w="120" w:type="dxa"/>
              <w:start w:w="120" w:type="dxa"/>
              <w:bottom w:w="120" w:type="dxa"/>
              <w:end w:w="120" w:type="dxa"/>
            </w:tcMar>
            <w:vAlign w:val="center"/>
          </w:tcPr>
          <w:p>
            <w:r>
              <w:rPr>
                <w:color w:val="142A42"/>
                <w:sz w:val="17"/>
              </w:rPr>
              <w:t>Individual</w:t>
            </w:r>
          </w:p>
        </w:tc>
        <w:tc>
          <w:tcPr>
            <w:tcW w:type="dxa" w:w="2880"/>
            <w:tcMar>
              <w:top w:w="120" w:type="dxa"/>
              <w:start w:w="120" w:type="dxa"/>
              <w:bottom w:w="120" w:type="dxa"/>
              <w:end w:w="120" w:type="dxa"/>
            </w:tcMar>
            <w:vAlign w:val="center"/>
          </w:tcPr>
          <w:p>
            <w:r>
              <w:rPr>
                <w:color w:val="142A42"/>
                <w:sz w:val="17"/>
              </w:rPr>
              <w:t>Register for Seminar</w:t>
            </w:r>
          </w:p>
        </w:tc>
        <w:tc>
          <w:tcPr>
            <w:tcW w:type="dxa" w:w="2880"/>
            <w:tcMar>
              <w:top w:w="120" w:type="dxa"/>
              <w:start w:w="120" w:type="dxa"/>
              <w:bottom w:w="120" w:type="dxa"/>
              <w:end w:w="120" w:type="dxa"/>
            </w:tcMar>
            <w:vAlign w:val="center"/>
          </w:tcPr>
          <w:p>
            <w:r>
              <w:rPr>
                <w:color w:val="142A42"/>
                <w:sz w:val="17"/>
              </w:rPr>
              <w:t>Explore Programs / Self-assessment</w:t>
            </w:r>
          </w:p>
        </w:tc>
        <w:tc>
          <w:tcPr>
            <w:tcW w:type="dxa" w:w="3744"/>
            <w:tcMar>
              <w:top w:w="120" w:type="dxa"/>
              <w:start w:w="120" w:type="dxa"/>
              <w:bottom w:w="120" w:type="dxa"/>
              <w:end w:w="120" w:type="dxa"/>
            </w:tcMar>
            <w:vAlign w:val="center"/>
          </w:tcPr>
          <w:p>
            <w:r>
              <w:rPr>
                <w:color w:val="142A42"/>
                <w:sz w:val="17"/>
              </w:rPr>
              <w:t>Company name captured to identify corporate opportunity</w:t>
            </w:r>
          </w:p>
        </w:tc>
      </w:tr>
    </w:tbl>
    <w:p>
      <w:pPr>
        <w:spacing w:after="40"/>
      </w:pPr>
    </w:p>
    <w:p>
      <w:pPr>
        <w:pStyle w:val="Heading2"/>
      </w:pPr>
      <w:r>
        <w:t>Form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4324A"/>
            <w:tcMar>
              <w:top w:w="120" w:type="dxa"/>
              <w:start w:w="120" w:type="dxa"/>
              <w:bottom w:w="120" w:type="dxa"/>
              <w:end w:w="120" w:type="dxa"/>
            </w:tcMar>
            <w:vAlign w:val="center"/>
          </w:tcPr>
          <w:p>
            <w:pPr>
              <w:jc w:val="left"/>
            </w:pPr>
            <w:r>
              <w:rPr>
                <w:b/>
                <w:color w:val="FFFFFF"/>
                <w:sz w:val="17"/>
              </w:rPr>
              <w:t>Form</w:t>
            </w:r>
          </w:p>
        </w:tc>
        <w:tc>
          <w:tcPr>
            <w:tcW w:type="dxa" w:w="5040"/>
            <w:shd w:fill="14324A"/>
            <w:tcMar>
              <w:top w:w="120" w:type="dxa"/>
              <w:start w:w="120" w:type="dxa"/>
              <w:bottom w:w="120" w:type="dxa"/>
              <w:end w:w="120" w:type="dxa"/>
            </w:tcMar>
            <w:vAlign w:val="center"/>
          </w:tcPr>
          <w:p>
            <w:pPr>
              <w:jc w:val="left"/>
            </w:pPr>
            <w:r>
              <w:rPr>
                <w:b/>
                <w:color w:val="FFFFFF"/>
                <w:sz w:val="17"/>
              </w:rPr>
              <w:t>Required Fields</w:t>
            </w:r>
          </w:p>
        </w:tc>
        <w:tc>
          <w:tcPr>
            <w:tcW w:type="dxa" w:w="3168"/>
            <w:shd w:fill="14324A"/>
            <w:tcMar>
              <w:top w:w="120" w:type="dxa"/>
              <w:start w:w="120" w:type="dxa"/>
              <w:bottom w:w="120" w:type="dxa"/>
              <w:end w:w="120" w:type="dxa"/>
            </w:tcMar>
            <w:vAlign w:val="center"/>
          </w:tcPr>
          <w:p>
            <w:pPr>
              <w:jc w:val="left"/>
            </w:pPr>
            <w:r>
              <w:rPr>
                <w:b/>
                <w:color w:val="FFFFFF"/>
                <w:sz w:val="17"/>
              </w:rPr>
              <w:t>CRM Outcome</w:t>
            </w:r>
          </w:p>
        </w:tc>
      </w:tr>
      <w:tr>
        <w:tc>
          <w:tcPr>
            <w:tcW w:type="dxa" w:w="2304"/>
            <w:tcMar>
              <w:top w:w="120" w:type="dxa"/>
              <w:start w:w="120" w:type="dxa"/>
              <w:bottom w:w="120" w:type="dxa"/>
              <w:end w:w="120" w:type="dxa"/>
            </w:tcMar>
            <w:vAlign w:val="center"/>
          </w:tcPr>
          <w:p>
            <w:r>
              <w:rPr>
                <w:color w:val="142A42"/>
                <w:sz w:val="17"/>
              </w:rPr>
              <w:t>Corporate consultation</w:t>
            </w:r>
          </w:p>
        </w:tc>
        <w:tc>
          <w:tcPr>
            <w:tcW w:type="dxa" w:w="5040"/>
            <w:tcMar>
              <w:top w:w="120" w:type="dxa"/>
              <w:start w:w="120" w:type="dxa"/>
              <w:bottom w:w="120" w:type="dxa"/>
              <w:end w:w="120" w:type="dxa"/>
            </w:tcMar>
            <w:vAlign w:val="center"/>
          </w:tcPr>
          <w:p>
            <w:r>
              <w:rPr>
                <w:color w:val="142A42"/>
                <w:sz w:val="17"/>
              </w:rPr>
              <w:t>Name, company, role, email, industry, team size, primary challenge, timing</w:t>
            </w:r>
          </w:p>
        </w:tc>
        <w:tc>
          <w:tcPr>
            <w:tcW w:type="dxa" w:w="3168"/>
            <w:tcMar>
              <w:top w:w="120" w:type="dxa"/>
              <w:start w:w="120" w:type="dxa"/>
              <w:bottom w:w="120" w:type="dxa"/>
              <w:end w:w="120" w:type="dxa"/>
            </w:tcMar>
            <w:vAlign w:val="center"/>
          </w:tcPr>
          <w:p>
            <w:r>
              <w:rPr>
                <w:color w:val="142A42"/>
                <w:sz w:val="17"/>
              </w:rPr>
              <w:t>Qualified lead routed to consultation pipeline</w:t>
            </w:r>
          </w:p>
        </w:tc>
      </w:tr>
      <w:tr>
        <w:tc>
          <w:tcPr>
            <w:tcW w:type="dxa" w:w="2304"/>
            <w:tcMar>
              <w:top w:w="120" w:type="dxa"/>
              <w:start w:w="120" w:type="dxa"/>
              <w:bottom w:w="120" w:type="dxa"/>
              <w:end w:w="120" w:type="dxa"/>
            </w:tcMar>
            <w:vAlign w:val="center"/>
          </w:tcPr>
          <w:p>
            <w:r>
              <w:rPr>
                <w:color w:val="142A42"/>
                <w:sz w:val="17"/>
              </w:rPr>
              <w:t>Guarantee interest</w:t>
            </w:r>
          </w:p>
        </w:tc>
        <w:tc>
          <w:tcPr>
            <w:tcW w:type="dxa" w:w="5040"/>
            <w:tcMar>
              <w:top w:w="120" w:type="dxa"/>
              <w:start w:w="120" w:type="dxa"/>
              <w:bottom w:w="120" w:type="dxa"/>
              <w:end w:w="120" w:type="dxa"/>
            </w:tcMar>
            <w:vAlign w:val="center"/>
          </w:tcPr>
          <w:p>
            <w:r>
              <w:rPr>
                <w:color w:val="142A42"/>
                <w:sz w:val="17"/>
              </w:rPr>
              <w:t>Corporate qualification fields + eligibility criteria</w:t>
            </w:r>
          </w:p>
        </w:tc>
        <w:tc>
          <w:tcPr>
            <w:tcW w:type="dxa" w:w="3168"/>
            <w:tcMar>
              <w:top w:w="120" w:type="dxa"/>
              <w:start w:w="120" w:type="dxa"/>
              <w:bottom w:w="120" w:type="dxa"/>
              <w:end w:w="120" w:type="dxa"/>
            </w:tcMar>
            <w:vAlign w:val="center"/>
          </w:tcPr>
          <w:p>
            <w:r>
              <w:rPr>
                <w:color w:val="142A42"/>
                <w:sz w:val="17"/>
              </w:rPr>
              <w:t>Guarantee application / sales follow-up</w:t>
            </w:r>
          </w:p>
        </w:tc>
      </w:tr>
      <w:tr>
        <w:tc>
          <w:tcPr>
            <w:tcW w:type="dxa" w:w="2304"/>
            <w:tcMar>
              <w:top w:w="120" w:type="dxa"/>
              <w:start w:w="120" w:type="dxa"/>
              <w:bottom w:w="120" w:type="dxa"/>
              <w:end w:w="120" w:type="dxa"/>
            </w:tcMar>
            <w:vAlign w:val="center"/>
          </w:tcPr>
          <w:p>
            <w:r>
              <w:rPr>
                <w:color w:val="142A42"/>
                <w:sz w:val="17"/>
              </w:rPr>
              <w:t>Seminar registration</w:t>
            </w:r>
          </w:p>
        </w:tc>
        <w:tc>
          <w:tcPr>
            <w:tcW w:type="dxa" w:w="5040"/>
            <w:tcMar>
              <w:top w:w="120" w:type="dxa"/>
              <w:start w:w="120" w:type="dxa"/>
              <w:bottom w:w="120" w:type="dxa"/>
              <w:end w:w="120" w:type="dxa"/>
            </w:tcMar>
            <w:vAlign w:val="center"/>
          </w:tcPr>
          <w:p>
            <w:r>
              <w:rPr>
                <w:color w:val="142A42"/>
                <w:sz w:val="17"/>
              </w:rPr>
              <w:t>Registrant details + company name</w:t>
            </w:r>
          </w:p>
        </w:tc>
        <w:tc>
          <w:tcPr>
            <w:tcW w:type="dxa" w:w="3168"/>
            <w:tcMar>
              <w:top w:w="120" w:type="dxa"/>
              <w:start w:w="120" w:type="dxa"/>
              <w:bottom w:w="120" w:type="dxa"/>
              <w:end w:w="120" w:type="dxa"/>
            </w:tcMar>
            <w:vAlign w:val="center"/>
          </w:tcPr>
          <w:p>
            <w:r>
              <w:rPr>
                <w:color w:val="142A42"/>
                <w:sz w:val="17"/>
              </w:rPr>
              <w:t>Individual transaction with corporate-account linkage</w:t>
            </w:r>
          </w:p>
        </w:tc>
      </w:tr>
      <w:tr>
        <w:tc>
          <w:tcPr>
            <w:tcW w:type="dxa" w:w="2304"/>
            <w:tcMar>
              <w:top w:w="120" w:type="dxa"/>
              <w:start w:w="120" w:type="dxa"/>
              <w:bottom w:w="120" w:type="dxa"/>
              <w:end w:w="120" w:type="dxa"/>
            </w:tcMar>
            <w:vAlign w:val="center"/>
          </w:tcPr>
          <w:p>
            <w:r>
              <w:rPr>
                <w:color w:val="142A42"/>
                <w:sz w:val="17"/>
              </w:rPr>
              <w:t>Assessment</w:t>
            </w:r>
          </w:p>
        </w:tc>
        <w:tc>
          <w:tcPr>
            <w:tcW w:type="dxa" w:w="5040"/>
            <w:tcMar>
              <w:top w:w="120" w:type="dxa"/>
              <w:start w:w="120" w:type="dxa"/>
              <w:bottom w:w="120" w:type="dxa"/>
              <w:end w:w="120" w:type="dxa"/>
            </w:tcMar>
            <w:vAlign w:val="center"/>
          </w:tcPr>
          <w:p>
            <w:r>
              <w:rPr>
                <w:color w:val="142A42"/>
                <w:sz w:val="17"/>
              </w:rPr>
              <w:t>Contact + company context + scored responses</w:t>
            </w:r>
          </w:p>
        </w:tc>
        <w:tc>
          <w:tcPr>
            <w:tcW w:type="dxa" w:w="3168"/>
            <w:tcMar>
              <w:top w:w="120" w:type="dxa"/>
              <w:start w:w="120" w:type="dxa"/>
              <w:bottom w:w="120" w:type="dxa"/>
              <w:end w:w="120" w:type="dxa"/>
            </w:tcMar>
            <w:vAlign w:val="center"/>
          </w:tcPr>
          <w:p>
            <w:r>
              <w:rPr>
                <w:color w:val="142A42"/>
                <w:sz w:val="17"/>
              </w:rPr>
              <w:t>Lead qualification + nurture routing</w:t>
            </w:r>
          </w:p>
        </w:tc>
      </w:tr>
    </w:tbl>
    <w:p>
      <w:pPr>
        <w:spacing w:after="40"/>
      </w:pPr>
    </w:p>
    <w:p>
      <w:pPr>
        <w:pStyle w:val="Heading1"/>
      </w:pPr>
      <w:r>
        <w:t>14. Measurement Architecture</w:t>
      </w:r>
    </w:p>
    <w:p>
      <w:r>
        <w:t>Current GA4 sample period: January 1 - March 29, 2026.</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2F6F7"/>
            <w:tcMar>
              <w:top w:w="180" w:type="dxa"/>
              <w:start w:w="100" w:type="dxa"/>
              <w:bottom w:w="180" w:type="dxa"/>
              <w:end w:w="100" w:type="dxa"/>
            </w:tcMar>
            <w:vAlign w:val="center"/>
          </w:tcPr>
          <w:p>
            <w:pPr>
              <w:jc w:val="center"/>
            </w:pPr>
            <w:r>
              <w:rPr>
                <w:b/>
                <w:color w:val="23757F"/>
                <w:sz w:val="34"/>
              </w:rPr>
              <w:t>~66/day</w:t>
            </w:r>
          </w:p>
          <w:p>
            <w:pPr>
              <w:jc w:val="center"/>
            </w:pPr>
            <w:r>
              <w:rPr>
                <w:color w:val="54606E"/>
                <w:sz w:val="17"/>
              </w:rPr>
              <w:t>Sessions</w:t>
            </w:r>
          </w:p>
        </w:tc>
        <w:tc>
          <w:tcPr>
            <w:tcW w:type="dxa" w:w="2520"/>
            <w:shd w:fill="F2F6F7"/>
            <w:tcMar>
              <w:top w:w="180" w:type="dxa"/>
              <w:start w:w="100" w:type="dxa"/>
              <w:bottom w:w="180" w:type="dxa"/>
              <w:end w:w="100" w:type="dxa"/>
            </w:tcMar>
            <w:vAlign w:val="center"/>
          </w:tcPr>
          <w:p>
            <w:pPr>
              <w:jc w:val="center"/>
            </w:pPr>
            <w:r>
              <w:rPr>
                <w:b/>
                <w:color w:val="23757F"/>
                <w:sz w:val="34"/>
              </w:rPr>
              <w:t>19%</w:t>
            </w:r>
          </w:p>
          <w:p>
            <w:pPr>
              <w:jc w:val="center"/>
            </w:pPr>
            <w:r>
              <w:rPr>
                <w:color w:val="54606E"/>
                <w:sz w:val="17"/>
              </w:rPr>
              <w:t>Organic share</w:t>
            </w:r>
          </w:p>
        </w:tc>
        <w:tc>
          <w:tcPr>
            <w:tcW w:type="dxa" w:w="2520"/>
            <w:shd w:fill="F2F6F7"/>
            <w:tcMar>
              <w:top w:w="180" w:type="dxa"/>
              <w:start w:w="100" w:type="dxa"/>
              <w:bottom w:w="180" w:type="dxa"/>
              <w:end w:w="100" w:type="dxa"/>
            </w:tcMar>
            <w:vAlign w:val="center"/>
          </w:tcPr>
          <w:p>
            <w:pPr>
              <w:jc w:val="center"/>
            </w:pPr>
            <w:r>
              <w:rPr>
                <w:b/>
                <w:color w:val="23757F"/>
                <w:sz w:val="34"/>
              </w:rPr>
              <w:t>79</w:t>
            </w:r>
          </w:p>
          <w:p>
            <w:pPr>
              <w:jc w:val="center"/>
            </w:pPr>
            <w:r>
              <w:rPr>
                <w:color w:val="54606E"/>
                <w:sz w:val="17"/>
              </w:rPr>
              <w:t>Form submissions</w:t>
            </w:r>
          </w:p>
        </w:tc>
        <w:tc>
          <w:tcPr>
            <w:tcW w:type="dxa" w:w="2520"/>
            <w:shd w:fill="F2F6F7"/>
            <w:tcMar>
              <w:top w:w="180" w:type="dxa"/>
              <w:start w:w="100" w:type="dxa"/>
              <w:bottom w:w="180" w:type="dxa"/>
              <w:end w:w="100" w:type="dxa"/>
            </w:tcMar>
            <w:vAlign w:val="center"/>
          </w:tcPr>
          <w:p>
            <w:pPr>
              <w:jc w:val="center"/>
            </w:pPr>
            <w:r>
              <w:rPr>
                <w:b/>
                <w:color w:val="23757F"/>
                <w:sz w:val="34"/>
              </w:rPr>
              <w:t>41%</w:t>
            </w:r>
          </w:p>
          <w:p>
            <w:pPr>
              <w:jc w:val="center"/>
            </w:pPr>
            <w:r>
              <w:rPr>
                <w:color w:val="54606E"/>
                <w:sz w:val="17"/>
              </w:rPr>
              <w:t>Form completion</w:t>
            </w:r>
          </w:p>
        </w:tc>
      </w:tr>
    </w:tbl>
    <w:p>
      <w:pPr>
        <w:spacing w:after="8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4324A"/>
            <w:tcMar>
              <w:top w:w="120" w:type="dxa"/>
              <w:start w:w="120" w:type="dxa"/>
              <w:bottom w:w="120" w:type="dxa"/>
              <w:end w:w="120" w:type="dxa"/>
            </w:tcMar>
            <w:vAlign w:val="center"/>
          </w:tcPr>
          <w:p>
            <w:pPr>
              <w:jc w:val="left"/>
            </w:pPr>
            <w:r>
              <w:rPr>
                <w:b/>
                <w:color w:val="FFFFFF"/>
                <w:sz w:val="16"/>
              </w:rPr>
              <w:t>Measurement Layer</w:t>
            </w:r>
          </w:p>
        </w:tc>
        <w:tc>
          <w:tcPr>
            <w:tcW w:type="dxa" w:w="4752"/>
            <w:shd w:fill="14324A"/>
            <w:tcMar>
              <w:top w:w="120" w:type="dxa"/>
              <w:start w:w="120" w:type="dxa"/>
              <w:bottom w:w="120" w:type="dxa"/>
              <w:end w:w="120" w:type="dxa"/>
            </w:tcMar>
            <w:vAlign w:val="center"/>
          </w:tcPr>
          <w:p>
            <w:pPr>
              <w:jc w:val="left"/>
            </w:pPr>
            <w:r>
              <w:rPr>
                <w:b/>
                <w:color w:val="FFFFFF"/>
                <w:sz w:val="16"/>
              </w:rPr>
              <w:t>What to Track</w:t>
            </w:r>
          </w:p>
        </w:tc>
        <w:tc>
          <w:tcPr>
            <w:tcW w:type="dxa" w:w="3888"/>
            <w:shd w:fill="14324A"/>
            <w:tcMar>
              <w:top w:w="120" w:type="dxa"/>
              <w:start w:w="120" w:type="dxa"/>
              <w:bottom w:w="120" w:type="dxa"/>
              <w:end w:w="120" w:type="dxa"/>
            </w:tcMar>
            <w:vAlign w:val="center"/>
          </w:tcPr>
          <w:p>
            <w:pPr>
              <w:jc w:val="left"/>
            </w:pPr>
            <w:r>
              <w:rPr>
                <w:b/>
                <w:color w:val="FFFFFF"/>
                <w:sz w:val="16"/>
              </w:rPr>
              <w:t>Business Question</w:t>
            </w:r>
          </w:p>
        </w:tc>
      </w:tr>
      <w:tr>
        <w:tc>
          <w:tcPr>
            <w:tcW w:type="dxa" w:w="2016"/>
            <w:tcMar>
              <w:top w:w="120" w:type="dxa"/>
              <w:start w:w="120" w:type="dxa"/>
              <w:bottom w:w="120" w:type="dxa"/>
              <w:end w:w="120" w:type="dxa"/>
            </w:tcMar>
            <w:vAlign w:val="center"/>
          </w:tcPr>
          <w:p>
            <w:r>
              <w:rPr>
                <w:color w:val="142A42"/>
                <w:sz w:val="16"/>
              </w:rPr>
              <w:t>Discoverability</w:t>
            </w:r>
          </w:p>
        </w:tc>
        <w:tc>
          <w:tcPr>
            <w:tcW w:type="dxa" w:w="4752"/>
            <w:tcMar>
              <w:top w:w="120" w:type="dxa"/>
              <w:start w:w="120" w:type="dxa"/>
              <w:bottom w:w="120" w:type="dxa"/>
              <w:end w:w="120" w:type="dxa"/>
            </w:tcMar>
            <w:vAlign w:val="center"/>
          </w:tcPr>
          <w:p>
            <w:r>
              <w:rPr>
                <w:color w:val="142A42"/>
                <w:sz w:val="16"/>
              </w:rPr>
              <w:t>GSC queries, impressions, clicks, non-branded intent, landing pages, AI recommendation tests</w:t>
            </w:r>
          </w:p>
        </w:tc>
        <w:tc>
          <w:tcPr>
            <w:tcW w:type="dxa" w:w="3888"/>
            <w:tcMar>
              <w:top w:w="120" w:type="dxa"/>
              <w:start w:w="120" w:type="dxa"/>
              <w:bottom w:w="120" w:type="dxa"/>
              <w:end w:w="120" w:type="dxa"/>
            </w:tcMar>
            <w:vAlign w:val="center"/>
          </w:tcPr>
          <w:p>
            <w:r>
              <w:rPr>
                <w:color w:val="142A42"/>
                <w:sz w:val="16"/>
              </w:rPr>
              <w:t>Are the right buyers finding NuVue?</w:t>
            </w:r>
          </w:p>
        </w:tc>
      </w:tr>
      <w:tr>
        <w:tc>
          <w:tcPr>
            <w:tcW w:type="dxa" w:w="2016"/>
            <w:tcMar>
              <w:top w:w="120" w:type="dxa"/>
              <w:start w:w="120" w:type="dxa"/>
              <w:bottom w:w="120" w:type="dxa"/>
              <w:end w:w="120" w:type="dxa"/>
            </w:tcMar>
            <w:vAlign w:val="center"/>
          </w:tcPr>
          <w:p>
            <w:r>
              <w:rPr>
                <w:color w:val="142A42"/>
                <w:sz w:val="16"/>
              </w:rPr>
              <w:t>Engagement</w:t>
            </w:r>
          </w:p>
        </w:tc>
        <w:tc>
          <w:tcPr>
            <w:tcW w:type="dxa" w:w="4752"/>
            <w:tcMar>
              <w:top w:w="120" w:type="dxa"/>
              <w:start w:w="120" w:type="dxa"/>
              <w:bottom w:w="120" w:type="dxa"/>
              <w:end w:w="120" w:type="dxa"/>
            </w:tcMar>
            <w:vAlign w:val="center"/>
          </w:tcPr>
          <w:p>
            <w:r>
              <w:rPr>
                <w:color w:val="142A42"/>
                <w:sz w:val="16"/>
              </w:rPr>
              <w:t>Corporate path selection, pillar engagement, proof consumption, seminar exploration</w:t>
            </w:r>
          </w:p>
        </w:tc>
        <w:tc>
          <w:tcPr>
            <w:tcW w:type="dxa" w:w="3888"/>
            <w:tcMar>
              <w:top w:w="120" w:type="dxa"/>
              <w:start w:w="120" w:type="dxa"/>
              <w:bottom w:w="120" w:type="dxa"/>
              <w:end w:w="120" w:type="dxa"/>
            </w:tcMar>
            <w:vAlign w:val="center"/>
          </w:tcPr>
          <w:p>
            <w:r>
              <w:rPr>
                <w:color w:val="142A42"/>
                <w:sz w:val="16"/>
              </w:rPr>
              <w:t>Are buyers finding relevant evidence?</w:t>
            </w:r>
          </w:p>
        </w:tc>
      </w:tr>
      <w:tr>
        <w:tc>
          <w:tcPr>
            <w:tcW w:type="dxa" w:w="2016"/>
            <w:tcMar>
              <w:top w:w="120" w:type="dxa"/>
              <w:start w:w="120" w:type="dxa"/>
              <w:bottom w:w="120" w:type="dxa"/>
              <w:end w:w="120" w:type="dxa"/>
            </w:tcMar>
            <w:vAlign w:val="center"/>
          </w:tcPr>
          <w:p>
            <w:r>
              <w:rPr>
                <w:color w:val="142A42"/>
                <w:sz w:val="16"/>
              </w:rPr>
              <w:t>Conversion</w:t>
            </w:r>
          </w:p>
        </w:tc>
        <w:tc>
          <w:tcPr>
            <w:tcW w:type="dxa" w:w="4752"/>
            <w:tcMar>
              <w:top w:w="120" w:type="dxa"/>
              <w:start w:w="120" w:type="dxa"/>
              <w:bottom w:w="120" w:type="dxa"/>
              <w:end w:w="120" w:type="dxa"/>
            </w:tcMar>
            <w:vAlign w:val="center"/>
          </w:tcPr>
          <w:p>
            <w:r>
              <w:rPr>
                <w:color w:val="142A42"/>
                <w:sz w:val="16"/>
              </w:rPr>
              <w:t>Consultation requests, guarantee applications, seminar transactions, assessment completions</w:t>
            </w:r>
          </w:p>
        </w:tc>
        <w:tc>
          <w:tcPr>
            <w:tcW w:type="dxa" w:w="3888"/>
            <w:tcMar>
              <w:top w:w="120" w:type="dxa"/>
              <w:start w:w="120" w:type="dxa"/>
              <w:bottom w:w="120" w:type="dxa"/>
              <w:end w:w="120" w:type="dxa"/>
            </w:tcMar>
            <w:vAlign w:val="center"/>
          </w:tcPr>
          <w:p>
            <w:r>
              <w:rPr>
                <w:color w:val="142A42"/>
                <w:sz w:val="16"/>
              </w:rPr>
              <w:t>Are visitors taking meaningful action?</w:t>
            </w:r>
          </w:p>
        </w:tc>
      </w:tr>
      <w:tr>
        <w:tc>
          <w:tcPr>
            <w:tcW w:type="dxa" w:w="2016"/>
            <w:tcMar>
              <w:top w:w="120" w:type="dxa"/>
              <w:start w:w="120" w:type="dxa"/>
              <w:bottom w:w="120" w:type="dxa"/>
              <w:end w:w="120" w:type="dxa"/>
            </w:tcMar>
            <w:vAlign w:val="center"/>
          </w:tcPr>
          <w:p>
            <w:r>
              <w:rPr>
                <w:color w:val="142A42"/>
                <w:sz w:val="16"/>
              </w:rPr>
              <w:t>Qualification</w:t>
            </w:r>
          </w:p>
        </w:tc>
        <w:tc>
          <w:tcPr>
            <w:tcW w:type="dxa" w:w="4752"/>
            <w:tcMar>
              <w:top w:w="120" w:type="dxa"/>
              <w:start w:w="120" w:type="dxa"/>
              <w:bottom w:w="120" w:type="dxa"/>
              <w:end w:w="120" w:type="dxa"/>
            </w:tcMar>
            <w:vAlign w:val="center"/>
          </w:tcPr>
          <w:p>
            <w:r>
              <w:rPr>
                <w:color w:val="142A42"/>
                <w:sz w:val="16"/>
              </w:rPr>
              <w:t>Role, company, team size, industry, challenge</w:t>
            </w:r>
          </w:p>
        </w:tc>
        <w:tc>
          <w:tcPr>
            <w:tcW w:type="dxa" w:w="3888"/>
            <w:tcMar>
              <w:top w:w="120" w:type="dxa"/>
              <w:start w:w="120" w:type="dxa"/>
              <w:bottom w:w="120" w:type="dxa"/>
              <w:end w:w="120" w:type="dxa"/>
            </w:tcMar>
            <w:vAlign w:val="center"/>
          </w:tcPr>
          <w:p>
            <w:r>
              <w:rPr>
                <w:color w:val="142A42"/>
                <w:sz w:val="16"/>
              </w:rPr>
              <w:t>Are conversions from the right buyers?</w:t>
            </w:r>
          </w:p>
        </w:tc>
      </w:tr>
      <w:tr>
        <w:tc>
          <w:tcPr>
            <w:tcW w:type="dxa" w:w="2016"/>
            <w:tcMar>
              <w:top w:w="120" w:type="dxa"/>
              <w:start w:w="120" w:type="dxa"/>
              <w:bottom w:w="120" w:type="dxa"/>
              <w:end w:w="120" w:type="dxa"/>
            </w:tcMar>
            <w:vAlign w:val="center"/>
          </w:tcPr>
          <w:p>
            <w:r>
              <w:rPr>
                <w:color w:val="142A42"/>
                <w:sz w:val="16"/>
              </w:rPr>
              <w:t>Pipeline</w:t>
            </w:r>
          </w:p>
        </w:tc>
        <w:tc>
          <w:tcPr>
            <w:tcW w:type="dxa" w:w="4752"/>
            <w:tcMar>
              <w:top w:w="120" w:type="dxa"/>
              <w:start w:w="120" w:type="dxa"/>
              <w:bottom w:w="120" w:type="dxa"/>
              <w:end w:w="120" w:type="dxa"/>
            </w:tcMar>
            <w:vAlign w:val="center"/>
          </w:tcPr>
          <w:p>
            <w:r>
              <w:rPr>
                <w:color w:val="142A42"/>
                <w:sz w:val="16"/>
              </w:rPr>
              <w:t>Lead → opportunity → closed-won where CRM data supports it</w:t>
            </w:r>
          </w:p>
        </w:tc>
        <w:tc>
          <w:tcPr>
            <w:tcW w:type="dxa" w:w="3888"/>
            <w:tcMar>
              <w:top w:w="120" w:type="dxa"/>
              <w:start w:w="120" w:type="dxa"/>
              <w:bottom w:w="120" w:type="dxa"/>
              <w:end w:w="120" w:type="dxa"/>
            </w:tcMar>
            <w:vAlign w:val="center"/>
          </w:tcPr>
          <w:p>
            <w:r>
              <w:rPr>
                <w:color w:val="142A42"/>
                <w:sz w:val="16"/>
              </w:rPr>
              <w:t>Which marketing experiences influence qualified business outcomes?</w:t>
            </w:r>
          </w:p>
        </w:tc>
      </w:tr>
      <w:tr>
        <w:tc>
          <w:tcPr>
            <w:tcW w:type="dxa" w:w="2016"/>
            <w:tcMar>
              <w:top w:w="120" w:type="dxa"/>
              <w:start w:w="120" w:type="dxa"/>
              <w:bottom w:w="120" w:type="dxa"/>
              <w:end w:w="120" w:type="dxa"/>
            </w:tcMar>
            <w:vAlign w:val="center"/>
          </w:tcPr>
          <w:p>
            <w:r>
              <w:rPr>
                <w:color w:val="142A42"/>
                <w:sz w:val="16"/>
              </w:rPr>
              <w:t>Leadership</w:t>
            </w:r>
          </w:p>
        </w:tc>
        <w:tc>
          <w:tcPr>
            <w:tcW w:type="dxa" w:w="4752"/>
            <w:tcMar>
              <w:top w:w="120" w:type="dxa"/>
              <w:start w:w="120" w:type="dxa"/>
              <w:bottom w:w="120" w:type="dxa"/>
              <w:end w:w="120" w:type="dxa"/>
            </w:tcMar>
            <w:vAlign w:val="center"/>
          </w:tcPr>
          <w:p>
            <w:r>
              <w:rPr>
                <w:color w:val="142A42"/>
                <w:sz w:val="16"/>
              </w:rPr>
              <w:t>Qualified pipeline, opportunity progression, channel contribution, major visibility gaps</w:t>
            </w:r>
          </w:p>
        </w:tc>
        <w:tc>
          <w:tcPr>
            <w:tcW w:type="dxa" w:w="3888"/>
            <w:tcMar>
              <w:top w:w="120" w:type="dxa"/>
              <w:start w:w="120" w:type="dxa"/>
              <w:bottom w:w="120" w:type="dxa"/>
              <w:end w:w="120" w:type="dxa"/>
            </w:tcMar>
            <w:vAlign w:val="center"/>
          </w:tcPr>
          <w:p>
            <w:r>
              <w:rPr>
                <w:color w:val="142A42"/>
                <w:sz w:val="16"/>
              </w:rPr>
              <w:t>Can marketing explain its contribution credibly?</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EEF4F6"/>
            <w:tcMar>
              <w:top w:w="160" w:type="dxa"/>
              <w:start w:w="180" w:type="dxa"/>
              <w:bottom w:w="160" w:type="dxa"/>
              <w:end w:w="180" w:type="dxa"/>
            </w:tcMar>
          </w:tcPr>
          <w:p>
            <w:r>
              <w:rPr>
                <w:b/>
                <w:color w:val="142A42"/>
                <w:sz w:val="22"/>
              </w:rPr>
              <w:t>Measurement principle</w:t>
            </w:r>
          </w:p>
          <w:p>
            <w:pPr>
              <w:pStyle w:val="Callout"/>
            </w:pPr>
            <w:r>
              <w:t>The success metric is not simply 'more organic traffic.' The preferred chain is relevant discovery → appropriate landing experience → meaningful conversion → qualified lead → opportunity, wherever the available data supports that connection.</w:t>
            </w:r>
          </w:p>
        </w:tc>
      </w:tr>
    </w:tbl>
    <w:p>
      <w:pPr>
        <w:spacing w:after="40"/>
      </w:pPr>
    </w:p>
    <w:p>
      <w:pPr>
        <w:pStyle w:val="Heading1"/>
      </w:pPr>
      <w:r>
        <w:t>15. Marketing Ecosystem Alignment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4324A"/>
            <w:tcMar>
              <w:top w:w="120" w:type="dxa"/>
              <w:start w:w="120" w:type="dxa"/>
              <w:bottom w:w="120" w:type="dxa"/>
              <w:end w:w="120" w:type="dxa"/>
            </w:tcMar>
            <w:vAlign w:val="center"/>
          </w:tcPr>
          <w:p>
            <w:pPr>
              <w:jc w:val="left"/>
            </w:pPr>
            <w:r>
              <w:rPr>
                <w:b/>
                <w:color w:val="FFFFFF"/>
                <w:sz w:val="17"/>
              </w:rPr>
              <w:t>Ecosystem Component</w:t>
            </w:r>
          </w:p>
        </w:tc>
        <w:tc>
          <w:tcPr>
            <w:tcW w:type="dxa" w:w="7920"/>
            <w:shd w:fill="14324A"/>
            <w:tcMar>
              <w:top w:w="120" w:type="dxa"/>
              <w:start w:w="120" w:type="dxa"/>
              <w:bottom w:w="120" w:type="dxa"/>
              <w:end w:w="120" w:type="dxa"/>
            </w:tcMar>
            <w:vAlign w:val="center"/>
          </w:tcPr>
          <w:p>
            <w:pPr>
              <w:jc w:val="left"/>
            </w:pPr>
            <w:r>
              <w:rPr>
                <w:b/>
                <w:color w:val="FFFFFF"/>
                <w:sz w:val="17"/>
              </w:rPr>
              <w:t>Website Requirement</w:t>
            </w:r>
          </w:p>
        </w:tc>
      </w:tr>
      <w:tr>
        <w:tc>
          <w:tcPr>
            <w:tcW w:type="dxa" w:w="2160"/>
            <w:tcMar>
              <w:top w:w="120" w:type="dxa"/>
              <w:start w:w="120" w:type="dxa"/>
              <w:bottom w:w="120" w:type="dxa"/>
              <w:end w:w="120" w:type="dxa"/>
            </w:tcMar>
            <w:vAlign w:val="center"/>
          </w:tcPr>
          <w:p>
            <w:r>
              <w:rPr>
                <w:color w:val="142A42"/>
                <w:sz w:val="17"/>
              </w:rPr>
              <w:t>Paid Media</w:t>
            </w:r>
          </w:p>
        </w:tc>
        <w:tc>
          <w:tcPr>
            <w:tcW w:type="dxa" w:w="7920"/>
            <w:tcMar>
              <w:top w:w="120" w:type="dxa"/>
              <w:start w:w="120" w:type="dxa"/>
              <w:bottom w:w="120" w:type="dxa"/>
              <w:end w:w="120" w:type="dxa"/>
            </w:tcMar>
            <w:vAlign w:val="center"/>
          </w:tcPr>
          <w:p>
            <w:r>
              <w:rPr>
                <w:color w:val="142A42"/>
                <w:sz w:val="17"/>
              </w:rPr>
              <w:t>Campaigns should land on buyer- and offer-specific experiences with aligned messaging and measurable conversion.</w:t>
            </w:r>
          </w:p>
        </w:tc>
      </w:tr>
      <w:tr>
        <w:tc>
          <w:tcPr>
            <w:tcW w:type="dxa" w:w="2160"/>
            <w:tcMar>
              <w:top w:w="120" w:type="dxa"/>
              <w:start w:w="120" w:type="dxa"/>
              <w:bottom w:w="120" w:type="dxa"/>
              <w:end w:w="120" w:type="dxa"/>
            </w:tcMar>
            <w:vAlign w:val="center"/>
          </w:tcPr>
          <w:p>
            <w:r>
              <w:rPr>
                <w:color w:val="142A42"/>
                <w:sz w:val="17"/>
              </w:rPr>
              <w:t>PR / Earned Media</w:t>
            </w:r>
          </w:p>
        </w:tc>
        <w:tc>
          <w:tcPr>
            <w:tcW w:type="dxa" w:w="7920"/>
            <w:tcMar>
              <w:top w:w="120" w:type="dxa"/>
              <w:start w:w="120" w:type="dxa"/>
              <w:bottom w:w="120" w:type="dxa"/>
              <w:end w:w="120" w:type="dxa"/>
            </w:tcMar>
            <w:vAlign w:val="center"/>
          </w:tcPr>
          <w:p>
            <w:r>
              <w:rPr>
                <w:color w:val="142A42"/>
                <w:sz w:val="17"/>
              </w:rPr>
              <w:t>Press and third-party credibility should reinforce the same strategic story and route attention to relevant proof.</w:t>
            </w:r>
          </w:p>
        </w:tc>
      </w:tr>
      <w:tr>
        <w:tc>
          <w:tcPr>
            <w:tcW w:type="dxa" w:w="2160"/>
            <w:tcMar>
              <w:top w:w="120" w:type="dxa"/>
              <w:start w:w="120" w:type="dxa"/>
              <w:bottom w:w="120" w:type="dxa"/>
              <w:end w:w="120" w:type="dxa"/>
            </w:tcMar>
            <w:vAlign w:val="center"/>
          </w:tcPr>
          <w:p>
            <w:r>
              <w:rPr>
                <w:color w:val="142A42"/>
                <w:sz w:val="17"/>
              </w:rPr>
              <w:t>Content</w:t>
            </w:r>
          </w:p>
        </w:tc>
        <w:tc>
          <w:tcPr>
            <w:tcW w:type="dxa" w:w="7920"/>
            <w:tcMar>
              <w:top w:w="120" w:type="dxa"/>
              <w:start w:w="120" w:type="dxa"/>
              <w:bottom w:w="120" w:type="dxa"/>
              <w:end w:w="120" w:type="dxa"/>
            </w:tcMar>
            <w:vAlign w:val="center"/>
          </w:tcPr>
          <w:p>
            <w:r>
              <w:rPr>
                <w:color w:val="142A42"/>
                <w:sz w:val="17"/>
              </w:rPr>
              <w:t>Content should answer buyer questions by intent stage and strengthen search/AI authority.</w:t>
            </w:r>
          </w:p>
        </w:tc>
      </w:tr>
      <w:tr>
        <w:tc>
          <w:tcPr>
            <w:tcW w:type="dxa" w:w="2160"/>
            <w:tcMar>
              <w:top w:w="120" w:type="dxa"/>
              <w:start w:w="120" w:type="dxa"/>
              <w:bottom w:w="120" w:type="dxa"/>
              <w:end w:w="120" w:type="dxa"/>
            </w:tcMar>
            <w:vAlign w:val="center"/>
          </w:tcPr>
          <w:p>
            <w:r>
              <w:rPr>
                <w:color w:val="142A42"/>
                <w:sz w:val="17"/>
              </w:rPr>
              <w:t>Sales</w:t>
            </w:r>
          </w:p>
        </w:tc>
        <w:tc>
          <w:tcPr>
            <w:tcW w:type="dxa" w:w="7920"/>
            <w:tcMar>
              <w:top w:w="120" w:type="dxa"/>
              <w:start w:w="120" w:type="dxa"/>
              <w:bottom w:w="120" w:type="dxa"/>
              <w:end w:w="120" w:type="dxa"/>
            </w:tcMar>
            <w:vAlign w:val="center"/>
          </w:tcPr>
          <w:p>
            <w:r>
              <w:rPr>
                <w:color w:val="142A42"/>
                <w:sz w:val="17"/>
              </w:rPr>
              <w:t>Sales should be able to send buyers to pages that match the exact objection, proof need, or stage of evaluation.</w:t>
            </w:r>
          </w:p>
        </w:tc>
      </w:tr>
      <w:tr>
        <w:tc>
          <w:tcPr>
            <w:tcW w:type="dxa" w:w="2160"/>
            <w:tcMar>
              <w:top w:w="120" w:type="dxa"/>
              <w:start w:w="120" w:type="dxa"/>
              <w:bottom w:w="120" w:type="dxa"/>
              <w:end w:w="120" w:type="dxa"/>
            </w:tcMar>
            <w:vAlign w:val="center"/>
          </w:tcPr>
          <w:p>
            <w:r>
              <w:rPr>
                <w:color w:val="142A42"/>
                <w:sz w:val="17"/>
              </w:rPr>
              <w:t>CRM</w:t>
            </w:r>
          </w:p>
        </w:tc>
        <w:tc>
          <w:tcPr>
            <w:tcW w:type="dxa" w:w="7920"/>
            <w:tcMar>
              <w:top w:w="120" w:type="dxa"/>
              <w:start w:w="120" w:type="dxa"/>
              <w:bottom w:w="120" w:type="dxa"/>
              <w:end w:w="120" w:type="dxa"/>
            </w:tcMar>
            <w:vAlign w:val="center"/>
          </w:tcPr>
          <w:p>
            <w:r>
              <w:rPr>
                <w:color w:val="142A42"/>
                <w:sz w:val="17"/>
              </w:rPr>
              <w:t>Forms and conversion actions should create usable qualification and source data.</w:t>
            </w:r>
          </w:p>
        </w:tc>
      </w:tr>
      <w:tr>
        <w:tc>
          <w:tcPr>
            <w:tcW w:type="dxa" w:w="2160"/>
            <w:tcMar>
              <w:top w:w="120" w:type="dxa"/>
              <w:start w:w="120" w:type="dxa"/>
              <w:bottom w:w="120" w:type="dxa"/>
              <w:end w:w="120" w:type="dxa"/>
            </w:tcMar>
            <w:vAlign w:val="center"/>
          </w:tcPr>
          <w:p>
            <w:r>
              <w:rPr>
                <w:color w:val="142A42"/>
                <w:sz w:val="17"/>
              </w:rPr>
              <w:t>Analytics</w:t>
            </w:r>
          </w:p>
        </w:tc>
        <w:tc>
          <w:tcPr>
            <w:tcW w:type="dxa" w:w="7920"/>
            <w:tcMar>
              <w:top w:w="120" w:type="dxa"/>
              <w:start w:w="120" w:type="dxa"/>
              <w:bottom w:w="120" w:type="dxa"/>
              <w:end w:w="120" w:type="dxa"/>
            </w:tcMar>
            <w:vAlign w:val="center"/>
          </w:tcPr>
          <w:p>
            <w:r>
              <w:rPr>
                <w:color w:val="142A42"/>
                <w:sz w:val="17"/>
              </w:rPr>
              <w:t>Events should reflect meaningful buyer progression, not just page activity.</w:t>
            </w:r>
          </w:p>
        </w:tc>
      </w:tr>
      <w:tr>
        <w:tc>
          <w:tcPr>
            <w:tcW w:type="dxa" w:w="2160"/>
            <w:tcMar>
              <w:top w:w="120" w:type="dxa"/>
              <w:start w:w="120" w:type="dxa"/>
              <w:bottom w:w="120" w:type="dxa"/>
              <w:end w:w="120" w:type="dxa"/>
            </w:tcMar>
            <w:vAlign w:val="center"/>
          </w:tcPr>
          <w:p>
            <w:r>
              <w:rPr>
                <w:color w:val="142A42"/>
                <w:sz w:val="17"/>
              </w:rPr>
              <w:t>Partners</w:t>
            </w:r>
          </w:p>
        </w:tc>
        <w:tc>
          <w:tcPr>
            <w:tcW w:type="dxa" w:w="7920"/>
            <w:tcMar>
              <w:top w:w="120" w:type="dxa"/>
              <w:start w:w="120" w:type="dxa"/>
              <w:bottom w:w="120" w:type="dxa"/>
              <w:end w:w="120" w:type="dxa"/>
            </w:tcMar>
            <w:vAlign w:val="center"/>
          </w:tcPr>
          <w:p>
            <w:r>
              <w:rPr>
                <w:color w:val="142A42"/>
                <w:sz w:val="17"/>
              </w:rPr>
              <w:t>Existing agencies and specialists should have clear ownership boundaries and shared measurement definitions.</w:t>
            </w:r>
          </w:p>
        </w:tc>
      </w:tr>
    </w:tbl>
    <w:p>
      <w:pPr>
        <w:spacing w:after="40"/>
      </w:pPr>
    </w:p>
    <w:p>
      <w:pPr>
        <w:pStyle w:val="Heading1"/>
      </w:pPr>
      <w:r>
        <w:t>16. Implementation Blueprint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944"/>
            <w:shd w:fill="14324A"/>
            <w:tcMar>
              <w:top w:w="120" w:type="dxa"/>
              <w:start w:w="120" w:type="dxa"/>
              <w:bottom w:w="120" w:type="dxa"/>
              <w:end w:w="120" w:type="dxa"/>
            </w:tcMar>
            <w:vAlign w:val="center"/>
          </w:tcPr>
          <w:p>
            <w:pPr>
              <w:jc w:val="left"/>
            </w:pPr>
            <w:r>
              <w:rPr>
                <w:b/>
                <w:color w:val="FFFFFF"/>
                <w:sz w:val="16"/>
              </w:rPr>
              <w:t>Workstream</w:t>
            </w:r>
          </w:p>
        </w:tc>
        <w:tc>
          <w:tcPr>
            <w:tcW w:type="dxa" w:w="4752"/>
            <w:shd w:fill="14324A"/>
            <w:tcMar>
              <w:top w:w="120" w:type="dxa"/>
              <w:start w:w="120" w:type="dxa"/>
              <w:bottom w:w="120" w:type="dxa"/>
              <w:end w:w="120" w:type="dxa"/>
            </w:tcMar>
            <w:vAlign w:val="center"/>
          </w:tcPr>
          <w:p>
            <w:pPr>
              <w:jc w:val="left"/>
            </w:pPr>
            <w:r>
              <w:rPr>
                <w:b/>
                <w:color w:val="FFFFFF"/>
                <w:sz w:val="16"/>
              </w:rPr>
              <w:t>Required Output</w:t>
            </w:r>
          </w:p>
        </w:tc>
        <w:tc>
          <w:tcPr>
            <w:tcW w:type="dxa" w:w="2448"/>
            <w:shd w:fill="14324A"/>
            <w:tcMar>
              <w:top w:w="120" w:type="dxa"/>
              <w:start w:w="120" w:type="dxa"/>
              <w:bottom w:w="120" w:type="dxa"/>
              <w:end w:w="120" w:type="dxa"/>
            </w:tcMar>
            <w:vAlign w:val="center"/>
          </w:tcPr>
          <w:p>
            <w:pPr>
              <w:jc w:val="left"/>
            </w:pPr>
            <w:r>
              <w:rPr>
                <w:b/>
                <w:color w:val="FFFFFF"/>
                <w:sz w:val="16"/>
              </w:rPr>
              <w:t>Dependency</w:t>
            </w:r>
          </w:p>
        </w:tc>
        <w:tc>
          <w:tcPr>
            <w:tcW w:type="dxa" w:w="1944"/>
            <w:shd w:fill="14324A"/>
            <w:tcMar>
              <w:top w:w="120" w:type="dxa"/>
              <w:start w:w="120" w:type="dxa"/>
              <w:bottom w:w="120" w:type="dxa"/>
              <w:end w:w="120" w:type="dxa"/>
            </w:tcMar>
            <w:vAlign w:val="center"/>
          </w:tcPr>
          <w:p>
            <w:pPr>
              <w:jc w:val="left"/>
            </w:pPr>
            <w:r>
              <w:rPr>
                <w:b/>
                <w:color w:val="FFFFFF"/>
                <w:sz w:val="16"/>
              </w:rPr>
              <w:t>Owner</w:t>
            </w:r>
          </w:p>
        </w:tc>
      </w:tr>
      <w:tr>
        <w:tc>
          <w:tcPr>
            <w:tcW w:type="dxa" w:w="1944"/>
            <w:tcMar>
              <w:top w:w="120" w:type="dxa"/>
              <w:start w:w="120" w:type="dxa"/>
              <w:bottom w:w="120" w:type="dxa"/>
              <w:end w:w="120" w:type="dxa"/>
            </w:tcMar>
            <w:vAlign w:val="center"/>
          </w:tcPr>
          <w:p>
            <w:r>
              <w:rPr>
                <w:color w:val="142A42"/>
                <w:sz w:val="16"/>
              </w:rPr>
              <w:t>Messaging</w:t>
            </w:r>
          </w:p>
        </w:tc>
        <w:tc>
          <w:tcPr>
            <w:tcW w:type="dxa" w:w="4752"/>
            <w:tcMar>
              <w:top w:w="120" w:type="dxa"/>
              <w:start w:w="120" w:type="dxa"/>
              <w:bottom w:w="120" w:type="dxa"/>
              <w:end w:w="120" w:type="dxa"/>
            </w:tcMar>
            <w:vAlign w:val="center"/>
          </w:tcPr>
          <w:p>
            <w:r>
              <w:rPr>
                <w:color w:val="142A42"/>
                <w:sz w:val="16"/>
              </w:rPr>
              <w:t>Approved corporate narrative, pillar messaging, proof hierarchy, CTA language</w:t>
            </w:r>
          </w:p>
        </w:tc>
        <w:tc>
          <w:tcPr>
            <w:tcW w:type="dxa" w:w="2448"/>
            <w:tcMar>
              <w:top w:w="120" w:type="dxa"/>
              <w:start w:w="120" w:type="dxa"/>
              <w:bottom w:w="120" w:type="dxa"/>
              <w:end w:w="120" w:type="dxa"/>
            </w:tcMar>
            <w:vAlign w:val="center"/>
          </w:tcPr>
          <w:p>
            <w:r>
              <w:rPr>
                <w:color w:val="142A42"/>
                <w:sz w:val="16"/>
              </w:rPr>
              <w:t>Leadership alignment</w:t>
            </w:r>
          </w:p>
        </w:tc>
        <w:tc>
          <w:tcPr>
            <w:tcW w:type="dxa" w:w="1944"/>
            <w:tcMar>
              <w:top w:w="120" w:type="dxa"/>
              <w:start w:w="120" w:type="dxa"/>
              <w:bottom w:w="120" w:type="dxa"/>
              <w:end w:w="120" w:type="dxa"/>
            </w:tcMar>
            <w:vAlign w:val="center"/>
          </w:tcPr>
          <w:p>
            <w:r>
              <w:rPr>
                <w:color w:val="142A42"/>
                <w:sz w:val="16"/>
              </w:rPr>
              <w:t>NuVue + Strategy</w:t>
            </w:r>
          </w:p>
        </w:tc>
      </w:tr>
      <w:tr>
        <w:tc>
          <w:tcPr>
            <w:tcW w:type="dxa" w:w="1944"/>
            <w:tcMar>
              <w:top w:w="120" w:type="dxa"/>
              <w:start w:w="120" w:type="dxa"/>
              <w:bottom w:w="120" w:type="dxa"/>
              <w:end w:w="120" w:type="dxa"/>
            </w:tcMar>
            <w:vAlign w:val="center"/>
          </w:tcPr>
          <w:p>
            <w:r>
              <w:rPr>
                <w:color w:val="142A42"/>
                <w:sz w:val="16"/>
              </w:rPr>
              <w:t>Information Architecture</w:t>
            </w:r>
          </w:p>
        </w:tc>
        <w:tc>
          <w:tcPr>
            <w:tcW w:type="dxa" w:w="4752"/>
            <w:tcMar>
              <w:top w:w="120" w:type="dxa"/>
              <w:start w:w="120" w:type="dxa"/>
              <w:bottom w:w="120" w:type="dxa"/>
              <w:end w:w="120" w:type="dxa"/>
            </w:tcMar>
            <w:vAlign w:val="center"/>
          </w:tcPr>
          <w:p>
            <w:r>
              <w:rPr>
                <w:color w:val="142A42"/>
                <w:sz w:val="16"/>
              </w:rPr>
              <w:t>Approved sitemap, nav, buyer routing and page hierarchy</w:t>
            </w:r>
          </w:p>
        </w:tc>
        <w:tc>
          <w:tcPr>
            <w:tcW w:type="dxa" w:w="2448"/>
            <w:tcMar>
              <w:top w:w="120" w:type="dxa"/>
              <w:start w:w="120" w:type="dxa"/>
              <w:bottom w:w="120" w:type="dxa"/>
              <w:end w:w="120" w:type="dxa"/>
            </w:tcMar>
            <w:vAlign w:val="center"/>
          </w:tcPr>
          <w:p>
            <w:r>
              <w:rPr>
                <w:color w:val="142A42"/>
                <w:sz w:val="16"/>
              </w:rPr>
              <w:t>Messaging + priority offers</w:t>
            </w:r>
          </w:p>
        </w:tc>
        <w:tc>
          <w:tcPr>
            <w:tcW w:type="dxa" w:w="1944"/>
            <w:tcMar>
              <w:top w:w="120" w:type="dxa"/>
              <w:start w:w="120" w:type="dxa"/>
              <w:bottom w:w="120" w:type="dxa"/>
              <w:end w:w="120" w:type="dxa"/>
            </w:tcMar>
            <w:vAlign w:val="center"/>
          </w:tcPr>
          <w:p>
            <w:r>
              <w:rPr>
                <w:color w:val="142A42"/>
                <w:sz w:val="16"/>
              </w:rPr>
              <w:t>Strategy</w:t>
            </w:r>
          </w:p>
        </w:tc>
      </w:tr>
      <w:tr>
        <w:tc>
          <w:tcPr>
            <w:tcW w:type="dxa" w:w="1944"/>
            <w:tcMar>
              <w:top w:w="120" w:type="dxa"/>
              <w:start w:w="120" w:type="dxa"/>
              <w:bottom w:w="120" w:type="dxa"/>
              <w:end w:w="120" w:type="dxa"/>
            </w:tcMar>
            <w:vAlign w:val="center"/>
          </w:tcPr>
          <w:p>
            <w:r>
              <w:rPr>
                <w:color w:val="142A42"/>
                <w:sz w:val="16"/>
              </w:rPr>
              <w:t>Content</w:t>
            </w:r>
          </w:p>
        </w:tc>
        <w:tc>
          <w:tcPr>
            <w:tcW w:type="dxa" w:w="4752"/>
            <w:tcMar>
              <w:top w:w="120" w:type="dxa"/>
              <w:start w:w="120" w:type="dxa"/>
              <w:bottom w:w="120" w:type="dxa"/>
              <w:end w:w="120" w:type="dxa"/>
            </w:tcMar>
            <w:vAlign w:val="center"/>
          </w:tcPr>
          <w:p>
            <w:r>
              <w:rPr>
                <w:color w:val="142A42"/>
                <w:sz w:val="16"/>
              </w:rPr>
              <w:t>Page briefs, proof assets, case studies, industry content, FAQ requirements</w:t>
            </w:r>
          </w:p>
        </w:tc>
        <w:tc>
          <w:tcPr>
            <w:tcW w:type="dxa" w:w="2448"/>
            <w:tcMar>
              <w:top w:w="120" w:type="dxa"/>
              <w:start w:w="120" w:type="dxa"/>
              <w:bottom w:w="120" w:type="dxa"/>
              <w:end w:w="120" w:type="dxa"/>
            </w:tcMar>
            <w:vAlign w:val="center"/>
          </w:tcPr>
          <w:p>
            <w:r>
              <w:rPr>
                <w:color w:val="142A42"/>
                <w:sz w:val="16"/>
              </w:rPr>
              <w:t>IA + messaging</w:t>
            </w:r>
          </w:p>
        </w:tc>
        <w:tc>
          <w:tcPr>
            <w:tcW w:type="dxa" w:w="1944"/>
            <w:tcMar>
              <w:top w:w="120" w:type="dxa"/>
              <w:start w:w="120" w:type="dxa"/>
              <w:bottom w:w="120" w:type="dxa"/>
              <w:end w:w="120" w:type="dxa"/>
            </w:tcMar>
            <w:vAlign w:val="center"/>
          </w:tcPr>
          <w:p>
            <w:r>
              <w:rPr>
                <w:color w:val="142A42"/>
                <w:sz w:val="16"/>
              </w:rPr>
              <w:t>NuVue + Content</w:t>
            </w:r>
          </w:p>
        </w:tc>
      </w:tr>
      <w:tr>
        <w:tc>
          <w:tcPr>
            <w:tcW w:type="dxa" w:w="1944"/>
            <w:tcMar>
              <w:top w:w="120" w:type="dxa"/>
              <w:start w:w="120" w:type="dxa"/>
              <w:bottom w:w="120" w:type="dxa"/>
              <w:end w:w="120" w:type="dxa"/>
            </w:tcMar>
            <w:vAlign w:val="center"/>
          </w:tcPr>
          <w:p>
            <w:r>
              <w:rPr>
                <w:color w:val="142A42"/>
                <w:sz w:val="16"/>
              </w:rPr>
              <w:t>Design</w:t>
            </w:r>
          </w:p>
        </w:tc>
        <w:tc>
          <w:tcPr>
            <w:tcW w:type="dxa" w:w="4752"/>
            <w:tcMar>
              <w:top w:w="120" w:type="dxa"/>
              <w:start w:w="120" w:type="dxa"/>
              <w:bottom w:w="120" w:type="dxa"/>
              <w:end w:w="120" w:type="dxa"/>
            </w:tcMar>
            <w:vAlign w:val="center"/>
          </w:tcPr>
          <w:p>
            <w:r>
              <w:rPr>
                <w:color w:val="142A42"/>
                <w:sz w:val="16"/>
              </w:rPr>
              <w:t>Custom design system and priority templates</w:t>
            </w:r>
          </w:p>
        </w:tc>
        <w:tc>
          <w:tcPr>
            <w:tcW w:type="dxa" w:w="2448"/>
            <w:tcMar>
              <w:top w:w="120" w:type="dxa"/>
              <w:start w:w="120" w:type="dxa"/>
              <w:bottom w:w="120" w:type="dxa"/>
              <w:end w:w="120" w:type="dxa"/>
            </w:tcMar>
            <w:vAlign w:val="center"/>
          </w:tcPr>
          <w:p>
            <w:r>
              <w:rPr>
                <w:color w:val="142A42"/>
                <w:sz w:val="16"/>
              </w:rPr>
              <w:t>Approved page briefs</w:t>
            </w:r>
          </w:p>
        </w:tc>
        <w:tc>
          <w:tcPr>
            <w:tcW w:type="dxa" w:w="1944"/>
            <w:tcMar>
              <w:top w:w="120" w:type="dxa"/>
              <w:start w:w="120" w:type="dxa"/>
              <w:bottom w:w="120" w:type="dxa"/>
              <w:end w:w="120" w:type="dxa"/>
            </w:tcMar>
            <w:vAlign w:val="center"/>
          </w:tcPr>
          <w:p>
            <w:r>
              <w:rPr>
                <w:color w:val="142A42"/>
                <w:sz w:val="16"/>
              </w:rPr>
              <w:t>SimpliCreative</w:t>
            </w:r>
          </w:p>
        </w:tc>
      </w:tr>
      <w:tr>
        <w:tc>
          <w:tcPr>
            <w:tcW w:type="dxa" w:w="1944"/>
            <w:tcMar>
              <w:top w:w="120" w:type="dxa"/>
              <w:start w:w="120" w:type="dxa"/>
              <w:bottom w:w="120" w:type="dxa"/>
              <w:end w:w="120" w:type="dxa"/>
            </w:tcMar>
            <w:vAlign w:val="center"/>
          </w:tcPr>
          <w:p>
            <w:r>
              <w:rPr>
                <w:color w:val="142A42"/>
                <w:sz w:val="16"/>
              </w:rPr>
              <w:t>Development</w:t>
            </w:r>
          </w:p>
        </w:tc>
        <w:tc>
          <w:tcPr>
            <w:tcW w:type="dxa" w:w="4752"/>
            <w:tcMar>
              <w:top w:w="120" w:type="dxa"/>
              <w:start w:w="120" w:type="dxa"/>
              <w:bottom w:w="120" w:type="dxa"/>
              <w:end w:w="120" w:type="dxa"/>
            </w:tcMar>
            <w:vAlign w:val="center"/>
          </w:tcPr>
          <w:p>
            <w:r>
              <w:rPr>
                <w:color w:val="142A42"/>
                <w:sz w:val="16"/>
              </w:rPr>
              <w:t>WordPress implementation, reusable components, forms, integrations</w:t>
            </w:r>
          </w:p>
        </w:tc>
        <w:tc>
          <w:tcPr>
            <w:tcW w:type="dxa" w:w="2448"/>
            <w:tcMar>
              <w:top w:w="120" w:type="dxa"/>
              <w:start w:w="120" w:type="dxa"/>
              <w:bottom w:w="120" w:type="dxa"/>
              <w:end w:w="120" w:type="dxa"/>
            </w:tcMar>
            <w:vAlign w:val="center"/>
          </w:tcPr>
          <w:p>
            <w:r>
              <w:rPr>
                <w:color w:val="142A42"/>
                <w:sz w:val="16"/>
              </w:rPr>
              <w:t>Approved design</w:t>
            </w:r>
          </w:p>
        </w:tc>
        <w:tc>
          <w:tcPr>
            <w:tcW w:type="dxa" w:w="1944"/>
            <w:tcMar>
              <w:top w:w="120" w:type="dxa"/>
              <w:start w:w="120" w:type="dxa"/>
              <w:bottom w:w="120" w:type="dxa"/>
              <w:end w:w="120" w:type="dxa"/>
            </w:tcMar>
            <w:vAlign w:val="center"/>
          </w:tcPr>
          <w:p>
            <w:r>
              <w:rPr>
                <w:color w:val="142A42"/>
                <w:sz w:val="16"/>
              </w:rPr>
              <w:t>SimpliCreative</w:t>
            </w:r>
          </w:p>
        </w:tc>
      </w:tr>
      <w:tr>
        <w:tc>
          <w:tcPr>
            <w:tcW w:type="dxa" w:w="1944"/>
            <w:tcMar>
              <w:top w:w="120" w:type="dxa"/>
              <w:start w:w="120" w:type="dxa"/>
              <w:bottom w:w="120" w:type="dxa"/>
              <w:end w:w="120" w:type="dxa"/>
            </w:tcMar>
            <w:vAlign w:val="center"/>
          </w:tcPr>
          <w:p>
            <w:r>
              <w:rPr>
                <w:color w:val="142A42"/>
                <w:sz w:val="16"/>
              </w:rPr>
              <w:t>Discoverability</w:t>
            </w:r>
          </w:p>
        </w:tc>
        <w:tc>
          <w:tcPr>
            <w:tcW w:type="dxa" w:w="4752"/>
            <w:tcMar>
              <w:top w:w="120" w:type="dxa"/>
              <w:start w:w="120" w:type="dxa"/>
              <w:bottom w:w="120" w:type="dxa"/>
              <w:end w:w="120" w:type="dxa"/>
            </w:tcMar>
            <w:vAlign w:val="center"/>
          </w:tcPr>
          <w:p>
            <w:r>
              <w:rPr>
                <w:color w:val="142A42"/>
                <w:sz w:val="16"/>
              </w:rPr>
              <w:t>Technical SEO, content structure, schema, AI-ready authority implementation</w:t>
            </w:r>
          </w:p>
        </w:tc>
        <w:tc>
          <w:tcPr>
            <w:tcW w:type="dxa" w:w="2448"/>
            <w:tcMar>
              <w:top w:w="120" w:type="dxa"/>
              <w:start w:w="120" w:type="dxa"/>
              <w:bottom w:w="120" w:type="dxa"/>
              <w:end w:w="120" w:type="dxa"/>
            </w:tcMar>
            <w:vAlign w:val="center"/>
          </w:tcPr>
          <w:p>
            <w:r>
              <w:rPr>
                <w:color w:val="142A42"/>
                <w:sz w:val="16"/>
              </w:rPr>
              <w:t>Content + dev</w:t>
            </w:r>
          </w:p>
        </w:tc>
        <w:tc>
          <w:tcPr>
            <w:tcW w:type="dxa" w:w="1944"/>
            <w:tcMar>
              <w:top w:w="120" w:type="dxa"/>
              <w:start w:w="120" w:type="dxa"/>
              <w:bottom w:w="120" w:type="dxa"/>
              <w:end w:w="120" w:type="dxa"/>
            </w:tcMar>
            <w:vAlign w:val="center"/>
          </w:tcPr>
          <w:p>
            <w:r>
              <w:rPr>
                <w:color w:val="142A42"/>
                <w:sz w:val="16"/>
              </w:rPr>
              <w:t>SimpliCreative</w:t>
            </w:r>
          </w:p>
        </w:tc>
      </w:tr>
      <w:tr>
        <w:tc>
          <w:tcPr>
            <w:tcW w:type="dxa" w:w="1944"/>
            <w:tcMar>
              <w:top w:w="120" w:type="dxa"/>
              <w:start w:w="120" w:type="dxa"/>
              <w:bottom w:w="120" w:type="dxa"/>
              <w:end w:w="120" w:type="dxa"/>
            </w:tcMar>
            <w:vAlign w:val="center"/>
          </w:tcPr>
          <w:p>
            <w:r>
              <w:rPr>
                <w:color w:val="142A42"/>
                <w:sz w:val="16"/>
              </w:rPr>
              <w:t>Measurement</w:t>
            </w:r>
          </w:p>
        </w:tc>
        <w:tc>
          <w:tcPr>
            <w:tcW w:type="dxa" w:w="4752"/>
            <w:tcMar>
              <w:top w:w="120" w:type="dxa"/>
              <w:start w:w="120" w:type="dxa"/>
              <w:bottom w:w="120" w:type="dxa"/>
              <w:end w:w="120" w:type="dxa"/>
            </w:tcMar>
            <w:vAlign w:val="center"/>
          </w:tcPr>
          <w:p>
            <w:r>
              <w:rPr>
                <w:color w:val="142A42"/>
                <w:sz w:val="16"/>
              </w:rPr>
              <w:t>GTM events, GA4 key events, CRM field mapping, reporting requirements</w:t>
            </w:r>
          </w:p>
        </w:tc>
        <w:tc>
          <w:tcPr>
            <w:tcW w:type="dxa" w:w="2448"/>
            <w:tcMar>
              <w:top w:w="120" w:type="dxa"/>
              <w:start w:w="120" w:type="dxa"/>
              <w:bottom w:w="120" w:type="dxa"/>
              <w:end w:w="120" w:type="dxa"/>
            </w:tcMar>
            <w:vAlign w:val="center"/>
          </w:tcPr>
          <w:p>
            <w:r>
              <w:rPr>
                <w:color w:val="142A42"/>
                <w:sz w:val="16"/>
              </w:rPr>
              <w:t>Forms + CRM definitions</w:t>
            </w:r>
          </w:p>
        </w:tc>
        <w:tc>
          <w:tcPr>
            <w:tcW w:type="dxa" w:w="1944"/>
            <w:tcMar>
              <w:top w:w="120" w:type="dxa"/>
              <w:start w:w="120" w:type="dxa"/>
              <w:bottom w:w="120" w:type="dxa"/>
              <w:end w:w="120" w:type="dxa"/>
            </w:tcMar>
            <w:vAlign w:val="center"/>
          </w:tcPr>
          <w:p>
            <w:r>
              <w:rPr>
                <w:color w:val="142A42"/>
                <w:sz w:val="16"/>
              </w:rPr>
              <w:t>SimpliCreative + NuVue</w:t>
            </w:r>
          </w:p>
        </w:tc>
      </w:tr>
      <w:tr>
        <w:tc>
          <w:tcPr>
            <w:tcW w:type="dxa" w:w="1944"/>
            <w:tcMar>
              <w:top w:w="120" w:type="dxa"/>
              <w:start w:w="120" w:type="dxa"/>
              <w:bottom w:w="120" w:type="dxa"/>
              <w:end w:w="120" w:type="dxa"/>
            </w:tcMar>
            <w:vAlign w:val="center"/>
          </w:tcPr>
          <w:p>
            <w:r>
              <w:rPr>
                <w:color w:val="142A42"/>
                <w:sz w:val="16"/>
              </w:rPr>
              <w:t>QA / Accessibility</w:t>
            </w:r>
          </w:p>
        </w:tc>
        <w:tc>
          <w:tcPr>
            <w:tcW w:type="dxa" w:w="4752"/>
            <w:tcMar>
              <w:top w:w="120" w:type="dxa"/>
              <w:start w:w="120" w:type="dxa"/>
              <w:bottom w:w="120" w:type="dxa"/>
              <w:end w:w="120" w:type="dxa"/>
            </w:tcMar>
            <w:vAlign w:val="center"/>
          </w:tcPr>
          <w:p>
            <w:r>
              <w:rPr>
                <w:color w:val="142A42"/>
                <w:sz w:val="16"/>
              </w:rPr>
              <w:t>Functional, responsive, browser and accessibility validation</w:t>
            </w:r>
          </w:p>
        </w:tc>
        <w:tc>
          <w:tcPr>
            <w:tcW w:type="dxa" w:w="2448"/>
            <w:tcMar>
              <w:top w:w="120" w:type="dxa"/>
              <w:start w:w="120" w:type="dxa"/>
              <w:bottom w:w="120" w:type="dxa"/>
              <w:end w:w="120" w:type="dxa"/>
            </w:tcMar>
            <w:vAlign w:val="center"/>
          </w:tcPr>
          <w:p>
            <w:r>
              <w:rPr>
                <w:color w:val="142A42"/>
                <w:sz w:val="16"/>
              </w:rPr>
              <w:t>Staging complete</w:t>
            </w:r>
          </w:p>
        </w:tc>
        <w:tc>
          <w:tcPr>
            <w:tcW w:type="dxa" w:w="1944"/>
            <w:tcMar>
              <w:top w:w="120" w:type="dxa"/>
              <w:start w:w="120" w:type="dxa"/>
              <w:bottom w:w="120" w:type="dxa"/>
              <w:end w:w="120" w:type="dxa"/>
            </w:tcMar>
            <w:vAlign w:val="center"/>
          </w:tcPr>
          <w:p>
            <w:r>
              <w:rPr>
                <w:color w:val="142A42"/>
                <w:sz w:val="16"/>
              </w:rPr>
              <w:t>SimpliCreative</w:t>
            </w:r>
          </w:p>
        </w:tc>
      </w:tr>
    </w:tbl>
    <w:p>
      <w:pPr>
        <w:spacing w:after="40"/>
      </w:pPr>
    </w:p>
    <w:p>
      <w:pPr>
        <w:pStyle w:val="Heading1"/>
      </w:pPr>
      <w:r>
        <w:t>17. Recommended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shd w:fill="14324A"/>
            <w:tcMar>
              <w:top w:w="120" w:type="dxa"/>
              <w:start w:w="120" w:type="dxa"/>
              <w:bottom w:w="120" w:type="dxa"/>
              <w:end w:w="120" w:type="dxa"/>
            </w:tcMar>
            <w:vAlign w:val="center"/>
          </w:tcPr>
          <w:p>
            <w:pPr>
              <w:jc w:val="left"/>
            </w:pPr>
            <w:r>
              <w:rPr>
                <w:b/>
                <w:color w:val="FFFFFF"/>
                <w:sz w:val="17"/>
              </w:rPr>
              <w:t>Phase</w:t>
            </w:r>
          </w:p>
        </w:tc>
        <w:tc>
          <w:tcPr>
            <w:tcW w:type="dxa" w:w="1584"/>
            <w:shd w:fill="14324A"/>
            <w:tcMar>
              <w:top w:w="120" w:type="dxa"/>
              <w:start w:w="120" w:type="dxa"/>
              <w:bottom w:w="120" w:type="dxa"/>
              <w:end w:w="120" w:type="dxa"/>
            </w:tcMar>
            <w:vAlign w:val="center"/>
          </w:tcPr>
          <w:p>
            <w:pPr>
              <w:jc w:val="left"/>
            </w:pPr>
            <w:r>
              <w:rPr>
                <w:b/>
                <w:color w:val="FFFFFF"/>
                <w:sz w:val="17"/>
              </w:rPr>
              <w:t>Timing</w:t>
            </w:r>
          </w:p>
        </w:tc>
        <w:tc>
          <w:tcPr>
            <w:tcW w:type="dxa" w:w="5184"/>
            <w:shd w:fill="14324A"/>
            <w:tcMar>
              <w:top w:w="120" w:type="dxa"/>
              <w:start w:w="120" w:type="dxa"/>
              <w:bottom w:w="120" w:type="dxa"/>
              <w:end w:w="120" w:type="dxa"/>
            </w:tcMar>
            <w:vAlign w:val="center"/>
          </w:tcPr>
          <w:p>
            <w:pPr>
              <w:jc w:val="left"/>
            </w:pPr>
            <w:r>
              <w:rPr>
                <w:b/>
                <w:color w:val="FFFFFF"/>
                <w:sz w:val="17"/>
              </w:rPr>
              <w:t>Primary Outputs</w:t>
            </w:r>
          </w:p>
        </w:tc>
        <w:tc>
          <w:tcPr>
            <w:tcW w:type="dxa" w:w="2160"/>
            <w:shd w:fill="14324A"/>
            <w:tcMar>
              <w:top w:w="120" w:type="dxa"/>
              <w:start w:w="120" w:type="dxa"/>
              <w:bottom w:w="120" w:type="dxa"/>
              <w:end w:w="120" w:type="dxa"/>
            </w:tcMar>
            <w:vAlign w:val="center"/>
          </w:tcPr>
          <w:p>
            <w:pPr>
              <w:jc w:val="left"/>
            </w:pPr>
            <w:r>
              <w:rPr>
                <w:b/>
                <w:color w:val="FFFFFF"/>
                <w:sz w:val="17"/>
              </w:rPr>
              <w:t>Decision Gate</w:t>
            </w:r>
          </w:p>
        </w:tc>
      </w:tr>
      <w:tr>
        <w:tc>
          <w:tcPr>
            <w:tcW w:type="dxa" w:w="1872"/>
            <w:tcMar>
              <w:top w:w="120" w:type="dxa"/>
              <w:start w:w="120" w:type="dxa"/>
              <w:bottom w:w="120" w:type="dxa"/>
              <w:end w:w="120" w:type="dxa"/>
            </w:tcMar>
            <w:vAlign w:val="center"/>
          </w:tcPr>
          <w:p>
            <w:r>
              <w:rPr>
                <w:color w:val="142A42"/>
                <w:sz w:val="17"/>
              </w:rPr>
              <w:t>1. Align</w:t>
            </w:r>
          </w:p>
        </w:tc>
        <w:tc>
          <w:tcPr>
            <w:tcW w:type="dxa" w:w="1584"/>
            <w:tcMar>
              <w:top w:w="120" w:type="dxa"/>
              <w:start w:w="120" w:type="dxa"/>
              <w:bottom w:w="120" w:type="dxa"/>
              <w:end w:w="120" w:type="dxa"/>
            </w:tcMar>
            <w:vAlign w:val="center"/>
          </w:tcPr>
          <w:p>
            <w:r>
              <w:rPr>
                <w:color w:val="142A42"/>
                <w:sz w:val="17"/>
              </w:rPr>
              <w:t>Weeks 1-2</w:t>
            </w:r>
          </w:p>
        </w:tc>
        <w:tc>
          <w:tcPr>
            <w:tcW w:type="dxa" w:w="5184"/>
            <w:tcMar>
              <w:top w:w="120" w:type="dxa"/>
              <w:start w:w="120" w:type="dxa"/>
              <w:bottom w:w="120" w:type="dxa"/>
              <w:end w:w="120" w:type="dxa"/>
            </w:tcMar>
            <w:vAlign w:val="center"/>
          </w:tcPr>
          <w:p>
            <w:r>
              <w:rPr>
                <w:color w:val="142A42"/>
                <w:sz w:val="17"/>
              </w:rPr>
              <w:t>Messaging, priority offers, buyer architecture, sitemap</w:t>
            </w:r>
          </w:p>
        </w:tc>
        <w:tc>
          <w:tcPr>
            <w:tcW w:type="dxa" w:w="2160"/>
            <w:tcMar>
              <w:top w:w="120" w:type="dxa"/>
              <w:start w:w="120" w:type="dxa"/>
              <w:bottom w:w="120" w:type="dxa"/>
              <w:end w:w="120" w:type="dxa"/>
            </w:tcMar>
            <w:vAlign w:val="center"/>
          </w:tcPr>
          <w:p>
            <w:r>
              <w:rPr>
                <w:color w:val="142A42"/>
                <w:sz w:val="17"/>
              </w:rPr>
              <w:t>Approve strategic foundation</w:t>
            </w:r>
          </w:p>
        </w:tc>
      </w:tr>
      <w:tr>
        <w:tc>
          <w:tcPr>
            <w:tcW w:type="dxa" w:w="1872"/>
            <w:tcMar>
              <w:top w:w="120" w:type="dxa"/>
              <w:start w:w="120" w:type="dxa"/>
              <w:bottom w:w="120" w:type="dxa"/>
              <w:end w:w="120" w:type="dxa"/>
            </w:tcMar>
            <w:vAlign w:val="center"/>
          </w:tcPr>
          <w:p>
            <w:r>
              <w:rPr>
                <w:color w:val="142A42"/>
                <w:sz w:val="17"/>
              </w:rPr>
              <w:t>2. Specify</w:t>
            </w:r>
          </w:p>
        </w:tc>
        <w:tc>
          <w:tcPr>
            <w:tcW w:type="dxa" w:w="1584"/>
            <w:tcMar>
              <w:top w:w="120" w:type="dxa"/>
              <w:start w:w="120" w:type="dxa"/>
              <w:bottom w:w="120" w:type="dxa"/>
              <w:end w:w="120" w:type="dxa"/>
            </w:tcMar>
            <w:vAlign w:val="center"/>
          </w:tcPr>
          <w:p>
            <w:r>
              <w:rPr>
                <w:color w:val="142A42"/>
                <w:sz w:val="17"/>
              </w:rPr>
              <w:t>Weeks 2-4</w:t>
            </w:r>
          </w:p>
        </w:tc>
        <w:tc>
          <w:tcPr>
            <w:tcW w:type="dxa" w:w="5184"/>
            <w:tcMar>
              <w:top w:w="120" w:type="dxa"/>
              <w:start w:w="120" w:type="dxa"/>
              <w:bottom w:w="120" w:type="dxa"/>
              <w:end w:w="120" w:type="dxa"/>
            </w:tcMar>
            <w:vAlign w:val="center"/>
          </w:tcPr>
          <w:p>
            <w:r>
              <w:rPr>
                <w:color w:val="142A42"/>
                <w:sz w:val="17"/>
              </w:rPr>
              <w:t>Page requirements, content briefs, proof plan, measurement requirements</w:t>
            </w:r>
          </w:p>
        </w:tc>
        <w:tc>
          <w:tcPr>
            <w:tcW w:type="dxa" w:w="2160"/>
            <w:tcMar>
              <w:top w:w="120" w:type="dxa"/>
              <w:start w:w="120" w:type="dxa"/>
              <w:bottom w:w="120" w:type="dxa"/>
              <w:end w:w="120" w:type="dxa"/>
            </w:tcMar>
            <w:vAlign w:val="center"/>
          </w:tcPr>
          <w:p>
            <w:r>
              <w:rPr>
                <w:color w:val="142A42"/>
                <w:sz w:val="17"/>
              </w:rPr>
              <w:t>Approve implementation spec</w:t>
            </w:r>
          </w:p>
        </w:tc>
      </w:tr>
      <w:tr>
        <w:tc>
          <w:tcPr>
            <w:tcW w:type="dxa" w:w="1872"/>
            <w:tcMar>
              <w:top w:w="120" w:type="dxa"/>
              <w:start w:w="120" w:type="dxa"/>
              <w:bottom w:w="120" w:type="dxa"/>
              <w:end w:w="120" w:type="dxa"/>
            </w:tcMar>
            <w:vAlign w:val="center"/>
          </w:tcPr>
          <w:p>
            <w:r>
              <w:rPr>
                <w:color w:val="142A42"/>
                <w:sz w:val="17"/>
              </w:rPr>
              <w:t>3. Design</w:t>
            </w:r>
          </w:p>
        </w:tc>
        <w:tc>
          <w:tcPr>
            <w:tcW w:type="dxa" w:w="1584"/>
            <w:tcMar>
              <w:top w:w="120" w:type="dxa"/>
              <w:start w:w="120" w:type="dxa"/>
              <w:bottom w:w="120" w:type="dxa"/>
              <w:end w:w="120" w:type="dxa"/>
            </w:tcMar>
            <w:vAlign w:val="center"/>
          </w:tcPr>
          <w:p>
            <w:r>
              <w:rPr>
                <w:color w:val="142A42"/>
                <w:sz w:val="17"/>
              </w:rPr>
              <w:t>Weeks 4-6</w:t>
            </w:r>
          </w:p>
        </w:tc>
        <w:tc>
          <w:tcPr>
            <w:tcW w:type="dxa" w:w="5184"/>
            <w:tcMar>
              <w:top w:w="120" w:type="dxa"/>
              <w:start w:w="120" w:type="dxa"/>
              <w:bottom w:w="120" w:type="dxa"/>
              <w:end w:w="120" w:type="dxa"/>
            </w:tcMar>
            <w:vAlign w:val="center"/>
          </w:tcPr>
          <w:p>
            <w:r>
              <w:rPr>
                <w:color w:val="142A42"/>
                <w:sz w:val="17"/>
              </w:rPr>
              <w:t>Homepage + priority templates + component system</w:t>
            </w:r>
          </w:p>
        </w:tc>
        <w:tc>
          <w:tcPr>
            <w:tcW w:type="dxa" w:w="2160"/>
            <w:tcMar>
              <w:top w:w="120" w:type="dxa"/>
              <w:start w:w="120" w:type="dxa"/>
              <w:bottom w:w="120" w:type="dxa"/>
              <w:end w:w="120" w:type="dxa"/>
            </w:tcMar>
            <w:vAlign w:val="center"/>
          </w:tcPr>
          <w:p>
            <w:r>
              <w:rPr>
                <w:color w:val="142A42"/>
                <w:sz w:val="17"/>
              </w:rPr>
              <w:t>Approve design direction</w:t>
            </w:r>
          </w:p>
        </w:tc>
      </w:tr>
      <w:tr>
        <w:tc>
          <w:tcPr>
            <w:tcW w:type="dxa" w:w="1872"/>
            <w:tcMar>
              <w:top w:w="120" w:type="dxa"/>
              <w:start w:w="120" w:type="dxa"/>
              <w:bottom w:w="120" w:type="dxa"/>
              <w:end w:w="120" w:type="dxa"/>
            </w:tcMar>
            <w:vAlign w:val="center"/>
          </w:tcPr>
          <w:p>
            <w:r>
              <w:rPr>
                <w:color w:val="142A42"/>
                <w:sz w:val="17"/>
              </w:rPr>
              <w:t>4. Build</w:t>
            </w:r>
          </w:p>
        </w:tc>
        <w:tc>
          <w:tcPr>
            <w:tcW w:type="dxa" w:w="1584"/>
            <w:tcMar>
              <w:top w:w="120" w:type="dxa"/>
              <w:start w:w="120" w:type="dxa"/>
              <w:bottom w:w="120" w:type="dxa"/>
              <w:end w:w="120" w:type="dxa"/>
            </w:tcMar>
            <w:vAlign w:val="center"/>
          </w:tcPr>
          <w:p>
            <w:r>
              <w:rPr>
                <w:color w:val="142A42"/>
                <w:sz w:val="17"/>
              </w:rPr>
              <w:t>Weeks 6-9</w:t>
            </w:r>
          </w:p>
        </w:tc>
        <w:tc>
          <w:tcPr>
            <w:tcW w:type="dxa" w:w="5184"/>
            <w:tcMar>
              <w:top w:w="120" w:type="dxa"/>
              <w:start w:w="120" w:type="dxa"/>
              <w:bottom w:w="120" w:type="dxa"/>
              <w:end w:w="120" w:type="dxa"/>
            </w:tcMar>
            <w:vAlign w:val="center"/>
          </w:tcPr>
          <w:p>
            <w:r>
              <w:rPr>
                <w:color w:val="142A42"/>
                <w:sz w:val="17"/>
              </w:rPr>
              <w:t>WordPress staging build, content implementation, forms, integrations</w:t>
            </w:r>
          </w:p>
        </w:tc>
        <w:tc>
          <w:tcPr>
            <w:tcW w:type="dxa" w:w="2160"/>
            <w:tcMar>
              <w:top w:w="120" w:type="dxa"/>
              <w:start w:w="120" w:type="dxa"/>
              <w:bottom w:w="120" w:type="dxa"/>
              <w:end w:w="120" w:type="dxa"/>
            </w:tcMar>
            <w:vAlign w:val="center"/>
          </w:tcPr>
          <w:p>
            <w:r>
              <w:rPr>
                <w:color w:val="142A42"/>
                <w:sz w:val="17"/>
              </w:rPr>
              <w:t>Functional review</w:t>
            </w:r>
          </w:p>
        </w:tc>
      </w:tr>
      <w:tr>
        <w:tc>
          <w:tcPr>
            <w:tcW w:type="dxa" w:w="1872"/>
            <w:tcMar>
              <w:top w:w="120" w:type="dxa"/>
              <w:start w:w="120" w:type="dxa"/>
              <w:bottom w:w="120" w:type="dxa"/>
              <w:end w:w="120" w:type="dxa"/>
            </w:tcMar>
            <w:vAlign w:val="center"/>
          </w:tcPr>
          <w:p>
            <w:r>
              <w:rPr>
                <w:color w:val="142A42"/>
                <w:sz w:val="17"/>
              </w:rPr>
              <w:t>5. Optimize</w:t>
            </w:r>
          </w:p>
        </w:tc>
        <w:tc>
          <w:tcPr>
            <w:tcW w:type="dxa" w:w="1584"/>
            <w:tcMar>
              <w:top w:w="120" w:type="dxa"/>
              <w:start w:w="120" w:type="dxa"/>
              <w:bottom w:w="120" w:type="dxa"/>
              <w:end w:w="120" w:type="dxa"/>
            </w:tcMar>
            <w:vAlign w:val="center"/>
          </w:tcPr>
          <w:p>
            <w:r>
              <w:rPr>
                <w:color w:val="142A42"/>
                <w:sz w:val="17"/>
              </w:rPr>
              <w:t>Weeks 8-10</w:t>
            </w:r>
          </w:p>
        </w:tc>
        <w:tc>
          <w:tcPr>
            <w:tcW w:type="dxa" w:w="5184"/>
            <w:tcMar>
              <w:top w:w="120" w:type="dxa"/>
              <w:start w:w="120" w:type="dxa"/>
              <w:bottom w:w="120" w:type="dxa"/>
              <w:end w:w="120" w:type="dxa"/>
            </w:tcMar>
            <w:vAlign w:val="center"/>
          </w:tcPr>
          <w:p>
            <w:r>
              <w:rPr>
                <w:color w:val="142A42"/>
                <w:sz w:val="17"/>
              </w:rPr>
              <w:t>SEO/AEO implementation, analytics, CRM routing, redirects</w:t>
            </w:r>
          </w:p>
        </w:tc>
        <w:tc>
          <w:tcPr>
            <w:tcW w:type="dxa" w:w="2160"/>
            <w:tcMar>
              <w:top w:w="120" w:type="dxa"/>
              <w:start w:w="120" w:type="dxa"/>
              <w:bottom w:w="120" w:type="dxa"/>
              <w:end w:w="120" w:type="dxa"/>
            </w:tcMar>
            <w:vAlign w:val="center"/>
          </w:tcPr>
          <w:p>
            <w:r>
              <w:rPr>
                <w:color w:val="142A42"/>
                <w:sz w:val="17"/>
              </w:rPr>
              <w:t>Data/visibility review</w:t>
            </w:r>
          </w:p>
        </w:tc>
      </w:tr>
      <w:tr>
        <w:tc>
          <w:tcPr>
            <w:tcW w:type="dxa" w:w="1872"/>
            <w:tcMar>
              <w:top w:w="120" w:type="dxa"/>
              <w:start w:w="120" w:type="dxa"/>
              <w:bottom w:w="120" w:type="dxa"/>
              <w:end w:w="120" w:type="dxa"/>
            </w:tcMar>
            <w:vAlign w:val="center"/>
          </w:tcPr>
          <w:p>
            <w:r>
              <w:rPr>
                <w:color w:val="142A42"/>
                <w:sz w:val="17"/>
              </w:rPr>
              <w:t>6. Validate &amp; Launch</w:t>
            </w:r>
          </w:p>
        </w:tc>
        <w:tc>
          <w:tcPr>
            <w:tcW w:type="dxa" w:w="1584"/>
            <w:tcMar>
              <w:top w:w="120" w:type="dxa"/>
              <w:start w:w="120" w:type="dxa"/>
              <w:bottom w:w="120" w:type="dxa"/>
              <w:end w:w="120" w:type="dxa"/>
            </w:tcMar>
            <w:vAlign w:val="center"/>
          </w:tcPr>
          <w:p>
            <w:r>
              <w:rPr>
                <w:color w:val="142A42"/>
                <w:sz w:val="17"/>
              </w:rPr>
              <w:t>Weeks 10-12</w:t>
            </w:r>
          </w:p>
        </w:tc>
        <w:tc>
          <w:tcPr>
            <w:tcW w:type="dxa" w:w="5184"/>
            <w:tcMar>
              <w:top w:w="120" w:type="dxa"/>
              <w:start w:w="120" w:type="dxa"/>
              <w:bottom w:w="120" w:type="dxa"/>
              <w:end w:w="120" w:type="dxa"/>
            </w:tcMar>
            <w:vAlign w:val="center"/>
          </w:tcPr>
          <w:p>
            <w:r>
              <w:rPr>
                <w:color w:val="142A42"/>
                <w:sz w:val="17"/>
              </w:rPr>
              <w:t>QA, accessibility review, training, launch, baseline reporting</w:t>
            </w:r>
          </w:p>
        </w:tc>
        <w:tc>
          <w:tcPr>
            <w:tcW w:type="dxa" w:w="2160"/>
            <w:tcMar>
              <w:top w:w="120" w:type="dxa"/>
              <w:start w:w="120" w:type="dxa"/>
              <w:bottom w:w="120" w:type="dxa"/>
              <w:end w:w="120" w:type="dxa"/>
            </w:tcMar>
            <w:vAlign w:val="center"/>
          </w:tcPr>
          <w:p>
            <w:r>
              <w:rPr>
                <w:color w:val="142A42"/>
                <w:sz w:val="17"/>
              </w:rPr>
              <w:t>Launch approval</w:t>
            </w:r>
          </w:p>
        </w:tc>
      </w:tr>
    </w:tbl>
    <w:p>
      <w:pPr>
        <w:spacing w:after="40"/>
      </w:pPr>
    </w:p>
    <w:p>
      <w:pPr>
        <w:pStyle w:val="Heading1"/>
      </w:pPr>
      <w:r>
        <w:t>18. Dependencies &amp; Risks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shd w:fill="14324A"/>
            <w:tcMar>
              <w:top w:w="120" w:type="dxa"/>
              <w:start w:w="120" w:type="dxa"/>
              <w:bottom w:w="120" w:type="dxa"/>
              <w:end w:w="120" w:type="dxa"/>
            </w:tcMar>
            <w:vAlign w:val="center"/>
          </w:tcPr>
          <w:p>
            <w:pPr>
              <w:jc w:val="left"/>
            </w:pPr>
            <w:r>
              <w:rPr>
                <w:b/>
                <w:color w:val="FFFFFF"/>
                <w:sz w:val="16"/>
              </w:rPr>
              <w:t>Dependency / Risk</w:t>
            </w:r>
          </w:p>
        </w:tc>
        <w:tc>
          <w:tcPr>
            <w:tcW w:type="dxa" w:w="3456"/>
            <w:shd w:fill="14324A"/>
            <w:tcMar>
              <w:top w:w="120" w:type="dxa"/>
              <w:start w:w="120" w:type="dxa"/>
              <w:bottom w:w="120" w:type="dxa"/>
              <w:end w:w="120" w:type="dxa"/>
            </w:tcMar>
            <w:vAlign w:val="center"/>
          </w:tcPr>
          <w:p>
            <w:pPr>
              <w:jc w:val="left"/>
            </w:pPr>
            <w:r>
              <w:rPr>
                <w:b/>
                <w:color w:val="FFFFFF"/>
                <w:sz w:val="16"/>
              </w:rPr>
              <w:t>Why It Matters</w:t>
            </w:r>
          </w:p>
        </w:tc>
        <w:tc>
          <w:tcPr>
            <w:tcW w:type="dxa" w:w="3456"/>
            <w:shd w:fill="14324A"/>
            <w:tcMar>
              <w:top w:w="120" w:type="dxa"/>
              <w:start w:w="120" w:type="dxa"/>
              <w:bottom w:w="120" w:type="dxa"/>
              <w:end w:w="120" w:type="dxa"/>
            </w:tcMar>
            <w:vAlign w:val="center"/>
          </w:tcPr>
          <w:p>
            <w:pPr>
              <w:jc w:val="left"/>
            </w:pPr>
            <w:r>
              <w:rPr>
                <w:b/>
                <w:color w:val="FFFFFF"/>
                <w:sz w:val="16"/>
              </w:rPr>
              <w:t>Mitigation</w:t>
            </w:r>
          </w:p>
        </w:tc>
      </w:tr>
      <w:tr>
        <w:tc>
          <w:tcPr>
            <w:tcW w:type="dxa" w:w="3168"/>
            <w:tcMar>
              <w:top w:w="120" w:type="dxa"/>
              <w:start w:w="120" w:type="dxa"/>
              <w:bottom w:w="120" w:type="dxa"/>
              <w:end w:w="120" w:type="dxa"/>
            </w:tcMar>
            <w:vAlign w:val="center"/>
          </w:tcPr>
          <w:p>
            <w:r>
              <w:rPr>
                <w:color w:val="142A42"/>
                <w:sz w:val="16"/>
              </w:rPr>
              <w:t>Corporate ICP priority not fully validated by CRM revenue/pipeline data</w:t>
            </w:r>
          </w:p>
        </w:tc>
        <w:tc>
          <w:tcPr>
            <w:tcW w:type="dxa" w:w="3456"/>
            <w:tcMar>
              <w:top w:w="120" w:type="dxa"/>
              <w:start w:w="120" w:type="dxa"/>
              <w:bottom w:w="120" w:type="dxa"/>
              <w:end w:w="120" w:type="dxa"/>
            </w:tcMar>
            <w:vAlign w:val="center"/>
          </w:tcPr>
          <w:p>
            <w:r>
              <w:rPr>
                <w:color w:val="142A42"/>
                <w:sz w:val="16"/>
              </w:rPr>
              <w:t>Could over-prioritize the wrong buyer.</w:t>
            </w:r>
          </w:p>
        </w:tc>
        <w:tc>
          <w:tcPr>
            <w:tcW w:type="dxa" w:w="3456"/>
            <w:tcMar>
              <w:top w:w="120" w:type="dxa"/>
              <w:start w:w="120" w:type="dxa"/>
              <w:bottom w:w="120" w:type="dxa"/>
              <w:end w:w="120" w:type="dxa"/>
            </w:tcMar>
            <w:vAlign w:val="center"/>
          </w:tcPr>
          <w:p>
            <w:r>
              <w:rPr>
                <w:color w:val="142A42"/>
                <w:sz w:val="16"/>
              </w:rPr>
              <w:t>Validate revenue, opportunity and average engagement data before final IA approval.</w:t>
            </w:r>
          </w:p>
        </w:tc>
      </w:tr>
      <w:tr>
        <w:tc>
          <w:tcPr>
            <w:tcW w:type="dxa" w:w="3168"/>
            <w:tcMar>
              <w:top w:w="120" w:type="dxa"/>
              <w:start w:w="120" w:type="dxa"/>
              <w:bottom w:w="120" w:type="dxa"/>
              <w:end w:w="120" w:type="dxa"/>
            </w:tcMar>
            <w:vAlign w:val="center"/>
          </w:tcPr>
          <w:p>
            <w:r>
              <w:rPr>
                <w:color w:val="142A42"/>
                <w:sz w:val="16"/>
              </w:rPr>
              <w:t>ROI claims require substantiation</w:t>
            </w:r>
          </w:p>
        </w:tc>
        <w:tc>
          <w:tcPr>
            <w:tcW w:type="dxa" w:w="3456"/>
            <w:tcMar>
              <w:top w:w="120" w:type="dxa"/>
              <w:start w:w="120" w:type="dxa"/>
              <w:bottom w:w="120" w:type="dxa"/>
              <w:end w:w="120" w:type="dxa"/>
            </w:tcMar>
            <w:vAlign w:val="center"/>
          </w:tcPr>
          <w:p>
            <w:r>
              <w:rPr>
                <w:color w:val="142A42"/>
                <w:sz w:val="16"/>
              </w:rPr>
              <w:t>Unverified claims create credibility and compliance risk.</w:t>
            </w:r>
          </w:p>
        </w:tc>
        <w:tc>
          <w:tcPr>
            <w:tcW w:type="dxa" w:w="3456"/>
            <w:tcMar>
              <w:top w:w="120" w:type="dxa"/>
              <w:start w:w="120" w:type="dxa"/>
              <w:bottom w:w="120" w:type="dxa"/>
              <w:end w:w="120" w:type="dxa"/>
            </w:tcMar>
            <w:vAlign w:val="center"/>
          </w:tcPr>
          <w:p>
            <w:r>
              <w:rPr>
                <w:color w:val="142A42"/>
                <w:sz w:val="16"/>
              </w:rPr>
              <w:t>Document source, calculation and permission for each claim.</w:t>
            </w:r>
          </w:p>
        </w:tc>
      </w:tr>
      <w:tr>
        <w:tc>
          <w:tcPr>
            <w:tcW w:type="dxa" w:w="3168"/>
            <w:tcMar>
              <w:top w:w="120" w:type="dxa"/>
              <w:start w:w="120" w:type="dxa"/>
              <w:bottom w:w="120" w:type="dxa"/>
              <w:end w:w="120" w:type="dxa"/>
            </w:tcMar>
            <w:vAlign w:val="center"/>
          </w:tcPr>
          <w:p>
            <w:r>
              <w:rPr>
                <w:color w:val="142A42"/>
                <w:sz w:val="16"/>
              </w:rPr>
              <w:t>Guarantee positioning depends on eligibility conditions</w:t>
            </w:r>
          </w:p>
        </w:tc>
        <w:tc>
          <w:tcPr>
            <w:tcW w:type="dxa" w:w="3456"/>
            <w:tcMar>
              <w:top w:w="120" w:type="dxa"/>
              <w:start w:w="120" w:type="dxa"/>
              <w:bottom w:w="120" w:type="dxa"/>
              <w:end w:w="120" w:type="dxa"/>
            </w:tcMar>
            <w:vAlign w:val="center"/>
          </w:tcPr>
          <w:p>
            <w:r>
              <w:rPr>
                <w:color w:val="142A42"/>
                <w:sz w:val="16"/>
              </w:rPr>
              <w:t>Overpromising may attract poor-fit leads.</w:t>
            </w:r>
          </w:p>
        </w:tc>
        <w:tc>
          <w:tcPr>
            <w:tcW w:type="dxa" w:w="3456"/>
            <w:tcMar>
              <w:top w:w="120" w:type="dxa"/>
              <w:start w:w="120" w:type="dxa"/>
              <w:bottom w:w="120" w:type="dxa"/>
              <w:end w:w="120" w:type="dxa"/>
            </w:tcMar>
            <w:vAlign w:val="center"/>
          </w:tcPr>
          <w:p>
            <w:r>
              <w:rPr>
                <w:color w:val="142A42"/>
                <w:sz w:val="16"/>
              </w:rPr>
              <w:t>Publish clear qualification and terms; route to an application/consultation.</w:t>
            </w:r>
          </w:p>
        </w:tc>
      </w:tr>
      <w:tr>
        <w:tc>
          <w:tcPr>
            <w:tcW w:type="dxa" w:w="3168"/>
            <w:tcMar>
              <w:top w:w="120" w:type="dxa"/>
              <w:start w:w="120" w:type="dxa"/>
              <w:bottom w:w="120" w:type="dxa"/>
              <w:end w:w="120" w:type="dxa"/>
            </w:tcMar>
            <w:vAlign w:val="center"/>
          </w:tcPr>
          <w:p>
            <w:r>
              <w:rPr>
                <w:color w:val="142A42"/>
                <w:sz w:val="16"/>
              </w:rPr>
              <w:t>AEO findings require repeatable prompt testing</w:t>
            </w:r>
          </w:p>
        </w:tc>
        <w:tc>
          <w:tcPr>
            <w:tcW w:type="dxa" w:w="3456"/>
            <w:tcMar>
              <w:top w:w="120" w:type="dxa"/>
              <w:start w:w="120" w:type="dxa"/>
              <w:bottom w:w="120" w:type="dxa"/>
              <w:end w:w="120" w:type="dxa"/>
            </w:tcMar>
            <w:vAlign w:val="center"/>
          </w:tcPr>
          <w:p>
            <w:r>
              <w:rPr>
                <w:color w:val="142A42"/>
                <w:sz w:val="16"/>
              </w:rPr>
              <w:t>AI results vary by model, prompt and date.</w:t>
            </w:r>
          </w:p>
        </w:tc>
        <w:tc>
          <w:tcPr>
            <w:tcW w:type="dxa" w:w="3456"/>
            <w:tcMar>
              <w:top w:w="120" w:type="dxa"/>
              <w:start w:w="120" w:type="dxa"/>
              <w:bottom w:w="120" w:type="dxa"/>
              <w:end w:w="120" w:type="dxa"/>
            </w:tcMar>
            <w:vAlign w:val="center"/>
          </w:tcPr>
          <w:p>
            <w:r>
              <w:rPr>
                <w:color w:val="142A42"/>
                <w:sz w:val="16"/>
              </w:rPr>
              <w:t>Maintain dated prompt set, appearances, sources and recommendation attributes.</w:t>
            </w:r>
          </w:p>
        </w:tc>
      </w:tr>
      <w:tr>
        <w:tc>
          <w:tcPr>
            <w:tcW w:type="dxa" w:w="3168"/>
            <w:tcMar>
              <w:top w:w="120" w:type="dxa"/>
              <w:start w:w="120" w:type="dxa"/>
              <w:bottom w:w="120" w:type="dxa"/>
              <w:end w:w="120" w:type="dxa"/>
            </w:tcMar>
            <w:vAlign w:val="center"/>
          </w:tcPr>
          <w:p>
            <w:r>
              <w:rPr>
                <w:color w:val="142A42"/>
                <w:sz w:val="16"/>
              </w:rPr>
              <w:t>CRM attribution may be incomplete</w:t>
            </w:r>
          </w:p>
        </w:tc>
        <w:tc>
          <w:tcPr>
            <w:tcW w:type="dxa" w:w="3456"/>
            <w:tcMar>
              <w:top w:w="120" w:type="dxa"/>
              <w:start w:w="120" w:type="dxa"/>
              <w:bottom w:w="120" w:type="dxa"/>
              <w:end w:w="120" w:type="dxa"/>
            </w:tcMar>
            <w:vAlign w:val="center"/>
          </w:tcPr>
          <w:p>
            <w:r>
              <w:rPr>
                <w:color w:val="142A42"/>
                <w:sz w:val="16"/>
              </w:rPr>
              <w:t>Limits ability to prove marketing impact.</w:t>
            </w:r>
          </w:p>
        </w:tc>
        <w:tc>
          <w:tcPr>
            <w:tcW w:type="dxa" w:w="3456"/>
            <w:tcMar>
              <w:top w:w="120" w:type="dxa"/>
              <w:start w:w="120" w:type="dxa"/>
              <w:bottom w:w="120" w:type="dxa"/>
              <w:end w:w="120" w:type="dxa"/>
            </w:tcMar>
            <w:vAlign w:val="center"/>
          </w:tcPr>
          <w:p>
            <w:r>
              <w:rPr>
                <w:color w:val="142A42"/>
                <w:sz w:val="16"/>
              </w:rPr>
              <w:t>Document current source logic and repair data capture before setting attribution expectations.</w:t>
            </w:r>
          </w:p>
        </w:tc>
      </w:tr>
      <w:tr>
        <w:tc>
          <w:tcPr>
            <w:tcW w:type="dxa" w:w="3168"/>
            <w:tcMar>
              <w:top w:w="120" w:type="dxa"/>
              <w:start w:w="120" w:type="dxa"/>
              <w:bottom w:w="120" w:type="dxa"/>
              <w:end w:w="120" w:type="dxa"/>
            </w:tcMar>
            <w:vAlign w:val="center"/>
          </w:tcPr>
          <w:p>
            <w:r>
              <w:rPr>
                <w:color w:val="142A42"/>
                <w:sz w:val="16"/>
              </w:rPr>
              <w:t>Content production capacity</w:t>
            </w:r>
          </w:p>
        </w:tc>
        <w:tc>
          <w:tcPr>
            <w:tcW w:type="dxa" w:w="3456"/>
            <w:tcMar>
              <w:top w:w="120" w:type="dxa"/>
              <w:start w:w="120" w:type="dxa"/>
              <w:bottom w:w="120" w:type="dxa"/>
              <w:end w:w="120" w:type="dxa"/>
            </w:tcMar>
            <w:vAlign w:val="center"/>
          </w:tcPr>
          <w:p>
            <w:r>
              <w:rPr>
                <w:color w:val="142A42"/>
                <w:sz w:val="16"/>
              </w:rPr>
              <w:t>65-page implementation can stall if content decisions lag.</w:t>
            </w:r>
          </w:p>
        </w:tc>
        <w:tc>
          <w:tcPr>
            <w:tcW w:type="dxa" w:w="3456"/>
            <w:tcMar>
              <w:top w:w="120" w:type="dxa"/>
              <w:start w:w="120" w:type="dxa"/>
              <w:bottom w:w="120" w:type="dxa"/>
              <w:end w:w="120" w:type="dxa"/>
            </w:tcMar>
            <w:vAlign w:val="center"/>
          </w:tcPr>
          <w:p>
            <w:r>
              <w:rPr>
                <w:color w:val="142A42"/>
                <w:sz w:val="16"/>
              </w:rPr>
              <w:t>Prioritize core pages and stage lower-priority content.</w:t>
            </w:r>
          </w:p>
        </w:tc>
      </w:tr>
    </w:tbl>
    <w:p>
      <w:pPr>
        <w:spacing w:after="40"/>
      </w:pPr>
    </w:p>
    <w:p>
      <w:pPr>
        <w:pStyle w:val="Heading1"/>
      </w:pPr>
      <w:r>
        <w:t>19. Success Measures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4324A"/>
            <w:tcMar>
              <w:top w:w="120" w:type="dxa"/>
              <w:start w:w="120" w:type="dxa"/>
              <w:bottom w:w="120" w:type="dxa"/>
              <w:end w:w="120" w:type="dxa"/>
            </w:tcMar>
            <w:vAlign w:val="center"/>
          </w:tcPr>
          <w:p>
            <w:pPr>
              <w:jc w:val="left"/>
            </w:pPr>
            <w:r>
              <w:rPr>
                <w:b/>
                <w:color w:val="FFFFFF"/>
                <w:sz w:val="17"/>
              </w:rPr>
              <w:t>Horizon</w:t>
            </w:r>
          </w:p>
        </w:tc>
        <w:tc>
          <w:tcPr>
            <w:tcW w:type="dxa" w:w="5616"/>
            <w:shd w:fill="14324A"/>
            <w:tcMar>
              <w:top w:w="120" w:type="dxa"/>
              <w:start w:w="120" w:type="dxa"/>
              <w:bottom w:w="120" w:type="dxa"/>
              <w:end w:w="120" w:type="dxa"/>
            </w:tcMar>
            <w:vAlign w:val="center"/>
          </w:tcPr>
          <w:p>
            <w:pPr>
              <w:jc w:val="left"/>
            </w:pPr>
            <w:r>
              <w:rPr>
                <w:b/>
                <w:color w:val="FFFFFF"/>
                <w:sz w:val="17"/>
              </w:rPr>
              <w:t>What Good Looks Like</w:t>
            </w:r>
          </w:p>
        </w:tc>
        <w:tc>
          <w:tcPr>
            <w:tcW w:type="dxa" w:w="2736"/>
            <w:shd w:fill="14324A"/>
            <w:tcMar>
              <w:top w:w="120" w:type="dxa"/>
              <w:start w:w="120" w:type="dxa"/>
              <w:bottom w:w="120" w:type="dxa"/>
              <w:end w:w="120" w:type="dxa"/>
            </w:tcMar>
            <w:vAlign w:val="center"/>
          </w:tcPr>
          <w:p>
            <w:pPr>
              <w:jc w:val="left"/>
            </w:pPr>
            <w:r>
              <w:rPr>
                <w:b/>
                <w:color w:val="FFFFFF"/>
                <w:sz w:val="17"/>
              </w:rPr>
              <w:t>Evidence</w:t>
            </w:r>
          </w:p>
        </w:tc>
      </w:tr>
      <w:tr>
        <w:tc>
          <w:tcPr>
            <w:tcW w:type="dxa" w:w="1872"/>
            <w:tcMar>
              <w:top w:w="120" w:type="dxa"/>
              <w:start w:w="120" w:type="dxa"/>
              <w:bottom w:w="120" w:type="dxa"/>
              <w:end w:w="120" w:type="dxa"/>
            </w:tcMar>
            <w:vAlign w:val="center"/>
          </w:tcPr>
          <w:p>
            <w:r>
              <w:rPr>
                <w:color w:val="142A42"/>
                <w:sz w:val="17"/>
              </w:rPr>
              <w:t>Launch readiness</w:t>
            </w:r>
          </w:p>
        </w:tc>
        <w:tc>
          <w:tcPr>
            <w:tcW w:type="dxa" w:w="5616"/>
            <w:tcMar>
              <w:top w:w="120" w:type="dxa"/>
              <w:start w:w="120" w:type="dxa"/>
              <w:bottom w:w="120" w:type="dxa"/>
              <w:end w:w="120" w:type="dxa"/>
            </w:tcMar>
            <w:vAlign w:val="center"/>
          </w:tcPr>
          <w:p>
            <w:r>
              <w:rPr>
                <w:color w:val="142A42"/>
                <w:sz w:val="17"/>
              </w:rPr>
              <w:t>Core corporate and individual paths are implemented; priority proof and CTAs are present; measurement is functioning.</w:t>
            </w:r>
          </w:p>
        </w:tc>
        <w:tc>
          <w:tcPr>
            <w:tcW w:type="dxa" w:w="2736"/>
            <w:tcMar>
              <w:top w:w="120" w:type="dxa"/>
              <w:start w:w="120" w:type="dxa"/>
              <w:bottom w:w="120" w:type="dxa"/>
              <w:end w:w="120" w:type="dxa"/>
            </w:tcMar>
            <w:vAlign w:val="center"/>
          </w:tcPr>
          <w:p>
            <w:r>
              <w:rPr>
                <w:color w:val="142A42"/>
                <w:sz w:val="17"/>
              </w:rPr>
              <w:t>QA, tracking validation, stakeholder approval</w:t>
            </w:r>
          </w:p>
        </w:tc>
      </w:tr>
      <w:tr>
        <w:tc>
          <w:tcPr>
            <w:tcW w:type="dxa" w:w="1872"/>
            <w:tcMar>
              <w:top w:w="120" w:type="dxa"/>
              <w:start w:w="120" w:type="dxa"/>
              <w:bottom w:w="120" w:type="dxa"/>
              <w:end w:w="120" w:type="dxa"/>
            </w:tcMar>
            <w:vAlign w:val="center"/>
          </w:tcPr>
          <w:p>
            <w:r>
              <w:rPr>
                <w:color w:val="142A42"/>
                <w:sz w:val="17"/>
              </w:rPr>
              <w:t>90 days</w:t>
            </w:r>
          </w:p>
        </w:tc>
        <w:tc>
          <w:tcPr>
            <w:tcW w:type="dxa" w:w="5616"/>
            <w:tcMar>
              <w:top w:w="120" w:type="dxa"/>
              <w:start w:w="120" w:type="dxa"/>
              <w:bottom w:w="120" w:type="dxa"/>
              <w:end w:w="120" w:type="dxa"/>
            </w:tcMar>
            <w:vAlign w:val="center"/>
          </w:tcPr>
          <w:p>
            <w:r>
              <w:rPr>
                <w:color w:val="142A42"/>
                <w:sz w:val="17"/>
              </w:rPr>
              <w:t>Qualified visitors use the intended paths; consultation and seminar conversion baselines are reliable; GSC visibility starts to broaden.</w:t>
            </w:r>
          </w:p>
        </w:tc>
        <w:tc>
          <w:tcPr>
            <w:tcW w:type="dxa" w:w="2736"/>
            <w:tcMar>
              <w:top w:w="120" w:type="dxa"/>
              <w:start w:w="120" w:type="dxa"/>
              <w:bottom w:w="120" w:type="dxa"/>
              <w:end w:w="120" w:type="dxa"/>
            </w:tcMar>
            <w:vAlign w:val="center"/>
          </w:tcPr>
          <w:p>
            <w:r>
              <w:rPr>
                <w:color w:val="142A42"/>
                <w:sz w:val="17"/>
              </w:rPr>
              <w:t>GA4 + GSC + CRM</w:t>
            </w:r>
          </w:p>
        </w:tc>
      </w:tr>
      <w:tr>
        <w:tc>
          <w:tcPr>
            <w:tcW w:type="dxa" w:w="1872"/>
            <w:tcMar>
              <w:top w:w="120" w:type="dxa"/>
              <w:start w:w="120" w:type="dxa"/>
              <w:bottom w:w="120" w:type="dxa"/>
              <w:end w:w="120" w:type="dxa"/>
            </w:tcMar>
            <w:vAlign w:val="center"/>
          </w:tcPr>
          <w:p>
            <w:r>
              <w:rPr>
                <w:color w:val="142A42"/>
                <w:sz w:val="17"/>
              </w:rPr>
              <w:t>6 months</w:t>
            </w:r>
          </w:p>
        </w:tc>
        <w:tc>
          <w:tcPr>
            <w:tcW w:type="dxa" w:w="5616"/>
            <w:tcMar>
              <w:top w:w="120" w:type="dxa"/>
              <w:start w:w="120" w:type="dxa"/>
              <w:bottom w:w="120" w:type="dxa"/>
              <w:end w:w="120" w:type="dxa"/>
            </w:tcMar>
            <w:vAlign w:val="center"/>
          </w:tcPr>
          <w:p>
            <w:r>
              <w:rPr>
                <w:color w:val="142A42"/>
                <w:sz w:val="17"/>
              </w:rPr>
              <w:t>More relevant non-branded discovery, stronger engagement with corporate proof and solution pages, improved qualified conversion.</w:t>
            </w:r>
          </w:p>
        </w:tc>
        <w:tc>
          <w:tcPr>
            <w:tcW w:type="dxa" w:w="2736"/>
            <w:tcMar>
              <w:top w:w="120" w:type="dxa"/>
              <w:start w:w="120" w:type="dxa"/>
              <w:bottom w:w="120" w:type="dxa"/>
              <w:end w:w="120" w:type="dxa"/>
            </w:tcMar>
            <w:vAlign w:val="center"/>
          </w:tcPr>
          <w:p>
            <w:r>
              <w:rPr>
                <w:color w:val="142A42"/>
                <w:sz w:val="17"/>
              </w:rPr>
              <w:t>GA4 + GSC + CRM opportunity data</w:t>
            </w:r>
          </w:p>
        </w:tc>
      </w:tr>
      <w:tr>
        <w:tc>
          <w:tcPr>
            <w:tcW w:type="dxa" w:w="1872"/>
            <w:tcMar>
              <w:top w:w="120" w:type="dxa"/>
              <w:start w:w="120" w:type="dxa"/>
              <w:bottom w:w="120" w:type="dxa"/>
              <w:end w:w="120" w:type="dxa"/>
            </w:tcMar>
            <w:vAlign w:val="center"/>
          </w:tcPr>
          <w:p>
            <w:r>
              <w:rPr>
                <w:color w:val="142A42"/>
                <w:sz w:val="17"/>
              </w:rPr>
              <w:t>12 months</w:t>
            </w:r>
          </w:p>
        </w:tc>
        <w:tc>
          <w:tcPr>
            <w:tcW w:type="dxa" w:w="5616"/>
            <w:tcMar>
              <w:top w:w="120" w:type="dxa"/>
              <w:start w:w="120" w:type="dxa"/>
              <w:bottom w:w="120" w:type="dxa"/>
              <w:end w:w="120" w:type="dxa"/>
            </w:tcMar>
            <w:vAlign w:val="center"/>
          </w:tcPr>
          <w:p>
            <w:r>
              <w:rPr>
                <w:color w:val="142A42"/>
                <w:sz w:val="17"/>
              </w:rPr>
              <w:t>Leadership can see a defensible relationship between digital discovery, qualified demand and pipeline contribution.</w:t>
            </w:r>
          </w:p>
        </w:tc>
        <w:tc>
          <w:tcPr>
            <w:tcW w:type="dxa" w:w="2736"/>
            <w:tcMar>
              <w:top w:w="120" w:type="dxa"/>
              <w:start w:w="120" w:type="dxa"/>
              <w:bottom w:w="120" w:type="dxa"/>
              <w:end w:w="120" w:type="dxa"/>
            </w:tcMar>
            <w:vAlign w:val="center"/>
          </w:tcPr>
          <w:p>
            <w:r>
              <w:rPr>
                <w:color w:val="142A42"/>
                <w:sz w:val="17"/>
              </w:rPr>
              <w:t>CRM + analytics + executive reporting</w:t>
            </w:r>
          </w:p>
        </w:tc>
      </w:tr>
    </w:tbl>
    <w:p>
      <w:pPr>
        <w:spacing w:after="40"/>
      </w:pPr>
    </w:p>
    <w:p>
      <w:pPr>
        <w:pStyle w:val="Heading1"/>
      </w:pPr>
      <w:r>
        <w:t>20. Leadership Decisions &amp; Next Steps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4324A"/>
            <w:tcMar>
              <w:top w:w="120" w:type="dxa"/>
              <w:start w:w="120" w:type="dxa"/>
              <w:bottom w:w="120" w:type="dxa"/>
              <w:end w:w="120" w:type="dxa"/>
            </w:tcMar>
            <w:vAlign w:val="center"/>
          </w:tcPr>
          <w:p>
            <w:pPr>
              <w:jc w:val="left"/>
            </w:pPr>
            <w:r>
              <w:rPr>
                <w:b/>
                <w:color w:val="FFFFFF"/>
                <w:sz w:val="17"/>
              </w:rPr>
              <w:t>Decision</w:t>
            </w:r>
          </w:p>
        </w:tc>
        <w:tc>
          <w:tcPr>
            <w:tcW w:type="dxa" w:w="6192"/>
            <w:shd w:fill="14324A"/>
            <w:tcMar>
              <w:top w:w="120" w:type="dxa"/>
              <w:start w:w="120" w:type="dxa"/>
              <w:bottom w:w="120" w:type="dxa"/>
              <w:end w:w="120" w:type="dxa"/>
            </w:tcMar>
            <w:vAlign w:val="center"/>
          </w:tcPr>
          <w:p>
            <w:pPr>
              <w:jc w:val="left"/>
            </w:pPr>
            <w:r>
              <w:rPr>
                <w:b/>
                <w:color w:val="FFFFFF"/>
                <w:sz w:val="17"/>
              </w:rPr>
              <w:t>Recommended Answer</w:t>
            </w:r>
          </w:p>
        </w:tc>
        <w:tc>
          <w:tcPr>
            <w:tcW w:type="dxa" w:w="1440"/>
            <w:shd w:fill="14324A"/>
            <w:tcMar>
              <w:top w:w="120" w:type="dxa"/>
              <w:start w:w="120" w:type="dxa"/>
              <w:bottom w:w="120" w:type="dxa"/>
              <w:end w:w="120" w:type="dxa"/>
            </w:tcMar>
            <w:vAlign w:val="center"/>
          </w:tcPr>
          <w:p>
            <w:pPr>
              <w:jc w:val="left"/>
            </w:pPr>
            <w:r>
              <w:rPr>
                <w:b/>
                <w:color w:val="FFFFFF"/>
                <w:sz w:val="17"/>
              </w:rPr>
              <w:t>Owner</w:t>
            </w:r>
          </w:p>
        </w:tc>
      </w:tr>
      <w:tr>
        <w:tc>
          <w:tcPr>
            <w:tcW w:type="dxa" w:w="2880"/>
            <w:tcMar>
              <w:top w:w="120" w:type="dxa"/>
              <w:start w:w="120" w:type="dxa"/>
              <w:bottom w:w="120" w:type="dxa"/>
              <w:end w:w="120" w:type="dxa"/>
            </w:tcMar>
            <w:vAlign w:val="center"/>
          </w:tcPr>
          <w:p>
            <w:r>
              <w:rPr>
                <w:color w:val="142A42"/>
                <w:sz w:val="17"/>
              </w:rPr>
              <w:t>Primary website audience</w:t>
            </w:r>
          </w:p>
        </w:tc>
        <w:tc>
          <w:tcPr>
            <w:tcW w:type="dxa" w:w="6192"/>
            <w:tcMar>
              <w:top w:w="120" w:type="dxa"/>
              <w:start w:w="120" w:type="dxa"/>
              <w:bottom w:w="120" w:type="dxa"/>
              <w:end w:w="120" w:type="dxa"/>
            </w:tcMar>
            <w:vAlign w:val="center"/>
          </w:tcPr>
          <w:p>
            <w:r>
              <w:rPr>
                <w:color w:val="142A42"/>
                <w:sz w:val="17"/>
              </w:rPr>
              <w:t>Corporate buyer first; individual path preserved separately.</w:t>
            </w:r>
          </w:p>
        </w:tc>
        <w:tc>
          <w:tcPr>
            <w:tcW w:type="dxa" w:w="1440"/>
            <w:tcMar>
              <w:top w:w="120" w:type="dxa"/>
              <w:start w:w="120" w:type="dxa"/>
              <w:bottom w:w="120" w:type="dxa"/>
              <w:end w:w="120" w:type="dxa"/>
            </w:tcMar>
            <w:vAlign w:val="center"/>
          </w:tcPr>
          <w:p>
            <w:r>
              <w:rPr>
                <w:color w:val="142A42"/>
                <w:sz w:val="17"/>
              </w:rPr>
              <w:t>NuVue leadership</w:t>
            </w:r>
          </w:p>
        </w:tc>
      </w:tr>
      <w:tr>
        <w:tc>
          <w:tcPr>
            <w:tcW w:type="dxa" w:w="2880"/>
            <w:tcMar>
              <w:top w:w="120" w:type="dxa"/>
              <w:start w:w="120" w:type="dxa"/>
              <w:bottom w:w="120" w:type="dxa"/>
              <w:end w:w="120" w:type="dxa"/>
            </w:tcMar>
            <w:vAlign w:val="center"/>
          </w:tcPr>
          <w:p>
            <w:r>
              <w:rPr>
                <w:color w:val="142A42"/>
                <w:sz w:val="17"/>
              </w:rPr>
              <w:t>Primary brand story</w:t>
            </w:r>
          </w:p>
        </w:tc>
        <w:tc>
          <w:tcPr>
            <w:tcW w:type="dxa" w:w="6192"/>
            <w:tcMar>
              <w:top w:w="120" w:type="dxa"/>
              <w:start w:w="120" w:type="dxa"/>
              <w:bottom w:w="120" w:type="dxa"/>
              <w:end w:w="120" w:type="dxa"/>
            </w:tcMar>
            <w:vAlign w:val="center"/>
          </w:tcPr>
          <w:p>
            <w:r>
              <w:rPr>
                <w:color w:val="142A42"/>
                <w:sz w:val="17"/>
              </w:rPr>
              <w:t>Measurable, sustained performance improvement.</w:t>
            </w:r>
          </w:p>
        </w:tc>
        <w:tc>
          <w:tcPr>
            <w:tcW w:type="dxa" w:w="1440"/>
            <w:tcMar>
              <w:top w:w="120" w:type="dxa"/>
              <w:start w:w="120" w:type="dxa"/>
              <w:bottom w:w="120" w:type="dxa"/>
              <w:end w:w="120" w:type="dxa"/>
            </w:tcMar>
            <w:vAlign w:val="center"/>
          </w:tcPr>
          <w:p>
            <w:r>
              <w:rPr>
                <w:color w:val="142A42"/>
                <w:sz w:val="17"/>
              </w:rPr>
              <w:t>NuVue + SimpliCreative</w:t>
            </w:r>
          </w:p>
        </w:tc>
      </w:tr>
      <w:tr>
        <w:tc>
          <w:tcPr>
            <w:tcW w:type="dxa" w:w="2880"/>
            <w:tcMar>
              <w:top w:w="120" w:type="dxa"/>
              <w:start w:w="120" w:type="dxa"/>
              <w:bottom w:w="120" w:type="dxa"/>
              <w:end w:w="120" w:type="dxa"/>
            </w:tcMar>
            <w:vAlign w:val="center"/>
          </w:tcPr>
          <w:p>
            <w:r>
              <w:rPr>
                <w:color w:val="142A42"/>
                <w:sz w:val="17"/>
              </w:rPr>
              <w:t>Three-pillar architecture</w:t>
            </w:r>
          </w:p>
        </w:tc>
        <w:tc>
          <w:tcPr>
            <w:tcW w:type="dxa" w:w="6192"/>
            <w:tcMar>
              <w:top w:w="120" w:type="dxa"/>
              <w:start w:w="120" w:type="dxa"/>
              <w:bottom w:w="120" w:type="dxa"/>
              <w:end w:w="120" w:type="dxa"/>
            </w:tcMar>
            <w:vAlign w:val="center"/>
          </w:tcPr>
          <w:p>
            <w:r>
              <w:rPr>
                <w:color w:val="142A42"/>
                <w:sz w:val="17"/>
              </w:rPr>
              <w:t>Sales Development, Leadership &amp; Executive Coaching, Business Acumen.</w:t>
            </w:r>
          </w:p>
        </w:tc>
        <w:tc>
          <w:tcPr>
            <w:tcW w:type="dxa" w:w="1440"/>
            <w:tcMar>
              <w:top w:w="120" w:type="dxa"/>
              <w:start w:w="120" w:type="dxa"/>
              <w:bottom w:w="120" w:type="dxa"/>
              <w:end w:w="120" w:type="dxa"/>
            </w:tcMar>
            <w:vAlign w:val="center"/>
          </w:tcPr>
          <w:p>
            <w:r>
              <w:rPr>
                <w:color w:val="142A42"/>
                <w:sz w:val="17"/>
              </w:rPr>
              <w:t>NuVue leadership</w:t>
            </w:r>
          </w:p>
        </w:tc>
      </w:tr>
      <w:tr>
        <w:tc>
          <w:tcPr>
            <w:tcW w:type="dxa" w:w="2880"/>
            <w:tcMar>
              <w:top w:w="120" w:type="dxa"/>
              <w:start w:w="120" w:type="dxa"/>
              <w:bottom w:w="120" w:type="dxa"/>
              <w:end w:w="120" w:type="dxa"/>
            </w:tcMar>
            <w:vAlign w:val="center"/>
          </w:tcPr>
          <w:p>
            <w:r>
              <w:rPr>
                <w:color w:val="142A42"/>
                <w:sz w:val="17"/>
              </w:rPr>
              <w:t>Guarantee role</w:t>
            </w:r>
          </w:p>
        </w:tc>
        <w:tc>
          <w:tcPr>
            <w:tcW w:type="dxa" w:w="6192"/>
            <w:tcMar>
              <w:top w:w="120" w:type="dxa"/>
              <w:start w:w="120" w:type="dxa"/>
              <w:bottom w:w="120" w:type="dxa"/>
              <w:end w:w="120" w:type="dxa"/>
            </w:tcMar>
            <w:vAlign w:val="center"/>
          </w:tcPr>
          <w:p>
            <w:r>
              <w:rPr>
                <w:color w:val="142A42"/>
                <w:sz w:val="17"/>
              </w:rPr>
              <w:t>Enterprise risk-reduction asset, not universal homepage promise.</w:t>
            </w:r>
          </w:p>
        </w:tc>
        <w:tc>
          <w:tcPr>
            <w:tcW w:type="dxa" w:w="1440"/>
            <w:tcMar>
              <w:top w:w="120" w:type="dxa"/>
              <w:start w:w="120" w:type="dxa"/>
              <w:bottom w:w="120" w:type="dxa"/>
              <w:end w:w="120" w:type="dxa"/>
            </w:tcMar>
            <w:vAlign w:val="center"/>
          </w:tcPr>
          <w:p>
            <w:r>
              <w:rPr>
                <w:color w:val="142A42"/>
                <w:sz w:val="17"/>
              </w:rPr>
              <w:t>NuVue leadership</w:t>
            </w:r>
          </w:p>
        </w:tc>
      </w:tr>
      <w:tr>
        <w:tc>
          <w:tcPr>
            <w:tcW w:type="dxa" w:w="2880"/>
            <w:tcMar>
              <w:top w:w="120" w:type="dxa"/>
              <w:start w:w="120" w:type="dxa"/>
              <w:bottom w:w="120" w:type="dxa"/>
              <w:end w:w="120" w:type="dxa"/>
            </w:tcMar>
            <w:vAlign w:val="center"/>
          </w:tcPr>
          <w:p>
            <w:r>
              <w:rPr>
                <w:color w:val="142A42"/>
                <w:sz w:val="17"/>
              </w:rPr>
              <w:t>Implementation priority</w:t>
            </w:r>
          </w:p>
        </w:tc>
        <w:tc>
          <w:tcPr>
            <w:tcW w:type="dxa" w:w="6192"/>
            <w:tcMar>
              <w:top w:w="120" w:type="dxa"/>
              <w:start w:w="120" w:type="dxa"/>
              <w:bottom w:w="120" w:type="dxa"/>
              <w:end w:w="120" w:type="dxa"/>
            </w:tcMar>
            <w:vAlign w:val="center"/>
          </w:tcPr>
          <w:p>
            <w:r>
              <w:rPr>
                <w:color w:val="142A42"/>
                <w:sz w:val="17"/>
              </w:rPr>
              <w:t>Core buyer architecture, proof, conversion and measurement before broad expansion.</w:t>
            </w:r>
          </w:p>
        </w:tc>
        <w:tc>
          <w:tcPr>
            <w:tcW w:type="dxa" w:w="1440"/>
            <w:tcMar>
              <w:top w:w="120" w:type="dxa"/>
              <w:start w:w="120" w:type="dxa"/>
              <w:bottom w:w="120" w:type="dxa"/>
              <w:end w:w="120" w:type="dxa"/>
            </w:tcMar>
            <w:vAlign w:val="center"/>
          </w:tcPr>
          <w:p>
            <w:r>
              <w:rPr>
                <w:color w:val="142A42"/>
                <w:sz w:val="17"/>
              </w:rPr>
              <w:t>NuVue + SimpliCreative</w:t>
            </w:r>
          </w:p>
        </w:tc>
      </w:tr>
      <w:tr>
        <w:tc>
          <w:tcPr>
            <w:tcW w:type="dxa" w:w="2880"/>
            <w:tcMar>
              <w:top w:w="120" w:type="dxa"/>
              <w:start w:w="120" w:type="dxa"/>
              <w:bottom w:w="120" w:type="dxa"/>
              <w:end w:w="120" w:type="dxa"/>
            </w:tcMar>
            <w:vAlign w:val="center"/>
          </w:tcPr>
          <w:p>
            <w:r>
              <w:rPr>
                <w:color w:val="142A42"/>
                <w:sz w:val="17"/>
              </w:rPr>
              <w:t>Implementation path</w:t>
            </w:r>
          </w:p>
        </w:tc>
        <w:tc>
          <w:tcPr>
            <w:tcW w:type="dxa" w:w="6192"/>
            <w:tcMar>
              <w:top w:w="120" w:type="dxa"/>
              <w:start w:w="120" w:type="dxa"/>
              <w:bottom w:w="120" w:type="dxa"/>
              <w:end w:w="120" w:type="dxa"/>
            </w:tcMar>
            <w:vAlign w:val="center"/>
          </w:tcPr>
          <w:p>
            <w:r>
              <w:rPr>
                <w:color w:val="142A42"/>
                <w:sz w:val="17"/>
              </w:rPr>
              <w:t>DIY, Done-With-You, or Done-For-You after final scope approval.</w:t>
            </w:r>
          </w:p>
        </w:tc>
        <w:tc>
          <w:tcPr>
            <w:tcW w:type="dxa" w:w="1440"/>
            <w:tcMar>
              <w:top w:w="120" w:type="dxa"/>
              <w:start w:w="120" w:type="dxa"/>
              <w:bottom w:w="120" w:type="dxa"/>
              <w:end w:w="120" w:type="dxa"/>
            </w:tcMar>
            <w:vAlign w:val="center"/>
          </w:tcPr>
          <w:p>
            <w:r>
              <w:rPr>
                <w:color w:val="142A42"/>
                <w:sz w:val="17"/>
              </w:rPr>
              <w:t>NuVue leadership</w:t>
            </w:r>
          </w:p>
        </w:tc>
      </w:tr>
    </w:tbl>
    <w:p>
      <w:pPr>
        <w:spacing w:after="40"/>
      </w:pPr>
    </w:p>
    <w:tbl>
      <w:tblPr>
        <w:tblStyle w:val="TableGrid"/>
        <w:tblW w:type="auto" w:w="0"/>
        <w:jc w:val="center"/>
        <w:tblLook w:firstColumn="1" w:firstRow="1" w:lastColumn="0" w:lastRow="0" w:noHBand="0" w:noVBand="1" w:val="04A0"/>
      </w:tblPr>
      <w:tblGrid>
        <w:gridCol w:w="10080"/>
      </w:tblGrid>
      <w:tr>
        <w:trPr>
          <w:cantSplit/>
        </w:trPr>
        <w:tc>
          <w:tcPr>
            <w:tcW w:type="dxa" w:w="10080"/>
            <w:shd w:fill="DDEFE6"/>
            <w:tcMar>
              <w:top w:w="160" w:type="dxa"/>
              <w:start w:w="180" w:type="dxa"/>
              <w:bottom w:w="160" w:type="dxa"/>
              <w:end w:w="180" w:type="dxa"/>
            </w:tcMar>
          </w:tcPr>
          <w:p>
            <w:r>
              <w:rPr>
                <w:b/>
                <w:color w:val="142A42"/>
                <w:sz w:val="22"/>
              </w:rPr>
              <w:t>Recommended next step</w:t>
            </w:r>
          </w:p>
          <w:p>
            <w:pPr>
              <w:pStyle w:val="Callout"/>
            </w:pPr>
            <w:r>
              <w:t>Approve the strategic direction, validate the remaining high-impact evidence gaps, and convert this Blueprint into the final implementation scope and fixed investment.</w:t>
            </w:r>
          </w:p>
        </w:tc>
      </w:tr>
    </w:tbl>
    <w:p>
      <w:pPr>
        <w:spacing w:after="40"/>
      </w:pPr>
    </w:p>
    <w:p>
      <w:r>
        <w:br w:type="page"/>
      </w:r>
    </w:p>
    <w:p>
      <w:pPr>
        <w:pStyle w:val="Heading1"/>
      </w:pPr>
      <w:r>
        <w:t>Appendix A. Evidence Needed to Finalize Working Assumptions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shd w:fill="14324A"/>
            <w:tcMar>
              <w:top w:w="120" w:type="dxa"/>
              <w:start w:w="120" w:type="dxa"/>
              <w:bottom w:w="120" w:type="dxa"/>
              <w:end w:w="120" w:type="dxa"/>
            </w:tcMar>
            <w:vAlign w:val="center"/>
          </w:tcPr>
          <w:p>
            <w:pPr>
              <w:jc w:val="left"/>
            </w:pPr>
            <w:r>
              <w:rPr>
                <w:b/>
                <w:color w:val="FFFFFF"/>
                <w:sz w:val="16"/>
              </w:rPr>
              <w:t>Finding / Decision</w:t>
            </w:r>
          </w:p>
        </w:tc>
        <w:tc>
          <w:tcPr>
            <w:tcW w:type="dxa" w:w="3888"/>
            <w:shd w:fill="14324A"/>
            <w:tcMar>
              <w:top w:w="120" w:type="dxa"/>
              <w:start w:w="120" w:type="dxa"/>
              <w:bottom w:w="120" w:type="dxa"/>
              <w:end w:w="120" w:type="dxa"/>
            </w:tcMar>
            <w:vAlign w:val="center"/>
          </w:tcPr>
          <w:p>
            <w:pPr>
              <w:jc w:val="left"/>
            </w:pPr>
            <w:r>
              <w:rPr>
                <w:b/>
                <w:color w:val="FFFFFF"/>
                <w:sz w:val="16"/>
              </w:rPr>
              <w:t>Additional Input Needed</w:t>
            </w:r>
          </w:p>
        </w:tc>
        <w:tc>
          <w:tcPr>
            <w:tcW w:type="dxa" w:w="3168"/>
            <w:shd w:fill="14324A"/>
            <w:tcMar>
              <w:top w:w="120" w:type="dxa"/>
              <w:start w:w="120" w:type="dxa"/>
              <w:bottom w:w="120" w:type="dxa"/>
              <w:end w:w="120" w:type="dxa"/>
            </w:tcMar>
            <w:vAlign w:val="center"/>
          </w:tcPr>
          <w:p>
            <w:pPr>
              <w:jc w:val="left"/>
            </w:pPr>
            <w:r>
              <w:rPr>
                <w:b/>
                <w:color w:val="FFFFFF"/>
                <w:sz w:val="16"/>
              </w:rPr>
              <w:t>What It Would Validate</w:t>
            </w:r>
          </w:p>
        </w:tc>
      </w:tr>
      <w:tr>
        <w:tc>
          <w:tcPr>
            <w:tcW w:type="dxa" w:w="3168"/>
            <w:tcMar>
              <w:top w:w="120" w:type="dxa"/>
              <w:start w:w="120" w:type="dxa"/>
              <w:bottom w:w="120" w:type="dxa"/>
              <w:end w:w="120" w:type="dxa"/>
            </w:tcMar>
            <w:vAlign w:val="center"/>
          </w:tcPr>
          <w:p>
            <w:r>
              <w:rPr>
                <w:color w:val="142A42"/>
                <w:sz w:val="16"/>
              </w:rPr>
              <w:t>Corporate buyer should be primary</w:t>
            </w:r>
          </w:p>
        </w:tc>
        <w:tc>
          <w:tcPr>
            <w:tcW w:type="dxa" w:w="3888"/>
            <w:tcMar>
              <w:top w:w="120" w:type="dxa"/>
              <w:start w:w="120" w:type="dxa"/>
              <w:bottom w:w="120" w:type="dxa"/>
              <w:end w:w="120" w:type="dxa"/>
            </w:tcMar>
            <w:vAlign w:val="center"/>
          </w:tcPr>
          <w:p>
            <w:r>
              <w:rPr>
                <w:color w:val="142A42"/>
                <w:sz w:val="16"/>
              </w:rPr>
              <w:t>CRM revenue, opportunity count, average engagement size by buyer type</w:t>
            </w:r>
          </w:p>
        </w:tc>
        <w:tc>
          <w:tcPr>
            <w:tcW w:type="dxa" w:w="3168"/>
            <w:tcMar>
              <w:top w:w="120" w:type="dxa"/>
              <w:start w:w="120" w:type="dxa"/>
              <w:bottom w:w="120" w:type="dxa"/>
              <w:end w:w="120" w:type="dxa"/>
            </w:tcMar>
            <w:vAlign w:val="center"/>
          </w:tcPr>
          <w:p>
            <w:r>
              <w:rPr>
                <w:color w:val="142A42"/>
                <w:sz w:val="16"/>
              </w:rPr>
              <w:t>Economic priority of the audience</w:t>
            </w:r>
          </w:p>
        </w:tc>
      </w:tr>
      <w:tr>
        <w:tc>
          <w:tcPr>
            <w:tcW w:type="dxa" w:w="3168"/>
            <w:tcMar>
              <w:top w:w="120" w:type="dxa"/>
              <w:start w:w="120" w:type="dxa"/>
              <w:bottom w:w="120" w:type="dxa"/>
              <w:end w:w="120" w:type="dxa"/>
            </w:tcMar>
            <w:vAlign w:val="center"/>
          </w:tcPr>
          <w:p>
            <w:r>
              <w:rPr>
                <w:color w:val="142A42"/>
                <w:sz w:val="16"/>
              </w:rPr>
              <w:t>Two buyer paths materially improve conversion</w:t>
            </w:r>
          </w:p>
        </w:tc>
        <w:tc>
          <w:tcPr>
            <w:tcW w:type="dxa" w:w="3888"/>
            <w:tcMar>
              <w:top w:w="120" w:type="dxa"/>
              <w:start w:w="120" w:type="dxa"/>
              <w:bottom w:w="120" w:type="dxa"/>
              <w:end w:w="120" w:type="dxa"/>
            </w:tcMar>
            <w:vAlign w:val="center"/>
          </w:tcPr>
          <w:p>
            <w:r>
              <w:rPr>
                <w:color w:val="142A42"/>
                <w:sz w:val="16"/>
              </w:rPr>
              <w:t>GA4 paths, form conversion by audience, heatmaps/session behavior</w:t>
            </w:r>
          </w:p>
        </w:tc>
        <w:tc>
          <w:tcPr>
            <w:tcW w:type="dxa" w:w="3168"/>
            <w:tcMar>
              <w:top w:w="120" w:type="dxa"/>
              <w:start w:w="120" w:type="dxa"/>
              <w:bottom w:w="120" w:type="dxa"/>
              <w:end w:w="120" w:type="dxa"/>
            </w:tcMar>
            <w:vAlign w:val="center"/>
          </w:tcPr>
          <w:p>
            <w:r>
              <w:rPr>
                <w:color w:val="142A42"/>
                <w:sz w:val="16"/>
              </w:rPr>
              <w:t>Current journey friction</w:t>
            </w:r>
          </w:p>
        </w:tc>
      </w:tr>
      <w:tr>
        <w:tc>
          <w:tcPr>
            <w:tcW w:type="dxa" w:w="3168"/>
            <w:tcMar>
              <w:top w:w="120" w:type="dxa"/>
              <w:start w:w="120" w:type="dxa"/>
              <w:bottom w:w="120" w:type="dxa"/>
              <w:end w:w="120" w:type="dxa"/>
            </w:tcMar>
            <w:vAlign w:val="center"/>
          </w:tcPr>
          <w:p>
            <w:r>
              <w:rPr>
                <w:color w:val="142A42"/>
                <w:sz w:val="16"/>
              </w:rPr>
              <w:t>Guarantee materially influences enterprise decisions</w:t>
            </w:r>
          </w:p>
        </w:tc>
        <w:tc>
          <w:tcPr>
            <w:tcW w:type="dxa" w:w="3888"/>
            <w:tcMar>
              <w:top w:w="120" w:type="dxa"/>
              <w:start w:w="120" w:type="dxa"/>
              <w:bottom w:w="120" w:type="dxa"/>
              <w:end w:w="120" w:type="dxa"/>
            </w:tcMar>
            <w:vAlign w:val="center"/>
          </w:tcPr>
          <w:p>
            <w:r>
              <w:rPr>
                <w:color w:val="142A42"/>
                <w:sz w:val="16"/>
              </w:rPr>
              <w:t>Sales-call transcripts, win/loss notes, proposal feedback</w:t>
            </w:r>
          </w:p>
        </w:tc>
        <w:tc>
          <w:tcPr>
            <w:tcW w:type="dxa" w:w="3168"/>
            <w:tcMar>
              <w:top w:w="120" w:type="dxa"/>
              <w:start w:w="120" w:type="dxa"/>
              <w:bottom w:w="120" w:type="dxa"/>
              <w:end w:w="120" w:type="dxa"/>
            </w:tcMar>
            <w:vAlign w:val="center"/>
          </w:tcPr>
          <w:p>
            <w:r>
              <w:rPr>
                <w:color w:val="142A42"/>
                <w:sz w:val="16"/>
              </w:rPr>
              <w:t>Buying impact of the guarantee</w:t>
            </w:r>
          </w:p>
        </w:tc>
      </w:tr>
      <w:tr>
        <w:tc>
          <w:tcPr>
            <w:tcW w:type="dxa" w:w="3168"/>
            <w:tcMar>
              <w:top w:w="120" w:type="dxa"/>
              <w:start w:w="120" w:type="dxa"/>
              <w:bottom w:w="120" w:type="dxa"/>
              <w:end w:w="120" w:type="dxa"/>
            </w:tcMar>
            <w:vAlign w:val="center"/>
          </w:tcPr>
          <w:p>
            <w:r>
              <w:rPr>
                <w:color w:val="142A42"/>
                <w:sz w:val="16"/>
              </w:rPr>
              <w:t>Vertical pages should be Fix Next</w:t>
            </w:r>
          </w:p>
        </w:tc>
        <w:tc>
          <w:tcPr>
            <w:tcW w:type="dxa" w:w="3888"/>
            <w:tcMar>
              <w:top w:w="120" w:type="dxa"/>
              <w:start w:w="120" w:type="dxa"/>
              <w:bottom w:w="120" w:type="dxa"/>
              <w:end w:w="120" w:type="dxa"/>
            </w:tcMar>
            <w:vAlign w:val="center"/>
          </w:tcPr>
          <w:p>
            <w:r>
              <w:rPr>
                <w:color w:val="142A42"/>
                <w:sz w:val="16"/>
              </w:rPr>
              <w:t>GSC demand, CRM pipeline by vertical, sales priorities</w:t>
            </w:r>
          </w:p>
        </w:tc>
        <w:tc>
          <w:tcPr>
            <w:tcW w:type="dxa" w:w="3168"/>
            <w:tcMar>
              <w:top w:w="120" w:type="dxa"/>
              <w:start w:w="120" w:type="dxa"/>
              <w:bottom w:w="120" w:type="dxa"/>
              <w:end w:w="120" w:type="dxa"/>
            </w:tcMar>
            <w:vAlign w:val="center"/>
          </w:tcPr>
          <w:p>
            <w:r>
              <w:rPr>
                <w:color w:val="142A42"/>
                <w:sz w:val="16"/>
              </w:rPr>
              <w:t>Market opportunity and sequencing</w:t>
            </w:r>
          </w:p>
        </w:tc>
      </w:tr>
      <w:tr>
        <w:tc>
          <w:tcPr>
            <w:tcW w:type="dxa" w:w="3168"/>
            <w:tcMar>
              <w:top w:w="120" w:type="dxa"/>
              <w:start w:w="120" w:type="dxa"/>
              <w:bottom w:w="120" w:type="dxa"/>
              <w:end w:w="120" w:type="dxa"/>
            </w:tcMar>
            <w:vAlign w:val="center"/>
          </w:tcPr>
          <w:p>
            <w:r>
              <w:rPr>
                <w:color w:val="142A42"/>
                <w:sz w:val="16"/>
              </w:rPr>
              <w:t>NuVue is underrepresented in AI recommendations</w:t>
            </w:r>
          </w:p>
        </w:tc>
        <w:tc>
          <w:tcPr>
            <w:tcW w:type="dxa" w:w="3888"/>
            <w:tcMar>
              <w:top w:w="120" w:type="dxa"/>
              <w:start w:w="120" w:type="dxa"/>
              <w:bottom w:w="120" w:type="dxa"/>
              <w:end w:w="120" w:type="dxa"/>
            </w:tcMar>
            <w:vAlign w:val="center"/>
          </w:tcPr>
          <w:p>
            <w:r>
              <w:rPr>
                <w:color w:val="142A42"/>
                <w:sz w:val="16"/>
              </w:rPr>
              <w:t>Dated synthetic prompt runs across approved models</w:t>
            </w:r>
          </w:p>
        </w:tc>
        <w:tc>
          <w:tcPr>
            <w:tcW w:type="dxa" w:w="3168"/>
            <w:tcMar>
              <w:top w:w="120" w:type="dxa"/>
              <w:start w:w="120" w:type="dxa"/>
              <w:bottom w:w="120" w:type="dxa"/>
              <w:end w:w="120" w:type="dxa"/>
            </w:tcMar>
            <w:vAlign w:val="center"/>
          </w:tcPr>
          <w:p>
            <w:r>
              <w:rPr>
                <w:color w:val="142A42"/>
                <w:sz w:val="16"/>
              </w:rPr>
              <w:t>Recommendation visibility</w:t>
            </w:r>
          </w:p>
        </w:tc>
      </w:tr>
      <w:tr>
        <w:tc>
          <w:tcPr>
            <w:tcW w:type="dxa" w:w="3168"/>
            <w:tcMar>
              <w:top w:w="120" w:type="dxa"/>
              <w:start w:w="120" w:type="dxa"/>
              <w:bottom w:w="120" w:type="dxa"/>
              <w:end w:w="120" w:type="dxa"/>
            </w:tcMar>
            <w:vAlign w:val="center"/>
          </w:tcPr>
          <w:p>
            <w:r>
              <w:rPr>
                <w:color w:val="142A42"/>
                <w:sz w:val="16"/>
              </w:rPr>
              <w:t>Specific sources influence AI recommendations</w:t>
            </w:r>
          </w:p>
        </w:tc>
        <w:tc>
          <w:tcPr>
            <w:tcW w:type="dxa" w:w="3888"/>
            <w:tcMar>
              <w:top w:w="120" w:type="dxa"/>
              <w:start w:w="120" w:type="dxa"/>
              <w:bottom w:w="120" w:type="dxa"/>
              <w:end w:w="120" w:type="dxa"/>
            </w:tcMar>
            <w:vAlign w:val="center"/>
          </w:tcPr>
          <w:p>
            <w:r>
              <w:rPr>
                <w:color w:val="142A42"/>
                <w:sz w:val="16"/>
              </w:rPr>
              <w:t>Source citations and repeated source analysis</w:t>
            </w:r>
          </w:p>
        </w:tc>
        <w:tc>
          <w:tcPr>
            <w:tcW w:type="dxa" w:w="3168"/>
            <w:tcMar>
              <w:top w:w="120" w:type="dxa"/>
              <w:start w:w="120" w:type="dxa"/>
              <w:bottom w:w="120" w:type="dxa"/>
              <w:end w:w="120" w:type="dxa"/>
            </w:tcMar>
            <w:vAlign w:val="center"/>
          </w:tcPr>
          <w:p>
            <w:r>
              <w:rPr>
                <w:color w:val="142A42"/>
                <w:sz w:val="16"/>
              </w:rPr>
              <w:t>Authority-building priorities</w:t>
            </w:r>
          </w:p>
        </w:tc>
      </w:tr>
      <w:tr>
        <w:tc>
          <w:tcPr>
            <w:tcW w:type="dxa" w:w="3168"/>
            <w:tcMar>
              <w:top w:w="120" w:type="dxa"/>
              <w:start w:w="120" w:type="dxa"/>
              <w:bottom w:w="120" w:type="dxa"/>
              <w:end w:w="120" w:type="dxa"/>
            </w:tcMar>
            <w:vAlign w:val="center"/>
          </w:tcPr>
          <w:p>
            <w:r>
              <w:rPr>
                <w:color w:val="142A42"/>
                <w:sz w:val="16"/>
              </w:rPr>
              <w:t>Current CMS creates agility friction</w:t>
            </w:r>
          </w:p>
        </w:tc>
        <w:tc>
          <w:tcPr>
            <w:tcW w:type="dxa" w:w="3888"/>
            <w:tcMar>
              <w:top w:w="120" w:type="dxa"/>
              <w:start w:w="120" w:type="dxa"/>
              <w:bottom w:w="120" w:type="dxa"/>
              <w:end w:w="120" w:type="dxa"/>
            </w:tcMar>
            <w:vAlign w:val="center"/>
          </w:tcPr>
          <w:p>
            <w:r>
              <w:rPr>
                <w:color w:val="142A42"/>
                <w:sz w:val="16"/>
              </w:rPr>
              <w:t>Marketing-team interviews, edit/launch cycle times</w:t>
            </w:r>
          </w:p>
        </w:tc>
        <w:tc>
          <w:tcPr>
            <w:tcW w:type="dxa" w:w="3168"/>
            <w:tcMar>
              <w:top w:w="120" w:type="dxa"/>
              <w:start w:w="120" w:type="dxa"/>
              <w:bottom w:w="120" w:type="dxa"/>
              <w:end w:w="120" w:type="dxa"/>
            </w:tcMar>
            <w:vAlign w:val="center"/>
          </w:tcPr>
          <w:p>
            <w:r>
              <w:rPr>
                <w:color w:val="142A42"/>
                <w:sz w:val="16"/>
              </w:rPr>
              <w:t>Flexible FAST requirement</w:t>
            </w:r>
          </w:p>
        </w:tc>
      </w:tr>
      <w:tr>
        <w:tc>
          <w:tcPr>
            <w:tcW w:type="dxa" w:w="3168"/>
            <w:tcMar>
              <w:top w:w="120" w:type="dxa"/>
              <w:start w:w="120" w:type="dxa"/>
              <w:bottom w:w="120" w:type="dxa"/>
              <w:end w:w="120" w:type="dxa"/>
            </w:tcMar>
            <w:vAlign w:val="center"/>
          </w:tcPr>
          <w:p>
            <w:r>
              <w:rPr>
                <w:color w:val="142A42"/>
                <w:sz w:val="16"/>
              </w:rPr>
              <w:t>Marketing contribution can be connected to pipeline</w:t>
            </w:r>
          </w:p>
        </w:tc>
        <w:tc>
          <w:tcPr>
            <w:tcW w:type="dxa" w:w="3888"/>
            <w:tcMar>
              <w:top w:w="120" w:type="dxa"/>
              <w:start w:w="120" w:type="dxa"/>
              <w:bottom w:w="120" w:type="dxa"/>
              <w:end w:w="120" w:type="dxa"/>
            </w:tcMar>
            <w:vAlign w:val="center"/>
          </w:tcPr>
          <w:p>
            <w:r>
              <w:rPr>
                <w:color w:val="142A42"/>
                <w:sz w:val="16"/>
              </w:rPr>
              <w:t>CRM source logic, lifecycle definitions, opportunity IDs and UTMs</w:t>
            </w:r>
          </w:p>
        </w:tc>
        <w:tc>
          <w:tcPr>
            <w:tcW w:type="dxa" w:w="3168"/>
            <w:tcMar>
              <w:top w:w="120" w:type="dxa"/>
              <w:start w:w="120" w:type="dxa"/>
              <w:bottom w:w="120" w:type="dxa"/>
              <w:end w:w="120" w:type="dxa"/>
            </w:tcMar>
            <w:vAlign w:val="center"/>
          </w:tcPr>
          <w:p>
            <w:r>
              <w:rPr>
                <w:color w:val="142A42"/>
                <w:sz w:val="16"/>
              </w:rPr>
              <w:t>Trackable FAST requirement</w:t>
            </w:r>
          </w:p>
        </w:tc>
      </w:tr>
      <w:tr>
        <w:tc>
          <w:tcPr>
            <w:tcW w:type="dxa" w:w="3168"/>
            <w:tcMar>
              <w:top w:w="120" w:type="dxa"/>
              <w:start w:w="120" w:type="dxa"/>
              <w:bottom w:w="120" w:type="dxa"/>
              <w:end w:w="120" w:type="dxa"/>
            </w:tcMar>
            <w:vAlign w:val="center"/>
          </w:tcPr>
          <w:p>
            <w:r>
              <w:rPr>
                <w:color w:val="142A42"/>
                <w:sz w:val="16"/>
              </w:rPr>
              <w:t>Target audience behavior matches current ICP assumptions</w:t>
            </w:r>
          </w:p>
        </w:tc>
        <w:tc>
          <w:tcPr>
            <w:tcW w:type="dxa" w:w="3888"/>
            <w:tcMar>
              <w:top w:w="120" w:type="dxa"/>
              <w:start w:w="120" w:type="dxa"/>
              <w:bottom w:w="120" w:type="dxa"/>
              <w:end w:w="120" w:type="dxa"/>
            </w:tcMar>
            <w:vAlign w:val="center"/>
          </w:tcPr>
          <w:p>
            <w:r>
              <w:rPr>
                <w:color w:val="142A42"/>
                <w:sz w:val="16"/>
              </w:rPr>
              <w:t>SparkToro audience analysis + CRM/customer validation</w:t>
            </w:r>
          </w:p>
        </w:tc>
        <w:tc>
          <w:tcPr>
            <w:tcW w:type="dxa" w:w="3168"/>
            <w:tcMar>
              <w:top w:w="120" w:type="dxa"/>
              <w:start w:w="120" w:type="dxa"/>
              <w:bottom w:w="120" w:type="dxa"/>
              <w:end w:w="120" w:type="dxa"/>
            </w:tcMar>
            <w:vAlign w:val="center"/>
          </w:tcPr>
          <w:p>
            <w:r>
              <w:rPr>
                <w:color w:val="142A42"/>
                <w:sz w:val="16"/>
              </w:rPr>
              <w:t>Audience and channel strategy</w:t>
            </w:r>
          </w:p>
        </w:tc>
      </w:tr>
    </w:tbl>
    <w:p>
      <w:pPr>
        <w:spacing w:after="40"/>
      </w:pPr>
    </w:p>
    <w:p>
      <w:pPr>
        <w:pStyle w:val="Heading1"/>
      </w:pPr>
      <w:r>
        <w:t>Appendix B. Example Recommendation Record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736"/>
            <w:shd w:fill="14324A"/>
            <w:tcMar>
              <w:top w:w="120" w:type="dxa"/>
              <w:start w:w="120" w:type="dxa"/>
              <w:bottom w:w="120" w:type="dxa"/>
              <w:end w:w="120" w:type="dxa"/>
            </w:tcMar>
            <w:vAlign w:val="center"/>
          </w:tcPr>
          <w:p>
            <w:pPr>
              <w:jc w:val="left"/>
            </w:pPr>
            <w:r>
              <w:rPr>
                <w:b/>
                <w:color w:val="FFFFFF"/>
                <w:sz w:val="17"/>
              </w:rPr>
              <w:t>Field</w:t>
            </w:r>
          </w:p>
        </w:tc>
        <w:tc>
          <w:tcPr>
            <w:tcW w:type="dxa" w:w="7488"/>
            <w:shd w:fill="14324A"/>
            <w:tcMar>
              <w:top w:w="120" w:type="dxa"/>
              <w:start w:w="120" w:type="dxa"/>
              <w:bottom w:w="120" w:type="dxa"/>
              <w:end w:w="120" w:type="dxa"/>
            </w:tcMar>
            <w:vAlign w:val="center"/>
          </w:tcPr>
          <w:p>
            <w:pPr>
              <w:jc w:val="left"/>
            </w:pPr>
            <w:r>
              <w:rPr>
                <w:b/>
                <w:color w:val="FFFFFF"/>
                <w:sz w:val="17"/>
              </w:rPr>
              <w:t>Example</w:t>
            </w:r>
          </w:p>
        </w:tc>
      </w:tr>
      <w:tr>
        <w:tc>
          <w:tcPr>
            <w:tcW w:type="dxa" w:w="2736"/>
            <w:tcMar>
              <w:top w:w="120" w:type="dxa"/>
              <w:start w:w="120" w:type="dxa"/>
              <w:bottom w:w="120" w:type="dxa"/>
              <w:end w:w="120" w:type="dxa"/>
            </w:tcMar>
            <w:vAlign w:val="center"/>
          </w:tcPr>
          <w:p>
            <w:r>
              <w:rPr>
                <w:color w:val="142A42"/>
                <w:sz w:val="17"/>
              </w:rPr>
              <w:t>Client Objective</w:t>
            </w:r>
          </w:p>
        </w:tc>
        <w:tc>
          <w:tcPr>
            <w:tcW w:type="dxa" w:w="7488"/>
            <w:tcMar>
              <w:top w:w="120" w:type="dxa"/>
              <w:start w:w="120" w:type="dxa"/>
              <w:bottom w:w="120" w:type="dxa"/>
              <w:end w:w="120" w:type="dxa"/>
            </w:tcMar>
            <w:vAlign w:val="center"/>
          </w:tcPr>
          <w:p>
            <w:r>
              <w:rPr>
                <w:color w:val="142A42"/>
                <w:sz w:val="17"/>
              </w:rPr>
              <w:t>Grow enterprise training demand and become known for measurable outcomes.</w:t>
            </w:r>
          </w:p>
        </w:tc>
      </w:tr>
      <w:tr>
        <w:tc>
          <w:tcPr>
            <w:tcW w:type="dxa" w:w="2736"/>
            <w:tcMar>
              <w:top w:w="120" w:type="dxa"/>
              <w:start w:w="120" w:type="dxa"/>
              <w:bottom w:w="120" w:type="dxa"/>
              <w:end w:w="120" w:type="dxa"/>
            </w:tcMar>
            <w:vAlign w:val="center"/>
          </w:tcPr>
          <w:p>
            <w:r>
              <w:rPr>
                <w:color w:val="142A42"/>
                <w:sz w:val="17"/>
              </w:rPr>
              <w:t>Symptom</w:t>
            </w:r>
          </w:p>
        </w:tc>
        <w:tc>
          <w:tcPr>
            <w:tcW w:type="dxa" w:w="7488"/>
            <w:tcMar>
              <w:top w:w="120" w:type="dxa"/>
              <w:start w:w="120" w:type="dxa"/>
              <w:bottom w:w="120" w:type="dxa"/>
              <w:end w:w="120" w:type="dxa"/>
            </w:tcMar>
            <w:vAlign w:val="center"/>
          </w:tcPr>
          <w:p>
            <w:r>
              <w:rPr>
                <w:color w:val="142A42"/>
                <w:sz w:val="17"/>
              </w:rPr>
              <w:t>Website generates limited qualified corporate demand.</w:t>
            </w:r>
          </w:p>
        </w:tc>
      </w:tr>
      <w:tr>
        <w:tc>
          <w:tcPr>
            <w:tcW w:type="dxa" w:w="2736"/>
            <w:tcMar>
              <w:top w:w="120" w:type="dxa"/>
              <w:start w:w="120" w:type="dxa"/>
              <w:bottom w:w="120" w:type="dxa"/>
              <w:end w:w="120" w:type="dxa"/>
            </w:tcMar>
            <w:vAlign w:val="center"/>
          </w:tcPr>
          <w:p>
            <w:r>
              <w:rPr>
                <w:color w:val="142A42"/>
                <w:sz w:val="17"/>
              </w:rPr>
              <w:t>Diagnostic Hypothesis</w:t>
            </w:r>
          </w:p>
        </w:tc>
        <w:tc>
          <w:tcPr>
            <w:tcW w:type="dxa" w:w="7488"/>
            <w:tcMar>
              <w:top w:w="120" w:type="dxa"/>
              <w:start w:w="120" w:type="dxa"/>
              <w:bottom w:w="120" w:type="dxa"/>
              <w:end w:w="120" w:type="dxa"/>
            </w:tcMar>
            <w:vAlign w:val="center"/>
          </w:tcPr>
          <w:p>
            <w:r>
              <w:rPr>
                <w:color w:val="142A42"/>
                <w:sz w:val="17"/>
              </w:rPr>
              <w:t>Buyer architecture and positioning are preventing high-intent visitors from progressing.</w:t>
            </w:r>
          </w:p>
        </w:tc>
      </w:tr>
      <w:tr>
        <w:tc>
          <w:tcPr>
            <w:tcW w:type="dxa" w:w="2736"/>
            <w:tcMar>
              <w:top w:w="120" w:type="dxa"/>
              <w:start w:w="120" w:type="dxa"/>
              <w:bottom w:w="120" w:type="dxa"/>
              <w:end w:w="120" w:type="dxa"/>
            </w:tcMar>
            <w:vAlign w:val="center"/>
          </w:tcPr>
          <w:p>
            <w:r>
              <w:rPr>
                <w:color w:val="142A42"/>
                <w:sz w:val="17"/>
              </w:rPr>
              <w:t>Evidence</w:t>
            </w:r>
          </w:p>
        </w:tc>
        <w:tc>
          <w:tcPr>
            <w:tcW w:type="dxa" w:w="7488"/>
            <w:tcMar>
              <w:top w:w="120" w:type="dxa"/>
              <w:start w:w="120" w:type="dxa"/>
              <w:bottom w:w="120" w:type="dxa"/>
              <w:end w:w="120" w:type="dxa"/>
            </w:tcMar>
            <w:vAlign w:val="center"/>
          </w:tcPr>
          <w:p>
            <w:r>
              <w:rPr>
                <w:color w:val="142A42"/>
                <w:sz w:val="17"/>
              </w:rPr>
              <w:t>Shared buyer journey, buried enterprise proof, unclear CTA hierarchy, incomplete CRM measurement.</w:t>
            </w:r>
          </w:p>
        </w:tc>
      </w:tr>
      <w:tr>
        <w:tc>
          <w:tcPr>
            <w:tcW w:type="dxa" w:w="2736"/>
            <w:tcMar>
              <w:top w:w="120" w:type="dxa"/>
              <w:start w:w="120" w:type="dxa"/>
              <w:bottom w:w="120" w:type="dxa"/>
              <w:end w:w="120" w:type="dxa"/>
            </w:tcMar>
            <w:vAlign w:val="center"/>
          </w:tcPr>
          <w:p>
            <w:r>
              <w:rPr>
                <w:color w:val="142A42"/>
                <w:sz w:val="17"/>
              </w:rPr>
              <w:t>Validated Root Cause</w:t>
            </w:r>
          </w:p>
        </w:tc>
        <w:tc>
          <w:tcPr>
            <w:tcW w:type="dxa" w:w="7488"/>
            <w:tcMar>
              <w:top w:w="120" w:type="dxa"/>
              <w:start w:w="120" w:type="dxa"/>
              <w:bottom w:w="120" w:type="dxa"/>
              <w:end w:w="120" w:type="dxa"/>
            </w:tcMar>
            <w:vAlign w:val="center"/>
          </w:tcPr>
          <w:p>
            <w:r>
              <w:rPr>
                <w:color w:val="142A42"/>
                <w:sz w:val="17"/>
              </w:rPr>
              <w:t>Site architecture does not reflect NuVue's actual buying motions.</w:t>
            </w:r>
          </w:p>
        </w:tc>
      </w:tr>
      <w:tr>
        <w:tc>
          <w:tcPr>
            <w:tcW w:type="dxa" w:w="2736"/>
            <w:tcMar>
              <w:top w:w="120" w:type="dxa"/>
              <w:start w:w="120" w:type="dxa"/>
              <w:bottom w:w="120" w:type="dxa"/>
              <w:end w:w="120" w:type="dxa"/>
            </w:tcMar>
            <w:vAlign w:val="center"/>
          </w:tcPr>
          <w:p>
            <w:r>
              <w:rPr>
                <w:color w:val="142A42"/>
                <w:sz w:val="17"/>
              </w:rPr>
              <w:t>Priority</w:t>
            </w:r>
          </w:p>
        </w:tc>
        <w:tc>
          <w:tcPr>
            <w:tcW w:type="dxa" w:w="7488"/>
            <w:tcMar>
              <w:top w:w="120" w:type="dxa"/>
              <w:start w:w="120" w:type="dxa"/>
              <w:bottom w:w="120" w:type="dxa"/>
              <w:end w:w="120" w:type="dxa"/>
            </w:tcMar>
            <w:vAlign w:val="center"/>
          </w:tcPr>
          <w:p>
            <w:r>
              <w:rPr>
                <w:color w:val="142A42"/>
                <w:sz w:val="17"/>
              </w:rPr>
              <w:t>Fix Now</w:t>
            </w:r>
          </w:p>
        </w:tc>
      </w:tr>
      <w:tr>
        <w:tc>
          <w:tcPr>
            <w:tcW w:type="dxa" w:w="2736"/>
            <w:tcMar>
              <w:top w:w="120" w:type="dxa"/>
              <w:start w:w="120" w:type="dxa"/>
              <w:bottom w:w="120" w:type="dxa"/>
              <w:end w:w="120" w:type="dxa"/>
            </w:tcMar>
            <w:vAlign w:val="center"/>
          </w:tcPr>
          <w:p>
            <w:r>
              <w:rPr>
                <w:color w:val="142A42"/>
                <w:sz w:val="17"/>
              </w:rPr>
              <w:t>Recommendation</w:t>
            </w:r>
          </w:p>
        </w:tc>
        <w:tc>
          <w:tcPr>
            <w:tcW w:type="dxa" w:w="7488"/>
            <w:tcMar>
              <w:top w:w="120" w:type="dxa"/>
              <w:start w:w="120" w:type="dxa"/>
              <w:bottom w:w="120" w:type="dxa"/>
              <w:end w:w="120" w:type="dxa"/>
            </w:tcMar>
            <w:vAlign w:val="center"/>
          </w:tcPr>
          <w:p>
            <w:r>
              <w:rPr>
                <w:color w:val="142A42"/>
                <w:sz w:val="17"/>
              </w:rPr>
              <w:t>Create distinct corporate and individual paths with corporate journey prioritized.</w:t>
            </w:r>
          </w:p>
        </w:tc>
      </w:tr>
      <w:tr>
        <w:tc>
          <w:tcPr>
            <w:tcW w:type="dxa" w:w="2736"/>
            <w:tcMar>
              <w:top w:w="120" w:type="dxa"/>
              <w:start w:w="120" w:type="dxa"/>
              <w:bottom w:w="120" w:type="dxa"/>
              <w:end w:w="120" w:type="dxa"/>
            </w:tcMar>
            <w:vAlign w:val="center"/>
          </w:tcPr>
          <w:p>
            <w:r>
              <w:rPr>
                <w:color w:val="142A42"/>
                <w:sz w:val="17"/>
              </w:rPr>
              <w:t>Implementation Requirement</w:t>
            </w:r>
          </w:p>
        </w:tc>
        <w:tc>
          <w:tcPr>
            <w:tcW w:type="dxa" w:w="7488"/>
            <w:tcMar>
              <w:top w:w="120" w:type="dxa"/>
              <w:start w:w="120" w:type="dxa"/>
              <w:bottom w:w="120" w:type="dxa"/>
              <w:end w:w="120" w:type="dxa"/>
            </w:tcMar>
            <w:vAlign w:val="center"/>
          </w:tcPr>
          <w:p>
            <w:r>
              <w:rPr>
                <w:color w:val="142A42"/>
                <w:sz w:val="17"/>
              </w:rPr>
              <w:t>Homepage routing, For Organizations hub, corporate proof, consultation CTA, CRM qualification fields.</w:t>
            </w:r>
          </w:p>
        </w:tc>
      </w:tr>
      <w:tr>
        <w:tc>
          <w:tcPr>
            <w:tcW w:type="dxa" w:w="2736"/>
            <w:tcMar>
              <w:top w:w="120" w:type="dxa"/>
              <w:start w:w="120" w:type="dxa"/>
              <w:bottom w:w="120" w:type="dxa"/>
              <w:end w:w="120" w:type="dxa"/>
            </w:tcMar>
            <w:vAlign w:val="center"/>
          </w:tcPr>
          <w:p>
            <w:r>
              <w:rPr>
                <w:color w:val="142A42"/>
                <w:sz w:val="17"/>
              </w:rPr>
              <w:t>Success Measure</w:t>
            </w:r>
          </w:p>
        </w:tc>
        <w:tc>
          <w:tcPr>
            <w:tcW w:type="dxa" w:w="7488"/>
            <w:tcMar>
              <w:top w:w="120" w:type="dxa"/>
              <w:start w:w="120" w:type="dxa"/>
              <w:bottom w:w="120" w:type="dxa"/>
              <w:end w:w="120" w:type="dxa"/>
            </w:tcMar>
            <w:vAlign w:val="center"/>
          </w:tcPr>
          <w:p>
            <w:r>
              <w:rPr>
                <w:color w:val="142A42"/>
                <w:sz w:val="17"/>
              </w:rPr>
              <w:t>Corporate-path engagement → qualified consultation → opportunity progression.</w:t>
            </w:r>
          </w:p>
        </w:tc>
      </w:tr>
    </w:tbl>
    <w:p>
      <w:pPr>
        <w:spacing w:after="40"/>
      </w:pPr>
    </w:p>
    <w:p/>
    <w:p>
      <w:pPr>
        <w:jc w:val="center"/>
      </w:pPr>
      <w:r>
        <w:rPr>
          <w:b/>
          <w:color w:val="23757F"/>
          <w:sz w:val="17"/>
        </w:rPr>
        <w:t>SIMPLICREATIVE  |  DIAGNOSE THE GAPS. STRENGTHEN THE FOUNDATION. GROW AND PROVE IMPACT.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4606E"/>
        <w:sz w:val="16"/>
      </w:rPr>
      <w:t xml:space="preserve">NuVue SimpliBlueprint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42A42"/>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3757F"/>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42A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A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5460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23757F"/>
      <w:sz w:val="19"/>
    </w:rPr>
  </w:style>
  <w:style w:type="paragraph" w:customStyle="1" w:styleId="Small">
    <w:name w:val="Small"/>
    <w:rPr>
      <w:rFonts w:ascii="Aptos" w:hAnsi="Aptos"/>
      <w:b w:val="0"/>
      <w:color w:val="54606E"/>
      <w:sz w:val="17"/>
    </w:rPr>
  </w:style>
  <w:style w:type="paragraph" w:customStyle="1" w:styleId="Callout">
    <w:name w:val="Callout"/>
    <w:rPr>
      <w:rFonts w:ascii="Aptos" w:hAnsi="Aptos"/>
      <w:b w:val="0"/>
      <w:color w:val="142A4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