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B7F79"/>
          <w:sz w:val="20"/>
        </w:rPr>
        <w:t>SIMPLICREATIVE | SIMPLIBLUEPRINT</w:t>
      </w:r>
    </w:p>
    <w:p>
      <w:pPr>
        <w:pStyle w:val="Title"/>
        <w:jc w:val="center"/>
      </w:pPr>
      <w:r>
        <w:t>NuVue</w:t>
        <w:br/>
        <w:t>Personalized Blueprint Questionnaire</w:t>
      </w:r>
    </w:p>
    <w:p>
      <w:pPr>
        <w:jc w:val="center"/>
      </w:pPr>
      <w:r>
        <w:rPr>
          <w:b/>
          <w:color w:val="374151"/>
          <w:sz w:val="20"/>
        </w:rPr>
        <w:t>Editable strategist version | Gold Standard Demo | GS-BLUE-003 | v1.0</w:t>
      </w:r>
    </w:p>
    <w:tbl>
      <w:tblPr>
        <w:tblStyle w:val="TableGrid"/>
        <w:tblW w:type="auto" w:w="0"/>
        <w:tblLook w:firstColumn="1" w:firstRow="1" w:lastColumn="0" w:lastRow="0" w:noHBand="0" w:noVBand="1" w:val="04A0"/>
      </w:tblPr>
      <w:tblGrid>
        <w:gridCol w:w="10368"/>
      </w:tblGrid>
      <w:tr>
        <w:tc>
          <w:tcPr>
            <w:tcW w:type="dxa" w:w="10368"/>
            <w:shd w:fill="EAF3F8"/>
            <w:tcMar>
              <w:top w:w="160" w:type="dxa"/>
              <w:start w:w="160" w:type="dxa"/>
              <w:bottom w:w="160" w:type="dxa"/>
              <w:end w:w="160" w:type="dxa"/>
            </w:tcMar>
          </w:tcPr>
          <w:p>
            <w:r>
              <w:rPr>
                <w:color w:val="374151"/>
                <w:sz w:val="18"/>
              </w:rPr>
              <w:t>This questionnaire is personalized from known client context. Confirm what we think we know, answer what is still required, and add only the context that materially improves the Blueprint. Known information should not become blank discovery.</w:t>
            </w:r>
          </w:p>
        </w:tc>
      </w:tr>
    </w:tbl>
    <w:p>
      <w:r>
        <w:br w:type="page"/>
      </w:r>
    </w:p>
    <w:p>
      <w:pPr>
        <w:pStyle w:val="Heading1"/>
      </w:pPr>
      <w:r>
        <w:t>1. Business Objectives and Success</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Prior conversations describe a growth ambition toward a $10M company and a desire to become known for measurable, guaranteed sales-training outcomes.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Are these still the right business priorities for the next 12 months?</w:t>
            </w:r>
          </w:p>
        </w:tc>
        <w:tc>
          <w:tcPr>
            <w:tcW w:type="dxa" w:w="8568"/>
            <w:vAlign w:val="center"/>
            <w:tcMar>
              <w:top w:w="110" w:type="dxa"/>
              <w:start w:w="110" w:type="dxa"/>
              <w:bottom w:w="110" w:type="dxa"/>
              <w:end w:w="110" w:type="dxa"/>
            </w:tcMar>
          </w:tcPr>
          <w:p>
            <w:r>
              <w:rPr>
                <w:rFonts w:ascii="Aptos" w:hAnsi="Aptos"/>
                <w:color w:val="374151"/>
                <w:sz w:val="16"/>
              </w:rPr>
              <w:t>Please confirm, correct, or expand. If priorities have changed, explain what changed and why.</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The website refresh is expected to support both growth and a stronger digital foundation.</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business outcome would make this initiative feel successful to leadership?</w:t>
            </w:r>
          </w:p>
        </w:tc>
        <w:tc>
          <w:tcPr>
            <w:tcW w:type="dxa" w:w="8568"/>
            <w:vAlign w:val="center"/>
            <w:tcMar>
              <w:top w:w="110" w:type="dxa"/>
              <w:start w:w="110" w:type="dxa"/>
              <w:bottom w:w="110" w:type="dxa"/>
              <w:end w:w="110" w:type="dxa"/>
            </w:tcMar>
          </w:tcPr>
          <w:p>
            <w:r>
              <w:rPr>
                <w:rFonts w:ascii="Aptos" w:hAnsi="Aptos"/>
                <w:color w:val="374151"/>
                <w:sz w:val="16"/>
              </w:rPr>
              <w:t>Describe the result leadership ultimately wants to see, not only website activity.</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2. Ideal Customer and Buying Committee</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Prior inputs identify VP Sales, Heads of HR, and business-unit leaders as important buyers, with training, enablement, owners, country managers, and C-suite roles also involved.</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Who should the website treat as the primary growth audience, and who are the important secondary audiences?</w:t>
            </w:r>
          </w:p>
        </w:tc>
        <w:tc>
          <w:tcPr>
            <w:tcW w:type="dxa" w:w="8568"/>
            <w:vAlign w:val="center"/>
            <w:tcMar>
              <w:top w:w="110" w:type="dxa"/>
              <w:start w:w="110" w:type="dxa"/>
              <w:bottom w:w="110" w:type="dxa"/>
              <w:end w:w="110" w:type="dxa"/>
            </w:tcMar>
          </w:tcPr>
          <w:p>
            <w:r>
              <w:rPr>
                <w:rFonts w:ascii="Aptos" w:hAnsi="Aptos"/>
                <w:color w:val="374151"/>
                <w:sz w:val="16"/>
              </w:rPr>
              <w:t>Please distinguish who discovers NuVue, who evaluates the solution, who uses it, and who approves the investment.</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Prior inputs reference companies with 100+ sales reps, while other responses describe different thresholds for the guarantee offer.</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company or team characteristics define a strong-fit enterprise client today?</w:t>
            </w:r>
          </w:p>
        </w:tc>
        <w:tc>
          <w:tcPr>
            <w:tcW w:type="dxa" w:w="8568"/>
            <w:vAlign w:val="center"/>
            <w:tcMar>
              <w:top w:w="110" w:type="dxa"/>
              <w:start w:w="110" w:type="dxa"/>
              <w:bottom w:w="110" w:type="dxa"/>
              <w:end w:w="110" w:type="dxa"/>
            </w:tcMar>
          </w:tcPr>
          <w:p>
            <w:r>
              <w:rPr>
                <w:rFonts w:ascii="Aptos" w:hAnsi="Aptos"/>
                <w:color w:val="374151"/>
                <w:sz w:val="16"/>
              </w:rPr>
              <w:t>Include sales-team size, company size/revenue if useful, industry, geography, buying maturity, or other qualifiers.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OPTIONAL</w:t>
            </w:r>
          </w:p>
        </w:tc>
        <w:tc>
          <w:tcPr>
            <w:tcW w:type="dxa" w:w="8568"/>
            <w:vAlign w:val="center"/>
            <w:tcMar>
              <w:top w:w="110" w:type="dxa"/>
              <w:start w:w="110" w:type="dxa"/>
              <w:bottom w:w="110" w:type="dxa"/>
              <w:end w:w="110" w:type="dxa"/>
            </w:tcMar>
            <w:shd w:fill="F4F7F9"/>
          </w:tcPr>
          <w:p>
            <w:r>
              <w:rPr>
                <w:rFonts w:ascii="Aptos" w:hAnsi="Aptos"/>
                <w:sz w:val="15"/>
              </w:rPr>
              <w:t>We know several roles can participate in the decision.</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usually changes between the person who first discovers NuVue, the person who evaluates the solution, and the person who approves the investment?</w:t>
            </w:r>
          </w:p>
        </w:tc>
        <w:tc>
          <w:tcPr>
            <w:tcW w:type="dxa" w:w="8568"/>
            <w:vAlign w:val="center"/>
            <w:tcMar>
              <w:top w:w="110" w:type="dxa"/>
              <w:start w:w="110" w:type="dxa"/>
              <w:bottom w:w="110" w:type="dxa"/>
              <w:end w:w="110" w:type="dxa"/>
            </w:tcMar>
          </w:tcPr>
          <w:p>
            <w:r>
              <w:rPr>
                <w:rFonts w:ascii="Aptos" w:hAnsi="Aptos"/>
                <w:color w:val="374151"/>
                <w:sz w:val="16"/>
              </w:rPr>
              <w:t>Share any recurring buying-committee patterns you want the strategy to account for.</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3. Guarantee Offer</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Your prior materials contain three related signals: 100+ salespeople as a threshold, 1,000+ reps as an ideal candidate in one response, and a 1,000-rep annual program limit.</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Please confirm the guarantee eligibility rules as they should be understood today.</w:t>
            </w:r>
          </w:p>
        </w:tc>
        <w:tc>
          <w:tcPr>
            <w:tcW w:type="dxa" w:w="8568"/>
            <w:vAlign w:val="center"/>
            <w:tcMar>
              <w:top w:w="110" w:type="dxa"/>
              <w:start w:w="110" w:type="dxa"/>
              <w:bottom w:w="110" w:type="dxa"/>
              <w:end w:w="110" w:type="dxa"/>
            </w:tcMar>
          </w:tcPr>
          <w:p>
            <w:r>
              <w:rPr>
                <w:rFonts w:ascii="Aptos" w:hAnsi="Aptos"/>
                <w:color w:val="374151"/>
                <w:sz w:val="16"/>
              </w:rPr>
              <w:t>Separate minimum eligibility, ideal client size, annual capacity, application requirements, and any other qualifications.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The client-provided offer language states that payment is tied to reps achieving $100,000+ in sales increase and completing required learning-system activity.</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documentation or source should SimpliCreative use to substantiate the guarantee language and any related performance claims before publication?</w:t>
            </w:r>
          </w:p>
        </w:tc>
        <w:tc>
          <w:tcPr>
            <w:tcW w:type="dxa" w:w="8568"/>
            <w:vAlign w:val="center"/>
            <w:tcMar>
              <w:top w:w="110" w:type="dxa"/>
              <w:start w:w="110" w:type="dxa"/>
              <w:bottom w:w="110" w:type="dxa"/>
              <w:end w:w="110" w:type="dxa"/>
            </w:tcMar>
          </w:tcPr>
          <w:p>
            <w:r>
              <w:rPr>
                <w:rFonts w:ascii="Aptos" w:hAnsi="Aptos"/>
                <w:color w:val="374151"/>
                <w:sz w:val="16"/>
              </w:rPr>
              <w:t>Examples: agreement terms, ROI Impact Evaluation methodology, program documentation, client-approved case evidence.</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The desired website action was previously described as submitting an application and requesting a conversation with a business consultant.</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Is that still the correct conversion path for the guarantee offer?</w:t>
            </w:r>
          </w:p>
        </w:tc>
        <w:tc>
          <w:tcPr>
            <w:tcW w:type="dxa" w:w="8568"/>
            <w:vAlign w:val="center"/>
            <w:tcMar>
              <w:top w:w="110" w:type="dxa"/>
              <w:start w:w="110" w:type="dxa"/>
              <w:bottom w:w="110" w:type="dxa"/>
              <w:end w:w="110" w:type="dxa"/>
            </w:tcMar>
          </w:tcPr>
          <w:p>
            <w:r>
              <w:rPr>
                <w:rFonts w:ascii="Aptos" w:hAnsi="Aptos"/>
                <w:color w:val="374151"/>
                <w:sz w:val="16"/>
              </w:rPr>
              <w:t>If not, describe the preferred sequence.</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4. Offer Architecture</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Current priorities include the CSP Guarantee, Executive Coaching, Agricultural Sales Onboarding, Public Seminars, sales curricula/subscriptions, and the broader workshop portfolio.</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Which three offers or offer families should receive the strongest emphasis over the next year, and why?</w:t>
            </w:r>
          </w:p>
        </w:tc>
        <w:tc>
          <w:tcPr>
            <w:tcW w:type="dxa" w:w="8568"/>
            <w:vAlign w:val="center"/>
            <w:tcMar>
              <w:top w:w="110" w:type="dxa"/>
              <w:start w:w="110" w:type="dxa"/>
              <w:bottom w:w="110" w:type="dxa"/>
              <w:end w:w="110" w:type="dxa"/>
            </w:tcMar>
          </w:tcPr>
          <w:p>
            <w:r>
              <w:rPr>
                <w:rFonts w:ascii="Aptos" w:hAnsi="Aptos"/>
                <w:color w:val="374151"/>
                <w:sz w:val="16"/>
              </w:rPr>
              <w:t>Prioritize based on business importance, not simply what exists today.</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NuVue has both enterprise engagements and transactional / individual offers.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How should we distinguish acquisition offers, enterprise expansion offers, public/transactional offers, and offers primarily intended for existing clients?</w:t>
            </w:r>
          </w:p>
        </w:tc>
        <w:tc>
          <w:tcPr>
            <w:tcW w:type="dxa" w:w="8568"/>
            <w:vAlign w:val="center"/>
            <w:tcMar>
              <w:top w:w="110" w:type="dxa"/>
              <w:start w:w="110" w:type="dxa"/>
              <w:bottom w:w="110" w:type="dxa"/>
              <w:end w:w="110" w:type="dxa"/>
            </w:tcMar>
          </w:tcPr>
          <w:p>
            <w:r>
              <w:rPr>
                <w:rFonts w:ascii="Aptos" w:hAnsi="Aptos"/>
                <w:color w:val="374151"/>
                <w:sz w:val="16"/>
              </w:rPr>
              <w:t>This will help determine navigation, buyer paths, CTAs, and measurement.</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You previously described many B2B relationships as multi-year curricula rather than isolated workshops.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does the typical expansion path look like after a company begins working with NuVue?</w:t>
            </w:r>
          </w:p>
        </w:tc>
        <w:tc>
          <w:tcPr>
            <w:tcW w:type="dxa" w:w="8568"/>
            <w:vAlign w:val="center"/>
            <w:tcMar>
              <w:top w:w="110" w:type="dxa"/>
              <w:start w:w="110" w:type="dxa"/>
              <w:bottom w:w="110" w:type="dxa"/>
              <w:end w:w="110" w:type="dxa"/>
            </w:tcMar>
          </w:tcPr>
          <w:p>
            <w:r>
              <w:rPr>
                <w:rFonts w:ascii="Aptos" w:hAnsi="Aptos"/>
                <w:color w:val="374151"/>
                <w:sz w:val="16"/>
              </w:rPr>
              <w:t>If there is no typical path, describe the most common patterns.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5. Proof, Authority, and Claims</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You have identified testimonials, ROI Impact Evaluations, client relationships, guarantee results, 24+ years of experience, and 101+ workshops as potential proof.</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Which proof assets are approved for public use, and where can we find the source material for each?</w:t>
            </w:r>
          </w:p>
        </w:tc>
        <w:tc>
          <w:tcPr>
            <w:tcW w:type="dxa" w:w="8568"/>
            <w:vAlign w:val="center"/>
            <w:tcMar>
              <w:top w:w="110" w:type="dxa"/>
              <w:start w:w="110" w:type="dxa"/>
              <w:bottom w:w="110" w:type="dxa"/>
              <w:end w:w="110" w:type="dxa"/>
            </w:tcMar>
          </w:tcPr>
          <w:p>
            <w:r>
              <w:rPr>
                <w:rFonts w:ascii="Aptos" w:hAnsi="Aptos"/>
                <w:color w:val="374151"/>
                <w:sz w:val="16"/>
              </w:rPr>
              <w:t>Please attach or link the strongest available evidence. Client-provided claims will remain attributed to client input until substantiation is available.</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OPTIONAL</w:t>
            </w:r>
          </w:p>
        </w:tc>
        <w:tc>
          <w:tcPr>
            <w:tcW w:type="dxa" w:w="8568"/>
            <w:vAlign w:val="center"/>
            <w:tcMar>
              <w:top w:w="110" w:type="dxa"/>
              <w:start w:w="110" w:type="dxa"/>
              <w:bottom w:w="110" w:type="dxa"/>
              <w:end w:w="110" w:type="dxa"/>
            </w:tcMar>
            <w:shd w:fill="F4F7F9"/>
          </w:tcPr>
          <w:p>
            <w:r>
              <w:rPr>
                <w:rFonts w:ascii="Aptos" w:hAnsi="Aptos"/>
                <w:sz w:val="15"/>
              </w:rPr>
              <w:t>NuVue has relationships with organizations such as Wilson Learning and Andromeda Training and has named enterprise clients or business units in prior materials.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Are there restrictions on how partner relationships, customer names, logos, or results may be described publicly?</w:t>
            </w:r>
          </w:p>
        </w:tc>
        <w:tc>
          <w:tcPr>
            <w:tcW w:type="dxa" w:w="8568"/>
            <w:vAlign w:val="center"/>
            <w:tcMar>
              <w:top w:w="110" w:type="dxa"/>
              <w:start w:w="110" w:type="dxa"/>
              <w:bottom w:w="110" w:type="dxa"/>
              <w:end w:w="110" w:type="dxa"/>
            </w:tcMar>
          </w:tcPr>
          <w:p>
            <w:r>
              <w:rPr>
                <w:rFonts w:ascii="Aptos" w:hAnsi="Aptos"/>
                <w:color w:val="374151"/>
                <w:sz w:val="16"/>
              </w:rPr>
              <w:t>Note any approval, trademark, confidentiality, or attribution requirements.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6. Buyer Journey and Conversion</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Earlier input said the funnel and conversion definition were still being built.</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website actions should count as meaningful progress for each major buyer journey?</w:t>
            </w:r>
          </w:p>
        </w:tc>
        <w:tc>
          <w:tcPr>
            <w:tcW w:type="dxa" w:w="8568"/>
            <w:vAlign w:val="center"/>
            <w:tcMar>
              <w:top w:w="110" w:type="dxa"/>
              <w:start w:w="110" w:type="dxa"/>
              <w:bottom w:w="110" w:type="dxa"/>
              <w:end w:w="110" w:type="dxa"/>
            </w:tcMar>
          </w:tcPr>
          <w:p>
            <w:r>
              <w:rPr>
                <w:rFonts w:ascii="Aptos" w:hAnsi="Aptos"/>
                <w:color w:val="374151"/>
                <w:sz w:val="16"/>
              </w:rPr>
              <w:t>Consider corporate consultation, guarantee application, seminar registration, membership/subscription, assessment, resource engagement, or other actions.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Public seminars can serve individuals, company-directed attendees, existing clients, and prospects.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role should public seminars play in the growth model?</w:t>
            </w:r>
          </w:p>
        </w:tc>
        <w:tc>
          <w:tcPr>
            <w:tcW w:type="dxa" w:w="8568"/>
            <w:vAlign w:val="center"/>
            <w:tcMar>
              <w:top w:w="110" w:type="dxa"/>
              <w:start w:w="110" w:type="dxa"/>
              <w:bottom w:w="110" w:type="dxa"/>
              <w:end w:w="110" w:type="dxa"/>
            </w:tcMar>
          </w:tcPr>
          <w:p>
            <w:r>
              <w:rPr>
                <w:rFonts w:ascii="Aptos" w:hAnsi="Aptos"/>
                <w:color w:val="374151"/>
                <w:sz w:val="16"/>
              </w:rPr>
              <w:t>For example: direct revenue, preview experience, new-hire training, corporate lead generation, client expansion, or a combination.</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OPTIONAL</w:t>
            </w:r>
          </w:p>
        </w:tc>
        <w:tc>
          <w:tcPr>
            <w:tcW w:type="dxa" w:w="8568"/>
            <w:vAlign w:val="center"/>
            <w:tcMar>
              <w:top w:w="110" w:type="dxa"/>
              <w:start w:w="110" w:type="dxa"/>
              <w:bottom w:w="110" w:type="dxa"/>
              <w:end w:w="110" w:type="dxa"/>
            </w:tcMar>
            <w:shd w:fill="F4F7F9"/>
          </w:tcPr>
          <w:p>
            <w:r>
              <w:rPr>
                <w:rFonts w:ascii="Aptos" w:hAnsi="Aptos"/>
                <w:sz w:val="15"/>
              </w:rPr>
              <w:t>You previously mentioned the possibility of a digital room or richer pre-sales experience.</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information do prospects repeatedly ask for before they are ready to speak with a consultant?</w:t>
            </w:r>
          </w:p>
        </w:tc>
        <w:tc>
          <w:tcPr>
            <w:tcW w:type="dxa" w:w="8568"/>
            <w:vAlign w:val="center"/>
            <w:tcMar>
              <w:top w:w="110" w:type="dxa"/>
              <w:start w:w="110" w:type="dxa"/>
              <w:bottom w:w="110" w:type="dxa"/>
              <w:end w:w="110" w:type="dxa"/>
            </w:tcMar>
          </w:tcPr>
          <w:p>
            <w:r>
              <w:rPr>
                <w:rFonts w:ascii="Aptos" w:hAnsi="Aptos"/>
                <w:color w:val="374151"/>
                <w:sz w:val="16"/>
              </w:rPr>
              <w:t>This may inform sales-enablement content and website experiences.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7. Content and Expertise</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Known content includes short learning videos, webinars, Wilson Learning materials, downloadable resources, testimonials/case evidence, and ROI Impact Evaluations.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Which existing assets are most important to preserve, migrate, or feature in the new experience?</w:t>
            </w:r>
          </w:p>
        </w:tc>
        <w:tc>
          <w:tcPr>
            <w:tcW w:type="dxa" w:w="8568"/>
            <w:vAlign w:val="center"/>
            <w:tcMar>
              <w:top w:w="110" w:type="dxa"/>
              <w:start w:w="110" w:type="dxa"/>
              <w:bottom w:w="110" w:type="dxa"/>
              <w:end w:w="110" w:type="dxa"/>
            </w:tcMar>
          </w:tcPr>
          <w:p>
            <w:r>
              <w:rPr>
                <w:rFonts w:ascii="Aptos" w:hAnsi="Aptos"/>
                <w:color w:val="374151"/>
                <w:sz w:val="16"/>
              </w:rPr>
              <w:t>Please link to source files where possible.</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NuVue's strongest expertise spans Sales Development, Leadership, Business Acumen, and industry-specific experience.</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Where does NuVue have proprietary experience, original data, or a point of view that competitors cannot credibly reproduce?</w:t>
            </w:r>
          </w:p>
        </w:tc>
        <w:tc>
          <w:tcPr>
            <w:tcW w:type="dxa" w:w="8568"/>
            <w:vAlign w:val="center"/>
            <w:tcMar>
              <w:top w:w="110" w:type="dxa"/>
              <w:start w:w="110" w:type="dxa"/>
              <w:bottom w:w="110" w:type="dxa"/>
              <w:end w:w="110" w:type="dxa"/>
            </w:tcMar>
          </w:tcPr>
          <w:p>
            <w:r>
              <w:rPr>
                <w:rFonts w:ascii="Aptos" w:hAnsi="Aptos"/>
                <w:color w:val="374151"/>
                <w:sz w:val="16"/>
              </w:rPr>
              <w:t>We are looking for source material for differentiated messaging and authority content.</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8. Website Operations and Technology</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Known systems include Google Analytics and Zoho CRM, Bookings, Sign, and Landing Pages. An LMS path was still under consideration.</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Which systems are definitely staying, which may change, and which must exchange data with the website?</w:t>
            </w:r>
          </w:p>
        </w:tc>
        <w:tc>
          <w:tcPr>
            <w:tcW w:type="dxa" w:w="8568"/>
            <w:vAlign w:val="center"/>
            <w:tcMar>
              <w:top w:w="110" w:type="dxa"/>
              <w:start w:w="110" w:type="dxa"/>
              <w:bottom w:w="110" w:type="dxa"/>
              <w:end w:w="110" w:type="dxa"/>
            </w:tcMar>
          </w:tcPr>
          <w:p>
            <w:r>
              <w:rPr>
                <w:rFonts w:ascii="Aptos" w:hAnsi="Aptos"/>
                <w:color w:val="374151"/>
                <w:sz w:val="16"/>
              </w:rPr>
              <w:t>Include system owner or administrator where useful.</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Campaign tracking was still developing in the prior questionnaire.</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source, campaign, lead, lifecycle, and opportunity information is reliably captured today?</w:t>
            </w:r>
          </w:p>
        </w:tc>
        <w:tc>
          <w:tcPr>
            <w:tcW w:type="dxa" w:w="8568"/>
            <w:vAlign w:val="center"/>
            <w:tcMar>
              <w:top w:w="110" w:type="dxa"/>
              <w:start w:w="110" w:type="dxa"/>
              <w:bottom w:w="110" w:type="dxa"/>
              <w:end w:w="110" w:type="dxa"/>
            </w:tcMar>
          </w:tcPr>
          <w:p>
            <w:r>
              <w:rPr>
                <w:rFonts w:ascii="Aptos" w:hAnsi="Aptos"/>
                <w:color w:val="374151"/>
                <w:sz w:val="16"/>
              </w:rPr>
              <w:t>If the answer is 'not reliably yet,' that is useful. We will treat it as a measurement requirement rather than assume attribution exists.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9. Success and Measurement</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CONFIRM</w:t>
            </w:r>
          </w:p>
        </w:tc>
        <w:tc>
          <w:tcPr>
            <w:tcW w:type="dxa" w:w="8568"/>
            <w:vAlign w:val="center"/>
            <w:tcMar>
              <w:top w:w="110" w:type="dxa"/>
              <w:start w:w="110" w:type="dxa"/>
              <w:bottom w:w="110" w:type="dxa"/>
              <w:end w:w="110" w:type="dxa"/>
            </w:tcMar>
            <w:shd w:fill="F4F7F9"/>
          </w:tcPr>
          <w:p>
            <w:r>
              <w:rPr>
                <w:rFonts w:ascii="Aptos" w:hAnsi="Aptos"/>
                <w:sz w:val="15"/>
              </w:rPr>
              <w:t>Earlier success language emphasized more SEO/AEO traffic, more forms entering the funnel, and more online transactions.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business outcomes should leadership ultimately be able to see or understand because of the new website?</w:t>
            </w:r>
          </w:p>
        </w:tc>
        <w:tc>
          <w:tcPr>
            <w:tcW w:type="dxa" w:w="8568"/>
            <w:vAlign w:val="center"/>
            <w:tcMar>
              <w:top w:w="110" w:type="dxa"/>
              <w:start w:w="110" w:type="dxa"/>
              <w:bottom w:w="110" w:type="dxa"/>
              <w:end w:w="110" w:type="dxa"/>
            </w:tcMar>
          </w:tcPr>
          <w:p>
            <w:r>
              <w:rPr>
                <w:rFonts w:ascii="Aptos" w:hAnsi="Aptos"/>
                <w:color w:val="374151"/>
                <w:sz w:val="16"/>
              </w:rPr>
              <w:t>We will distinguish business outcomes from directional website metrics.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We do not yet have an approved measurement baseline in the known inputs.</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Which existing reports or systems can help establish current performance before implementation?</w:t>
            </w:r>
          </w:p>
        </w:tc>
        <w:tc>
          <w:tcPr>
            <w:tcW w:type="dxa" w:w="8568"/>
            <w:vAlign w:val="center"/>
            <w:tcMar>
              <w:top w:w="110" w:type="dxa"/>
              <w:start w:w="110" w:type="dxa"/>
              <w:bottom w:w="110" w:type="dxa"/>
              <w:end w:w="110" w:type="dxa"/>
            </w:tcMar>
          </w:tcPr>
          <w:p>
            <w:r>
              <w:rPr>
                <w:rFonts w:ascii="Aptos" w:hAnsi="Aptos"/>
                <w:color w:val="374151"/>
                <w:sz w:val="16"/>
              </w:rPr>
              <w:t>Examples: CRM pipeline reports, revenue by source, form conversion, seminar sales, search performance, or analytics.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10. Decisions, Constraints, and Source Material</w:t>
      </w: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REQUIRED</w:t>
            </w:r>
          </w:p>
        </w:tc>
        <w:tc>
          <w:tcPr>
            <w:tcW w:type="dxa" w:w="8568"/>
            <w:vAlign w:val="center"/>
            <w:tcMar>
              <w:top w:w="110" w:type="dxa"/>
              <w:start w:w="110" w:type="dxa"/>
              <w:bottom w:w="110" w:type="dxa"/>
              <w:end w:w="110" w:type="dxa"/>
            </w:tcMar>
            <w:shd w:fill="F4F7F9"/>
          </w:tcPr>
          <w:p>
            <w:r>
              <w:rPr>
                <w:rFonts w:ascii="Aptos" w:hAnsi="Aptos"/>
                <w:sz w:val="15"/>
              </w:rPr>
              <w:t>The strategy will need to reconcile business priorities, buyer paths, proof, offers, technology, and measurement.</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Are there decisions already made that SimpliCreative should treat as fixed rather than reopen during Blueprint?</w:t>
            </w:r>
          </w:p>
        </w:tc>
        <w:tc>
          <w:tcPr>
            <w:tcW w:type="dxa" w:w="8568"/>
            <w:vAlign w:val="center"/>
            <w:tcMar>
              <w:top w:w="110" w:type="dxa"/>
              <w:start w:w="110" w:type="dxa"/>
              <w:bottom w:w="110" w:type="dxa"/>
              <w:end w:w="110" w:type="dxa"/>
            </w:tcMar>
          </w:tcPr>
          <w:p>
            <w:r>
              <w:rPr>
                <w:rFonts w:ascii="Aptos" w:hAnsi="Aptos"/>
                <w:color w:val="374151"/>
                <w:sz w:val="16"/>
              </w:rPr>
              <w:t>Examples: platform, partnerships, contractual obligations, offer terms, brand standards, required integrations.</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tbl>
      <w:tblPr>
        <w:tblStyle w:val="TableGrid"/>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Mar>
              <w:top w:w="110" w:type="dxa"/>
              <w:start w:w="110" w:type="dxa"/>
              <w:bottom w:w="110" w:type="dxa"/>
              <w:end w:w="110" w:type="dxa"/>
            </w:tcMar>
            <w:shd w:fill="F4F7F9"/>
          </w:tcPr>
          <w:p>
            <w:r>
              <w:rPr>
                <w:rFonts w:ascii="Aptos" w:hAnsi="Aptos"/>
                <w:sz w:val="15"/>
              </w:rPr>
              <w:t>OPTIONAL</w:t>
            </w:r>
          </w:p>
        </w:tc>
        <w:tc>
          <w:tcPr>
            <w:tcW w:type="dxa" w:w="8568"/>
            <w:vAlign w:val="center"/>
            <w:tcMar>
              <w:top w:w="110" w:type="dxa"/>
              <w:start w:w="110" w:type="dxa"/>
              <w:bottom w:w="110" w:type="dxa"/>
              <w:end w:w="110" w:type="dxa"/>
            </w:tcMar>
            <w:shd w:fill="F4F7F9"/>
          </w:tcPr>
          <w:p>
            <w:r>
              <w:rPr>
                <w:rFonts w:ascii="Aptos" w:hAnsi="Aptos"/>
                <w:sz w:val="15"/>
              </w:rPr>
              <w:t>We have captured the major known inputs above.</w:t>
            </w:r>
          </w:p>
        </w:tc>
      </w:tr>
      <w:tr>
        <w:trPr>
          <w:cantSplit/>
        </w:trPr>
        <w:tc>
          <w:tcPr>
            <w:tcW w:type="dxa" w:w="2232"/>
            <w:vAlign w:val="center"/>
            <w:tcMar>
              <w:top w:w="110" w:type="dxa"/>
              <w:start w:w="110" w:type="dxa"/>
              <w:bottom w:w="110" w:type="dxa"/>
              <w:end w:w="110" w:type="dxa"/>
            </w:tcMar>
          </w:tcPr>
          <w:p>
            <w:r>
              <w:rPr>
                <w:rFonts w:ascii="Aptos Display" w:hAnsi="Aptos Display"/>
                <w:b/>
                <w:color w:val="374151"/>
                <w:sz w:val="20"/>
              </w:rPr>
              <w:t>What are we still missing that would materially change how we understand NuVue's growth opportunity or website strategy?</w:t>
            </w:r>
          </w:p>
        </w:tc>
        <w:tc>
          <w:tcPr>
            <w:tcW w:type="dxa" w:w="8568"/>
            <w:vAlign w:val="center"/>
            <w:tcMar>
              <w:top w:w="110" w:type="dxa"/>
              <w:start w:w="110" w:type="dxa"/>
              <w:bottom w:w="110" w:type="dxa"/>
              <w:end w:w="110" w:type="dxa"/>
            </w:tcMar>
          </w:tcPr>
          <w:p>
            <w:r>
              <w:rPr>
                <w:rFonts w:ascii="Aptos" w:hAnsi="Aptos"/>
                <w:color w:val="374151"/>
                <w:sz w:val="16"/>
              </w:rPr>
              <w:t>Share context, files, concerns, internal disagreement, or a decision you want the Blueprint to help resolve.</w:t>
            </w:r>
          </w:p>
        </w:tc>
      </w:tr>
    </w:tbl>
    <w:p>
      <w:pPr>
        <w:spacing w:before="40" w:after="40"/>
      </w:pPr>
      <w:r>
        <w:rPr>
          <w:b/>
          <w:color w:val="6B7280"/>
          <w:sz w:val="16"/>
        </w:rPr>
        <w:t>Your response / update:</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20"/>
      </w:pPr>
      <w:r>
        <w:rPr>
          <w:color w:val="6B7280"/>
          <w:sz w:val="16"/>
        </w:rPr>
        <w:t>________________________________________________________________________________</w:t>
      </w:r>
    </w:p>
    <w:p>
      <w:pPr>
        <w:spacing w:after="40"/>
      </w:pPr>
    </w:p>
    <w:p>
      <w:pPr>
        <w:pStyle w:val="Heading1"/>
      </w:pPr>
      <w:r>
        <w:t>What Happens Next</w:t>
      </w:r>
    </w:p>
    <w:p>
      <w:r>
        <w:t>SimpliCreative will reconcile these responses with the other approved Blueprint inputs, including research, analytics, search data, CRM evidence where available, and prior strategic context. Conflicting inputs will remain visible until they are resolved. Client statements will be preserved as client-provided evidence rather than silently converted into independently verified facts.</w:t>
      </w:r>
    </w:p>
    <w:p>
      <w:r>
        <w:rPr>
          <w:b/>
          <w:color w:val="1B7F79"/>
        </w:rPr>
        <w:t>The goal is not to collect more information for its own sake. The goal is to reduce strategic uncertainty before recommendations are made.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4"/>
      </w:rPr>
      <w:t>SimpliCreative | SimpliBlueprint Gold Standard | Editable Strategist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4"/>
      </w:rPr>
      <w:t>GS-BLUE-003 | Personalized Blueprint Questionnaire | NuVue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B7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B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