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Executive Diagnostic Follow-Up</w:t>
      </w:r>
    </w:p>
    <w:p>
      <w:pPr>
        <w:spacing w:after="200"/>
      </w:pPr>
      <w:r>
        <w:rPr>
          <w:rFonts w:ascii="Aptos" w:hAnsi="Aptos"/>
          <w:color w:val="4B5563"/>
          <w:sz w:val="20"/>
        </w:rPr>
        <w:t>Northstar Leadership Institute | Demonstration Output</w:t>
      </w:r>
    </w:p>
    <w:tbl>
      <w:tblPr>
        <w:tblStyle w:val="TableGrid"/>
        <w:tblW w:type="auto" w:w="0"/>
        <w:jc w:val="center"/>
        <w:tblLook w:firstColumn="1" w:firstRow="1" w:lastColumn="0" w:lastRow="0" w:noHBand="0" w:noVBand="1" w:val="04A0"/>
      </w:tblPr>
      <w:tblGrid>
        <w:gridCol w:w="4968"/>
        <w:gridCol w:w="4968"/>
      </w:tblGrid>
      <w:tr>
        <w:tc>
          <w:tcPr>
            <w:tcW w:type="dxa" w:w="4968"/>
            <w:shd w:fill="F3F5F7"/>
            <w:tcMar>
              <w:top w:w="130" w:type="dxa"/>
              <w:start w:w="150" w:type="dxa"/>
              <w:bottom w:w="130" w:type="dxa"/>
              <w:end w:w="150" w:type="dxa"/>
            </w:tcMar>
            <w:vAlign w:val="center"/>
          </w:tcPr>
          <w:p>
            <w:pPr>
              <w:spacing w:after="0"/>
            </w:pPr>
            <w:r>
              <w:rPr>
                <w:rFonts w:ascii="Aptos" w:hAnsi="Aptos"/>
                <w:b/>
                <w:color w:val="173B56"/>
                <w:sz w:val="18"/>
              </w:rPr>
              <w:t>Output</w:t>
            </w:r>
          </w:p>
        </w:tc>
        <w:tc>
          <w:tcPr>
            <w:tcW w:type="dxa" w:w="4968"/>
            <w:tcMar>
              <w:top w:w="130" w:type="dxa"/>
              <w:start w:w="150" w:type="dxa"/>
              <w:bottom w:w="130" w:type="dxa"/>
              <w:end w:w="150" w:type="dxa"/>
            </w:tcMar>
            <w:vAlign w:val="center"/>
          </w:tcPr>
          <w:p>
            <w:pPr>
              <w:spacing w:after="0"/>
            </w:pPr>
            <w:r>
              <w:rPr>
                <w:rFonts w:ascii="Aptos" w:hAnsi="Aptos"/>
                <w:sz w:val="18"/>
              </w:rPr>
              <w:t>Executive Diagnostic Follow-Up</w:t>
            </w:r>
          </w:p>
        </w:tc>
      </w:tr>
      <w:tr>
        <w:tc>
          <w:tcPr>
            <w:tcW w:type="dxa" w:w="4968"/>
            <w:shd w:fill="F3F5F7"/>
            <w:tcMar>
              <w:top w:w="130" w:type="dxa"/>
              <w:start w:w="150" w:type="dxa"/>
              <w:bottom w:w="130" w:type="dxa"/>
              <w:end w:w="150" w:type="dxa"/>
            </w:tcMar>
            <w:vAlign w:val="center"/>
          </w:tcPr>
          <w:p>
            <w:pPr>
              <w:spacing w:after="0"/>
            </w:pPr>
            <w:r>
              <w:rPr>
                <w:rFonts w:ascii="Aptos" w:hAnsi="Aptos"/>
                <w:b/>
                <w:color w:val="173B56"/>
                <w:sz w:val="18"/>
              </w:rPr>
              <w:t>Audience</w:t>
            </w:r>
          </w:p>
        </w:tc>
        <w:tc>
          <w:tcPr>
            <w:tcW w:type="dxa" w:w="4968"/>
            <w:tcMar>
              <w:top w:w="130" w:type="dxa"/>
              <w:start w:w="150" w:type="dxa"/>
              <w:bottom w:w="130" w:type="dxa"/>
              <w:end w:w="150" w:type="dxa"/>
            </w:tcMar>
            <w:vAlign w:val="center"/>
          </w:tcPr>
          <w:p>
            <w:pPr>
              <w:spacing w:after="0"/>
            </w:pPr>
            <w:r>
              <w:rPr>
                <w:rFonts w:ascii="Aptos" w:hAnsi="Aptos"/>
                <w:sz w:val="18"/>
              </w:rPr>
              <w:t>Prospect / Client</w:t>
            </w:r>
          </w:p>
        </w:tc>
      </w:tr>
      <w:tr>
        <w:tc>
          <w:tcPr>
            <w:tcW w:type="dxa" w:w="4968"/>
            <w:shd w:fill="F3F5F7"/>
            <w:tcMar>
              <w:top w:w="130" w:type="dxa"/>
              <w:start w:w="150" w:type="dxa"/>
              <w:bottom w:w="130" w:type="dxa"/>
              <w:end w:w="150" w:type="dxa"/>
            </w:tcMar>
            <w:vAlign w:val="center"/>
          </w:tcPr>
          <w:p>
            <w:pPr>
              <w:spacing w:after="0"/>
            </w:pPr>
            <w:r>
              <w:rPr>
                <w:rFonts w:ascii="Aptos" w:hAnsi="Aptos"/>
                <w:b/>
                <w:color w:val="173B56"/>
                <w:sz w:val="18"/>
              </w:rPr>
              <w:t>Route</w:t>
            </w:r>
          </w:p>
        </w:tc>
        <w:tc>
          <w:tcPr>
            <w:tcW w:type="dxa" w:w="4968"/>
            <w:tcMar>
              <w:top w:w="130" w:type="dxa"/>
              <w:start w:w="150" w:type="dxa"/>
              <w:bottom w:w="130" w:type="dxa"/>
              <w:end w:w="150" w:type="dxa"/>
            </w:tcMar>
            <w:vAlign w:val="center"/>
          </w:tcPr>
          <w:p>
            <w:pPr>
              <w:spacing w:after="0"/>
            </w:pPr>
            <w:r>
              <w:rPr>
                <w:rFonts w:ascii="Aptos" w:hAnsi="Aptos"/>
                <w:sz w:val="18"/>
              </w:rPr>
              <w:t>SimpliBlueprint</w:t>
            </w:r>
          </w:p>
        </w:tc>
      </w:tr>
      <w:tr>
        <w:tc>
          <w:tcPr>
            <w:tcW w:type="dxa" w:w="4968"/>
            <w:shd w:fill="F3F5F7"/>
            <w:tcMar>
              <w:top w:w="130" w:type="dxa"/>
              <w:start w:w="150" w:type="dxa"/>
              <w:bottom w:w="130" w:type="dxa"/>
              <w:end w:w="150" w:type="dxa"/>
            </w:tcMar>
            <w:vAlign w:val="center"/>
          </w:tcPr>
          <w:p>
            <w:pPr>
              <w:spacing w:after="0"/>
            </w:pPr>
            <w:r>
              <w:rPr>
                <w:rFonts w:ascii="Aptos" w:hAnsi="Aptos"/>
                <w:b/>
                <w:color w:val="173B56"/>
                <w:sz w:val="18"/>
              </w:rPr>
              <w:t>Approval State</w:t>
            </w:r>
          </w:p>
        </w:tc>
        <w:tc>
          <w:tcPr>
            <w:tcW w:type="dxa" w:w="4968"/>
            <w:tcMar>
              <w:top w:w="130" w:type="dxa"/>
              <w:start w:w="150" w:type="dxa"/>
              <w:bottom w:w="130" w:type="dxa"/>
              <w:end w:w="150" w:type="dxa"/>
            </w:tcMar>
            <w:vAlign w:val="center"/>
          </w:tcPr>
          <w:p>
            <w:pPr>
              <w:spacing w:after="0"/>
            </w:pPr>
            <w:r>
              <w:rPr>
                <w:rFonts w:ascii="Aptos" w:hAnsi="Aptos"/>
                <w:sz w:val="18"/>
              </w:rPr>
              <w:t>AI draft → Human strategist approval → Send</w:t>
            </w:r>
          </w:p>
        </w:tc>
      </w:tr>
    </w:tbl>
    <w:p/>
    <w:p>
      <w:pPr>
        <w:pStyle w:val="Heading1"/>
      </w:pPr>
      <w:r>
        <w:t>Client-Facing Email</w:t>
      </w:r>
    </w:p>
    <w:tbl>
      <w:tblPr>
        <w:tblStyle w:val="TableGrid"/>
        <w:tblW w:type="auto" w:w="0"/>
        <w:jc w:val="center"/>
        <w:tblLook w:firstColumn="1" w:firstRow="1" w:lastColumn="0" w:lastRow="0" w:noHBand="0" w:noVBand="1" w:val="04A0"/>
      </w:tblPr>
      <w:tblGrid>
        <w:gridCol w:w="4968"/>
        <w:gridCol w:w="4968"/>
      </w:tblGrid>
      <w:tr>
        <w:tc>
          <w:tcPr>
            <w:tcW w:type="dxa" w:w="4968"/>
            <w:shd w:fill="F3F5F7"/>
            <w:tcMar>
              <w:top w:w="120" w:type="dxa"/>
              <w:start w:w="140" w:type="dxa"/>
              <w:bottom w:w="120" w:type="dxa"/>
              <w:end w:w="140" w:type="dxa"/>
            </w:tcMar>
            <w:vAlign w:val="center"/>
          </w:tcPr>
          <w:p>
            <w:pPr>
              <w:spacing w:after="0"/>
            </w:pPr>
            <w:r>
              <w:rPr>
                <w:rFonts w:ascii="Aptos" w:hAnsi="Aptos"/>
                <w:b/>
                <w:color w:val="173B56"/>
                <w:sz w:val="18"/>
              </w:rPr>
              <w:t>To</w:t>
            </w:r>
          </w:p>
        </w:tc>
        <w:tc>
          <w:tcPr>
            <w:tcW w:type="dxa" w:w="4968"/>
            <w:tcMar>
              <w:top w:w="120" w:type="dxa"/>
              <w:start w:w="140" w:type="dxa"/>
              <w:bottom w:w="120" w:type="dxa"/>
              <w:end w:w="140" w:type="dxa"/>
            </w:tcMar>
            <w:vAlign w:val="center"/>
          </w:tcPr>
          <w:p>
            <w:pPr>
              <w:spacing w:after="0"/>
            </w:pPr>
            <w:r>
              <w:rPr>
                <w:rFonts w:ascii="Aptos" w:hAnsi="Aptos"/>
                <w:sz w:val="18"/>
              </w:rPr>
              <w:t>Maya Chen</w:t>
            </w:r>
          </w:p>
        </w:tc>
      </w:tr>
      <w:tr>
        <w:tc>
          <w:tcPr>
            <w:tcW w:type="dxa" w:w="4968"/>
            <w:shd w:fill="F3F5F7"/>
            <w:tcMar>
              <w:top w:w="120" w:type="dxa"/>
              <w:start w:w="140" w:type="dxa"/>
              <w:bottom w:w="120" w:type="dxa"/>
              <w:end w:w="140" w:type="dxa"/>
            </w:tcMar>
            <w:vAlign w:val="center"/>
          </w:tcPr>
          <w:p>
            <w:pPr>
              <w:spacing w:after="0"/>
            </w:pPr>
            <w:r>
              <w:rPr>
                <w:rFonts w:ascii="Aptos" w:hAnsi="Aptos"/>
                <w:b/>
                <w:color w:val="173B56"/>
                <w:sz w:val="18"/>
              </w:rPr>
              <w:t>Subject</w:t>
            </w:r>
          </w:p>
        </w:tc>
        <w:tc>
          <w:tcPr>
            <w:tcW w:type="dxa" w:w="4968"/>
            <w:tcMar>
              <w:top w:w="120" w:type="dxa"/>
              <w:start w:w="140" w:type="dxa"/>
              <w:bottom w:w="120" w:type="dxa"/>
              <w:end w:w="140" w:type="dxa"/>
            </w:tcMar>
            <w:vAlign w:val="center"/>
          </w:tcPr>
          <w:p>
            <w:pPr>
              <w:spacing w:after="0"/>
            </w:pPr>
            <w:r>
              <w:rPr>
                <w:rFonts w:ascii="Aptos" w:hAnsi="Aptos"/>
                <w:sz w:val="18"/>
              </w:rPr>
              <w:t>Northstar Diagnostic follow-up and recommended next step</w:t>
            </w:r>
          </w:p>
        </w:tc>
      </w:tr>
      <w:tr>
        <w:tc>
          <w:tcPr>
            <w:tcW w:type="dxa" w:w="4968"/>
            <w:shd w:fill="F3F5F7"/>
            <w:tcMar>
              <w:top w:w="120" w:type="dxa"/>
              <w:start w:w="140" w:type="dxa"/>
              <w:bottom w:w="120" w:type="dxa"/>
              <w:end w:w="140" w:type="dxa"/>
            </w:tcMar>
            <w:vAlign w:val="center"/>
          </w:tcPr>
          <w:p>
            <w:pPr>
              <w:spacing w:after="0"/>
            </w:pPr>
            <w:r>
              <w:rPr>
                <w:rFonts w:ascii="Aptos" w:hAnsi="Aptos"/>
                <w:b/>
                <w:color w:val="173B56"/>
                <w:sz w:val="18"/>
              </w:rPr>
              <w:t>Purpose</w:t>
            </w:r>
          </w:p>
        </w:tc>
        <w:tc>
          <w:tcPr>
            <w:tcW w:type="dxa" w:w="4968"/>
            <w:tcMar>
              <w:top w:w="120" w:type="dxa"/>
              <w:start w:w="140" w:type="dxa"/>
              <w:bottom w:w="120" w:type="dxa"/>
              <w:end w:w="140" w:type="dxa"/>
            </w:tcMar>
            <w:vAlign w:val="center"/>
          </w:tcPr>
          <w:p>
            <w:pPr>
              <w:spacing w:after="0"/>
            </w:pPr>
            <w:r>
              <w:rPr>
                <w:rFonts w:ascii="Aptos" w:hAnsi="Aptos"/>
                <w:sz w:val="18"/>
              </w:rPr>
              <w:t>Reflect the Diagnostic conclusion, preserve uncertainty, and support internal alignment around the next step.</w:t>
            </w:r>
          </w:p>
        </w:tc>
      </w:tr>
    </w:tbl>
    <w:p/>
    <w:p>
      <w:pPr>
        <w:spacing w:after="160" w:line="264" w:lineRule="auto"/>
      </w:pPr>
      <w:r>
        <w:t>Hi Maya,</w:t>
      </w:r>
    </w:p>
    <w:p>
      <w:pPr>
        <w:spacing w:after="160" w:line="264" w:lineRule="auto"/>
      </w:pPr>
      <w:r>
        <w:t>Thank you again for the conversation. The clearest takeaway from the Diagnostic is that Northstar’s challenge does not appear to be simply a question of generating more website traffic.</w:t>
      </w:r>
    </w:p>
    <w:p>
      <w:pPr>
        <w:spacing w:after="160" w:line="264" w:lineRule="auto"/>
      </w:pPr>
      <w:r>
        <w:t>The stronger pattern is that several issues may be connected: how corporate buyers move through the website, how clearly Northstar’s strongest proof and differentiation show up during evaluation, and how reliably marketing activity can be connected to qualified corporate opportunities.</w:t>
      </w:r>
    </w:p>
    <w:p>
      <w:pPr>
        <w:spacing w:after="160" w:line="264" w:lineRule="auto"/>
      </w:pPr>
      <w:r>
        <w:t>We also heard an important constraint in the current evidence. We do not yet have enough information to say which website journeys are creating or losing qualified demand, which channels are producing the highest-quality corporate opportunities, or how confidently current HubSpot data can support opportunity and revenue reporting.</w:t>
      </w:r>
    </w:p>
    <w:p>
      <w:pPr>
        <w:spacing w:after="160" w:line="264" w:lineRule="auto"/>
      </w:pPr>
      <w:r>
        <w:t>That is why our recommended next step is SimpliBlueprint rather than moving directly into implementation. The Blueprint would give us the room to validate those questions before defining what should change, in what sequence, and what should be measured.</w:t>
      </w:r>
    </w:p>
    <w:p>
      <w:pPr>
        <w:spacing w:after="160" w:line="264" w:lineRule="auto"/>
      </w:pPr>
      <w:r>
        <w:t>The areas we would expect to investigate include the corporate buyer journey and decision path, messaging and proof at key evaluation points, current conversion and measurement baselines, channel-to-opportunity visibility, and the implementation priorities that are most likely to matter.</w:t>
      </w:r>
    </w:p>
    <w:p>
      <w:pPr>
        <w:spacing w:after="160" w:line="264" w:lineRule="auto"/>
      </w:pPr>
      <w:r>
        <w:t>As discussed, the immediate next step is to give that scoping conversation a little more context. If you can share the recent leadership marketing report and a sample corporate proposal, we can use those to sharpen the Blueprint discussion. It would also be helpful to know whether the CEO and Chief Growth Officer should join that conversation.</w:t>
      </w:r>
    </w:p>
    <w:p>
      <w:pPr>
        <w:spacing w:after="160" w:line="264" w:lineRule="auto"/>
      </w:pPr>
      <w:r>
        <w:t>Once you have had a chance to align internally, we can scope the Blueprint appropriately. We are not recommending a fully formed implementation proposal from this Diagnostic because there are still strategic questions worth validating first.</w:t>
      </w:r>
    </w:p>
    <w:p>
      <w:pPr>
        <w:spacing w:after="160" w:line="264" w:lineRule="auto"/>
      </w:pPr>
      <w:r>
        <w:t>Best,</w:t>
      </w:r>
      <w:r>
        <w:br/>
      </w:r>
      <w:r>
        <w:rPr>
          <w:b/>
        </w:rPr>
        <w:t>SimpliCreative</w:t>
      </w:r>
    </w:p>
    <w:p>
      <w:pPr>
        <w:pStyle w:val="Heading1"/>
      </w:pPr>
      <w:r>
        <w:t>Generation Notes</w:t>
      </w:r>
    </w:p>
    <w:tbl>
      <w:tblPr>
        <w:tblStyle w:val="TableGrid"/>
        <w:tblW w:type="auto" w:w="0"/>
        <w:tblLook w:firstColumn="1" w:firstRow="1" w:lastColumn="0" w:lastRow="0" w:noHBand="0" w:noVBand="1" w:val="04A0"/>
      </w:tblPr>
      <w:tblGrid>
        <w:gridCol w:w="9936"/>
      </w:tblGrid>
      <w:tr>
        <w:tc>
          <w:tcPr>
            <w:tcW w:type="dxa" w:w="9936"/>
            <w:shd w:fill="FCE4D6"/>
            <w:tcMar>
              <w:top w:w="150" w:type="dxa"/>
              <w:start w:w="160" w:type="dxa"/>
              <w:bottom w:w="150" w:type="dxa"/>
              <w:end w:w="160" w:type="dxa"/>
            </w:tcMar>
          </w:tcPr>
          <w:p>
            <w:pPr>
              <w:spacing w:after="0" w:line="252" w:lineRule="auto"/>
            </w:pPr>
            <w:r>
              <w:rPr>
                <w:rFonts w:ascii="Aptos" w:hAnsi="Aptos"/>
                <w:color w:val="4B5563"/>
                <w:sz w:val="18"/>
              </w:rPr>
              <w:t>This Gold Standard is generated only after the human-approved Diagnostic Record and route decision exist. It may summarize approved findings, preserve material uncertainty, explain the approved route, and restate call commitments. It may not create new strategy, convert hypotheses into root-cause conclusions, imply proposal readiness, or introduce unsupported claims.</w:t>
            </w:r>
          </w:p>
        </w:tc>
      </w:tr>
    </w:tbl>
    <w:p/>
    <w:p>
      <w:pPr>
        <w:pStyle w:val="ListBullet"/>
        <w:spacing w:after="60"/>
      </w:pPr>
      <w:r>
        <w:t>Source of truth: human-approved Executive Diagnostic Record + validated call commitments.</w:t>
      </w:r>
    </w:p>
    <w:p>
      <w:pPr>
        <w:pStyle w:val="ListBullet"/>
        <w:spacing w:after="60"/>
      </w:pPr>
      <w:r>
        <w:t>Human approval required before send.</w:t>
      </w:r>
    </w:p>
    <w:p>
      <w:pPr>
        <w:pStyle w:val="ListBullet"/>
        <w:spacing w:after="60"/>
      </w:pPr>
      <w:r>
        <w:t>If the approved route changes, regenerate the follow-up from the current approved Diagnostic state.</w:t>
      </w:r>
    </w:p>
    <w:p>
      <w:pPr>
        <w:pStyle w:val="ListBullet"/>
        <w:spacing w:after="60"/>
      </w:pPr>
      <w:r>
        <w:t>Blueprint fit does not authorize proposal generation.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6"/>
      </w:rPr>
      <w:t>GS-DIAG-003 | SimpliCreative | Demonstration Gold Standard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7F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