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Strategy-to-Execution Handoff</w:t>
      </w:r>
    </w:p>
    <w:p>
      <w:pPr>
        <w:jc w:val="center"/>
      </w:pPr>
      <w:r>
        <w:rPr>
          <w:b/>
          <w:sz w:val="24"/>
        </w:rPr>
        <w:t>NuVue | SimpliFoundation Demonstration Output</w:t>
      </w:r>
    </w:p>
    <w:p>
      <w:pPr>
        <w:jc w:val="center"/>
      </w:pPr>
      <w:r>
        <w:rPr>
          <w:b/>
          <w:sz w:val="19"/>
        </w:rPr>
        <w:t>CONTENT-FIRST SAMPLE. This handoff translates the approved NuVue Blueprint into implementation context. It is not a substitute for the full Blueprint Report or final project scope.</w:t>
      </w:r>
    </w:p>
    <w:p>
      <w:pPr>
        <w:pStyle w:val="Heading1"/>
      </w:pPr>
      <w:r>
        <w:t>1. Foundation Entry</w:t>
      </w:r>
    </w:p>
    <w:tbl>
      <w:tblPr>
        <w:tblStyle w:val="TableGrid"/>
        <w:tblW w:type="auto" w:w="0"/>
        <w:jc w:val="center"/>
        <w:tblLook w:firstColumn="1" w:firstRow="1" w:lastColumn="0" w:lastRow="0" w:noHBand="0" w:noVBand="1" w:val="04A0"/>
      </w:tblPr>
      <w:tblGrid>
        <w:gridCol w:w="5112"/>
        <w:gridCol w:w="5112"/>
      </w:tblGrid>
      <w:tr>
        <w:tc>
          <w:tcPr>
            <w:tcW w:type="dxa" w:w="2520"/>
            <w:vAlign w:val="center"/>
            <w:tcMar>
              <w:top w:w="90" w:type="dxa"/>
              <w:start w:w="90" w:type="dxa"/>
              <w:bottom w:w="90" w:type="dxa"/>
              <w:end w:w="90" w:type="dxa"/>
            </w:tcMar>
            <w:shd w:fill="EDEDED"/>
          </w:tcPr>
          <w:p>
            <w:pPr>
              <w:spacing w:after="0" w:line="240" w:lineRule="auto"/>
            </w:pPr>
            <w:r>
              <w:rPr>
                <w:rFonts w:ascii="Arial" w:hAnsi="Arial"/>
                <w:b/>
                <w:sz w:val="18"/>
              </w:rPr>
              <w:t>Field</w:t>
            </w:r>
          </w:p>
        </w:tc>
        <w:tc>
          <w:tcPr>
            <w:tcW w:type="dxa" w:w="8424"/>
            <w:vAlign w:val="center"/>
            <w:tcMar>
              <w:top w:w="90" w:type="dxa"/>
              <w:start w:w="90" w:type="dxa"/>
              <w:bottom w:w="90" w:type="dxa"/>
              <w:end w:w="90" w:type="dxa"/>
            </w:tcMar>
            <w:shd w:fill="EDEDED"/>
          </w:tcPr>
          <w:p>
            <w:pPr>
              <w:spacing w:after="0" w:line="240" w:lineRule="auto"/>
            </w:pPr>
            <w:r>
              <w:rPr>
                <w:rFonts w:ascii="Arial" w:hAnsi="Arial"/>
                <w:b/>
                <w:sz w:val="18"/>
              </w:rPr>
              <w:t>Handoff</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Entry path</w:t>
            </w:r>
          </w:p>
        </w:tc>
        <w:tc>
          <w:tcPr>
            <w:tcW w:type="dxa" w:w="8424"/>
            <w:vAlign w:val="center"/>
            <w:tcMar>
              <w:top w:w="90" w:type="dxa"/>
              <w:start w:w="90" w:type="dxa"/>
              <w:bottom w:w="90" w:type="dxa"/>
              <w:end w:w="90" w:type="dxa"/>
            </w:tcMar>
          </w:tcPr>
          <w:p>
            <w:pPr>
              <w:spacing w:after="0" w:line="240" w:lineRule="auto"/>
            </w:pPr>
            <w:r>
              <w:rPr>
                <w:rFonts w:ascii="Arial" w:hAnsi="Arial"/>
                <w:sz w:val="18"/>
              </w:rPr>
              <w:t>Approved Blueprint -&gt; SimpliFoundation</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Primary strategic source</w:t>
            </w:r>
          </w:p>
        </w:tc>
        <w:tc>
          <w:tcPr>
            <w:tcW w:type="dxa" w:w="8424"/>
            <w:vAlign w:val="center"/>
            <w:tcMar>
              <w:top w:w="90" w:type="dxa"/>
              <w:start w:w="90" w:type="dxa"/>
              <w:bottom w:w="90" w:type="dxa"/>
              <w:end w:w="90" w:type="dxa"/>
            </w:tcMar>
          </w:tcPr>
          <w:p>
            <w:pPr>
              <w:spacing w:after="0" w:line="240" w:lineRule="auto"/>
            </w:pPr>
            <w:r>
              <w:rPr>
                <w:rFonts w:ascii="Arial" w:hAnsi="Arial"/>
                <w:sz w:val="18"/>
              </w:rPr>
              <w:t>NuVue SimpliBlueprint Client Sample</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Implementation objective</w:t>
            </w:r>
          </w:p>
        </w:tc>
        <w:tc>
          <w:tcPr>
            <w:tcW w:type="dxa" w:w="8424"/>
            <w:vAlign w:val="center"/>
            <w:tcMar>
              <w:top w:w="90" w:type="dxa"/>
              <w:start w:w="90" w:type="dxa"/>
              <w:bottom w:w="90" w:type="dxa"/>
              <w:end w:w="90" w:type="dxa"/>
            </w:tcMar>
          </w:tcPr>
          <w:p>
            <w:pPr>
              <w:spacing w:after="0" w:line="240" w:lineRule="auto"/>
            </w:pPr>
            <w:r>
              <w:rPr>
                <w:rFonts w:ascii="Arial" w:hAnsi="Arial"/>
                <w:sz w:val="18"/>
              </w:rPr>
              <w:t>Translate approved strategy into a digital foundation without losing the reasoning, priorities, dependencies, measurement requirements, or evidence boundaries established upstream.</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Primary business direction</w:t>
            </w:r>
          </w:p>
        </w:tc>
        <w:tc>
          <w:tcPr>
            <w:tcW w:type="dxa" w:w="8424"/>
            <w:vAlign w:val="center"/>
            <w:tcMar>
              <w:top w:w="90" w:type="dxa"/>
              <w:start w:w="90" w:type="dxa"/>
              <w:bottom w:w="90" w:type="dxa"/>
              <w:end w:w="90" w:type="dxa"/>
            </w:tcMar>
          </w:tcPr>
          <w:p>
            <w:pPr>
              <w:spacing w:after="0" w:line="240" w:lineRule="auto"/>
            </w:pPr>
            <w:r>
              <w:rPr>
                <w:rFonts w:ascii="Arial" w:hAnsi="Arial"/>
                <w:sz w:val="18"/>
              </w:rPr>
              <w:t>Support enterprise growth by making NuVue easier for qualified corporate buyers to understand, trust, and act on.</w:t>
            </w:r>
          </w:p>
        </w:tc>
      </w:tr>
      <w:tr>
        <w:tc>
          <w:tcPr>
            <w:tcW w:type="dxa" w:w="2520"/>
            <w:vAlign w:val="center"/>
            <w:tcMar>
              <w:top w:w="90" w:type="dxa"/>
              <w:start w:w="90" w:type="dxa"/>
              <w:bottom w:w="90" w:type="dxa"/>
              <w:end w:w="90" w:type="dxa"/>
            </w:tcMar>
          </w:tcPr>
          <w:p>
            <w:pPr>
              <w:spacing w:after="0" w:line="240" w:lineRule="auto"/>
            </w:pPr>
            <w:r>
              <w:rPr>
                <w:rFonts w:ascii="Arial" w:hAnsi="Arial"/>
                <w:sz w:val="18"/>
              </w:rPr>
              <w:t>Key implementation principle</w:t>
            </w:r>
          </w:p>
        </w:tc>
        <w:tc>
          <w:tcPr>
            <w:tcW w:type="dxa" w:w="8424"/>
            <w:vAlign w:val="center"/>
            <w:tcMar>
              <w:top w:w="90" w:type="dxa"/>
              <w:start w:w="90" w:type="dxa"/>
              <w:bottom w:w="90" w:type="dxa"/>
              <w:end w:w="90" w:type="dxa"/>
            </w:tcMar>
          </w:tcPr>
          <w:p>
            <w:pPr>
              <w:spacing w:after="0" w:line="240" w:lineRule="auto"/>
            </w:pPr>
            <w:r>
              <w:rPr>
                <w:rFonts w:ascii="Arial" w:hAnsi="Arial"/>
                <w:sz w:val="18"/>
              </w:rPr>
              <w:t>Corporate-first buyer journey, with a distinct individual-professional path preserved.</w:t>
            </w:r>
          </w:p>
        </w:tc>
      </w:tr>
    </w:tbl>
    <w:p/>
    <w:p>
      <w:pPr>
        <w:pStyle w:val="Heading1"/>
      </w:pPr>
      <w:r>
        <w:t>2. Executive Implementation Context</w:t>
      </w:r>
    </w:p>
    <w:p>
      <w:r>
        <w:rPr>
          <w:b/>
        </w:rPr>
        <w:t xml:space="preserve">Business objective: </w:t>
      </w:r>
      <w:r>
        <w:t>Support growth toward a larger enterprise sales opportunity.</w:t>
      </w:r>
    </w:p>
    <w:p>
      <w:r>
        <w:rPr>
          <w:b/>
        </w:rPr>
        <w:t xml:space="preserve">Marketing objective: </w:t>
      </w:r>
      <w:r>
        <w:t>Make NuVue easier for qualified buyers to discover, understand, trust, and act on.</w:t>
      </w:r>
    </w:p>
    <w:p>
      <w:r>
        <w:rPr>
          <w:b/>
        </w:rPr>
        <w:t xml:space="preserve">Website objective: </w:t>
      </w:r>
      <w:r>
        <w:t>Separate buyer paths, surface proof, organize offers around three solution pillars, and connect meaningful behavior to qualified business outcomes.</w:t>
      </w:r>
    </w:p>
    <w:p>
      <w:r>
        <w:rPr>
          <w:b/>
        </w:rPr>
        <w:t xml:space="preserve">Big picture: </w:t>
      </w:r>
      <w:r>
        <w:t>NuVue has stronger expertise, proof, and differentiation than its current digital experience makes visible.</w:t>
      </w:r>
    </w:p>
    <w:p>
      <w:r>
        <w:rPr>
          <w:b/>
        </w:rPr>
        <w:t xml:space="preserve">Primary audience: </w:t>
      </w:r>
      <w:r>
        <w:t>Corporate buyers first. Individual sales professionals remain a distinct secondary journey.</w:t>
      </w:r>
    </w:p>
    <w:p>
      <w:r>
        <w:rPr>
          <w:b/>
        </w:rPr>
        <w:t xml:space="preserve">Strategic caution: </w:t>
      </w:r>
      <w:r>
        <w:t>Several evidence gaps still affect final scope, sequencing, claims, and measurement. Foundation should implement approved strategy while preserving those unresolved items rather than silently resolving them.</w:t>
      </w:r>
    </w:p>
    <w:p>
      <w:pPr>
        <w:pStyle w:val="Heading1"/>
      </w:pPr>
      <w:r>
        <w:t>3. Approved Strategic Direction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tcMar>
              <w:top w:w="90" w:type="dxa"/>
              <w:start w:w="90" w:type="dxa"/>
              <w:bottom w:w="90" w:type="dxa"/>
              <w:end w:w="90" w:type="dxa"/>
            </w:tcMar>
            <w:shd w:fill="EDEDED"/>
          </w:tcPr>
          <w:p>
            <w:pPr>
              <w:spacing w:after="0" w:line="240" w:lineRule="auto"/>
            </w:pPr>
            <w:r>
              <w:rPr>
                <w:rFonts w:ascii="Arial" w:hAnsi="Arial"/>
                <w:b/>
                <w:sz w:val="18"/>
              </w:rPr>
              <w:t>Area</w:t>
            </w:r>
          </w:p>
        </w:tc>
        <w:tc>
          <w:tcPr>
            <w:tcW w:type="dxa" w:w="3672"/>
            <w:vAlign w:val="center"/>
            <w:tcMar>
              <w:top w:w="90" w:type="dxa"/>
              <w:start w:w="90" w:type="dxa"/>
              <w:bottom w:w="90" w:type="dxa"/>
              <w:end w:w="90" w:type="dxa"/>
            </w:tcMar>
            <w:shd w:fill="EDEDED"/>
          </w:tcPr>
          <w:p>
            <w:pPr>
              <w:spacing w:after="0" w:line="240" w:lineRule="auto"/>
            </w:pPr>
            <w:r>
              <w:rPr>
                <w:rFonts w:ascii="Arial" w:hAnsi="Arial"/>
                <w:b/>
                <w:sz w:val="18"/>
              </w:rPr>
              <w:t>Approved direction</w:t>
            </w:r>
          </w:p>
        </w:tc>
        <w:tc>
          <w:tcPr>
            <w:tcW w:type="dxa" w:w="5328"/>
            <w:vAlign w:val="center"/>
            <w:tcMar>
              <w:top w:w="90" w:type="dxa"/>
              <w:start w:w="90" w:type="dxa"/>
              <w:bottom w:w="90" w:type="dxa"/>
              <w:end w:w="90" w:type="dxa"/>
            </w:tcMar>
            <w:shd w:fill="EDEDED"/>
          </w:tcPr>
          <w:p>
            <w:pPr>
              <w:spacing w:after="0" w:line="240" w:lineRule="auto"/>
            </w:pPr>
            <w:r>
              <w:rPr>
                <w:rFonts w:ascii="Arial" w:hAnsi="Arial"/>
                <w:b/>
                <w:sz w:val="18"/>
              </w:rPr>
              <w:t>Implementation implication</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Buyer architecture</w:t>
            </w:r>
          </w:p>
        </w:tc>
        <w:tc>
          <w:tcPr>
            <w:tcW w:type="dxa" w:w="3672"/>
            <w:vAlign w:val="center"/>
            <w:tcMar>
              <w:top w:w="90" w:type="dxa"/>
              <w:start w:w="90" w:type="dxa"/>
              <w:bottom w:w="90" w:type="dxa"/>
              <w:end w:w="90" w:type="dxa"/>
            </w:tcMar>
          </w:tcPr>
          <w:p>
            <w:pPr>
              <w:spacing w:after="0" w:line="240" w:lineRule="auto"/>
            </w:pPr>
            <w:r>
              <w:rPr>
                <w:rFonts w:ascii="Arial" w:hAnsi="Arial"/>
                <w:sz w:val="18"/>
              </w:rPr>
              <w:t>Prioritize corporate buyers while preserving a clear individual-professional path.</w:t>
            </w:r>
          </w:p>
        </w:tc>
        <w:tc>
          <w:tcPr>
            <w:tcW w:type="dxa" w:w="5328"/>
            <w:vAlign w:val="center"/>
            <w:tcMar>
              <w:top w:w="90" w:type="dxa"/>
              <w:start w:w="90" w:type="dxa"/>
              <w:bottom w:w="90" w:type="dxa"/>
              <w:end w:w="90" w:type="dxa"/>
            </w:tcMar>
          </w:tcPr>
          <w:p>
            <w:pPr>
              <w:spacing w:after="0" w:line="240" w:lineRule="auto"/>
            </w:pPr>
            <w:r>
              <w:rPr>
                <w:rFonts w:ascii="Arial" w:hAnsi="Arial"/>
                <w:sz w:val="18"/>
              </w:rPr>
              <w:t>Homepage and navigation should route buyers early. Corporate experience needs stronger proof, qualification, consultation, and risk-reduction cues.</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Solution architecture</w:t>
            </w:r>
          </w:p>
        </w:tc>
        <w:tc>
          <w:tcPr>
            <w:tcW w:type="dxa" w:w="3672"/>
            <w:vAlign w:val="center"/>
            <w:tcMar>
              <w:top w:w="90" w:type="dxa"/>
              <w:start w:w="90" w:type="dxa"/>
              <w:bottom w:w="90" w:type="dxa"/>
              <w:end w:w="90" w:type="dxa"/>
            </w:tcMar>
          </w:tcPr>
          <w:p>
            <w:pPr>
              <w:spacing w:after="0" w:line="240" w:lineRule="auto"/>
            </w:pPr>
            <w:r>
              <w:rPr>
                <w:rFonts w:ascii="Arial" w:hAnsi="Arial"/>
                <w:sz w:val="18"/>
              </w:rPr>
              <w:t>Organize around three solution pillars: Sales Development; Leadership &amp; Executive Coaching; Business Acumen.</w:t>
            </w:r>
          </w:p>
        </w:tc>
        <w:tc>
          <w:tcPr>
            <w:tcW w:type="dxa" w:w="5328"/>
            <w:vAlign w:val="center"/>
            <w:tcMar>
              <w:top w:w="90" w:type="dxa"/>
              <w:start w:w="90" w:type="dxa"/>
              <w:bottom w:w="90" w:type="dxa"/>
              <w:end w:w="90" w:type="dxa"/>
            </w:tcMar>
          </w:tcPr>
          <w:p>
            <w:pPr>
              <w:spacing w:after="0" w:line="240" w:lineRule="auto"/>
            </w:pPr>
            <w:r>
              <w:rPr>
                <w:rFonts w:ascii="Arial" w:hAnsi="Arial"/>
                <w:sz w:val="18"/>
              </w:rPr>
              <w:t>IA, page hierarchy, proof, and content should reinforce these pillars rather than mirror the existing program catalog.</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Core narrative</w:t>
            </w:r>
          </w:p>
        </w:tc>
        <w:tc>
          <w:tcPr>
            <w:tcW w:type="dxa" w:w="3672"/>
            <w:vAlign w:val="center"/>
            <w:tcMar>
              <w:top w:w="90" w:type="dxa"/>
              <w:start w:w="90" w:type="dxa"/>
              <w:bottom w:w="90" w:type="dxa"/>
              <w:end w:w="90" w:type="dxa"/>
            </w:tcMar>
          </w:tcPr>
          <w:p>
            <w:pPr>
              <w:spacing w:after="0" w:line="240" w:lineRule="auto"/>
            </w:pPr>
            <w:r>
              <w:rPr>
                <w:rFonts w:ascii="Arial" w:hAnsi="Arial"/>
                <w:sz w:val="18"/>
              </w:rPr>
              <w:t>Lead with lasting, measurable performance improvement rather than generic enablement.</w:t>
            </w:r>
          </w:p>
        </w:tc>
        <w:tc>
          <w:tcPr>
            <w:tcW w:type="dxa" w:w="5328"/>
            <w:vAlign w:val="center"/>
            <w:tcMar>
              <w:top w:w="90" w:type="dxa"/>
              <w:start w:w="90" w:type="dxa"/>
              <w:bottom w:w="90" w:type="dxa"/>
              <w:end w:w="90" w:type="dxa"/>
            </w:tcMar>
          </w:tcPr>
          <w:p>
            <w:pPr>
              <w:spacing w:after="0" w:line="240" w:lineRule="auto"/>
            </w:pPr>
            <w:r>
              <w:rPr>
                <w:rFonts w:ascii="Arial" w:hAnsi="Arial"/>
                <w:sz w:val="18"/>
              </w:rPr>
              <w:t>Messaging, proof, page headlines, and case evidence should reinforce sustained business impact.</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Proof strategy</w:t>
            </w:r>
          </w:p>
        </w:tc>
        <w:tc>
          <w:tcPr>
            <w:tcW w:type="dxa" w:w="3672"/>
            <w:vAlign w:val="center"/>
            <w:tcMar>
              <w:top w:w="90" w:type="dxa"/>
              <w:start w:w="90" w:type="dxa"/>
              <w:bottom w:w="90" w:type="dxa"/>
              <w:end w:w="90" w:type="dxa"/>
            </w:tcMar>
          </w:tcPr>
          <w:p>
            <w:pPr>
              <w:spacing w:after="0" w:line="240" w:lineRule="auto"/>
            </w:pPr>
            <w:r>
              <w:rPr>
                <w:rFonts w:ascii="Arial" w:hAnsi="Arial"/>
                <w:sz w:val="18"/>
              </w:rPr>
              <w:t>Assemble NuVue's strongest proof into the buyer journey.</w:t>
            </w:r>
          </w:p>
        </w:tc>
        <w:tc>
          <w:tcPr>
            <w:tcW w:type="dxa" w:w="5328"/>
            <w:vAlign w:val="center"/>
            <w:tcMar>
              <w:top w:w="90" w:type="dxa"/>
              <w:start w:w="90" w:type="dxa"/>
              <w:bottom w:w="90" w:type="dxa"/>
              <w:end w:w="90" w:type="dxa"/>
            </w:tcMar>
          </w:tcPr>
          <w:p>
            <w:pPr>
              <w:spacing w:after="0" w:line="240" w:lineRule="auto"/>
            </w:pPr>
            <w:r>
              <w:rPr>
                <w:rFonts w:ascii="Arial" w:hAnsi="Arial"/>
                <w:sz w:val="18"/>
              </w:rPr>
              <w:t>24+ years, 101+ solutions, ROI evidence, guarantee, LTNS, case evidence, and expertise should appear where buyer confidence is formed.</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Measurement</w:t>
            </w:r>
          </w:p>
        </w:tc>
        <w:tc>
          <w:tcPr>
            <w:tcW w:type="dxa" w:w="3672"/>
            <w:vAlign w:val="center"/>
            <w:tcMar>
              <w:top w:w="90" w:type="dxa"/>
              <w:start w:w="90" w:type="dxa"/>
              <w:bottom w:w="90" w:type="dxa"/>
              <w:end w:w="90" w:type="dxa"/>
            </w:tcMar>
          </w:tcPr>
          <w:p>
            <w:pPr>
              <w:spacing w:after="0" w:line="240" w:lineRule="auto"/>
            </w:pPr>
            <w:r>
              <w:rPr>
                <w:rFonts w:ascii="Arial" w:hAnsi="Arial"/>
                <w:sz w:val="18"/>
              </w:rPr>
              <w:t>Connect meaningful website actions to lead qualification and opportunity progression where evidence permits.</w:t>
            </w:r>
          </w:p>
        </w:tc>
        <w:tc>
          <w:tcPr>
            <w:tcW w:type="dxa" w:w="5328"/>
            <w:vAlign w:val="center"/>
            <w:tcMar>
              <w:top w:w="90" w:type="dxa"/>
              <w:start w:w="90" w:type="dxa"/>
              <w:bottom w:w="90" w:type="dxa"/>
              <w:end w:w="90" w:type="dxa"/>
            </w:tcMar>
          </w:tcPr>
          <w:p>
            <w:pPr>
              <w:spacing w:after="0" w:line="240" w:lineRule="auto"/>
            </w:pPr>
            <w:r>
              <w:rPr>
                <w:rFonts w:ascii="Arial" w:hAnsi="Arial"/>
                <w:sz w:val="18"/>
              </w:rPr>
              <w:t>Forms, CRM fields, event tracking, and reporting need to support a defensible path from discovery to qualified outcome.</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Discoverability</w:t>
            </w:r>
          </w:p>
        </w:tc>
        <w:tc>
          <w:tcPr>
            <w:tcW w:type="dxa" w:w="3672"/>
            <w:vAlign w:val="center"/>
            <w:tcMar>
              <w:top w:w="90" w:type="dxa"/>
              <w:start w:w="90" w:type="dxa"/>
              <w:bottom w:w="90" w:type="dxa"/>
              <w:end w:w="90" w:type="dxa"/>
            </w:tcMar>
          </w:tcPr>
          <w:p>
            <w:pPr>
              <w:spacing w:after="0" w:line="240" w:lineRule="auto"/>
            </w:pPr>
            <w:r>
              <w:rPr>
                <w:rFonts w:ascii="Arial" w:hAnsi="Arial"/>
                <w:sz w:val="18"/>
              </w:rPr>
              <w:t>Strengthen category, vertical, problem, and authority visibility across search and AI-assisted research.</w:t>
            </w:r>
          </w:p>
        </w:tc>
        <w:tc>
          <w:tcPr>
            <w:tcW w:type="dxa" w:w="5328"/>
            <w:vAlign w:val="center"/>
            <w:tcMar>
              <w:top w:w="90" w:type="dxa"/>
              <w:start w:w="90" w:type="dxa"/>
              <w:bottom w:w="90" w:type="dxa"/>
              <w:end w:w="90" w:type="dxa"/>
            </w:tcMar>
          </w:tcPr>
          <w:p>
            <w:pPr>
              <w:spacing w:after="0" w:line="240" w:lineRule="auto"/>
            </w:pPr>
            <w:r>
              <w:rPr>
                <w:rFonts w:ascii="Arial" w:hAnsi="Arial"/>
                <w:sz w:val="18"/>
              </w:rPr>
              <w:t>Content architecture, schema, entity clarity, vertical pages, proof, and authority signals should be implemented from approved requirements.</w:t>
            </w:r>
          </w:p>
        </w:tc>
      </w:tr>
    </w:tbl>
    <w:p/>
    <w:p>
      <w:pPr>
        <w:pStyle w:val="Heading1"/>
      </w:pPr>
      <w:r>
        <w:t>4. What Foundation Must Not Reinterpret</w:t>
      </w:r>
    </w:p>
    <w:p>
      <w:r>
        <w:t>Foundation should not reopen or silently change the approved corporate-first direction, three-pillar architecture, core narrative, measurement principle, or implementation sequence unless material new evidence requires strategic review.</w:t>
      </w:r>
    </w:p>
    <w:p>
      <w:r>
        <w:t>Foundation should also not treat working assumptions as validated facts. The Blueprint identifies several items that still require evidence before final scope or claim language is locked.</w:t>
      </w:r>
    </w:p>
    <w:p>
      <w:pPr>
        <w:pStyle w:val="Heading1"/>
      </w:pPr>
      <w:r>
        <w:t>5. Priority Implementation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tcMar>
              <w:top w:w="90" w:type="dxa"/>
              <w:start w:w="90" w:type="dxa"/>
              <w:bottom w:w="90" w:type="dxa"/>
              <w:end w:w="90" w:type="dxa"/>
            </w:tcMar>
            <w:shd w:fill="EDEDED"/>
          </w:tcPr>
          <w:p>
            <w:pPr>
              <w:spacing w:after="0" w:line="240" w:lineRule="auto"/>
            </w:pPr>
            <w:r>
              <w:rPr>
                <w:rFonts w:ascii="Arial" w:hAnsi="Arial"/>
                <w:b/>
                <w:sz w:val="18"/>
              </w:rPr>
              <w:t>Priority</w:t>
            </w:r>
          </w:p>
        </w:tc>
        <w:tc>
          <w:tcPr>
            <w:tcW w:type="dxa" w:w="3960"/>
            <w:vAlign w:val="center"/>
            <w:tcMar>
              <w:top w:w="90" w:type="dxa"/>
              <w:start w:w="90" w:type="dxa"/>
              <w:bottom w:w="90" w:type="dxa"/>
              <w:end w:w="90" w:type="dxa"/>
            </w:tcMar>
            <w:shd w:fill="EDEDED"/>
          </w:tcPr>
          <w:p>
            <w:pPr>
              <w:spacing w:after="0" w:line="240" w:lineRule="auto"/>
            </w:pPr>
            <w:r>
              <w:rPr>
                <w:rFonts w:ascii="Arial" w:hAnsi="Arial"/>
                <w:b/>
                <w:sz w:val="18"/>
              </w:rPr>
              <w:t>Requirement</w:t>
            </w:r>
          </w:p>
        </w:tc>
        <w:tc>
          <w:tcPr>
            <w:tcW w:type="dxa" w:w="5544"/>
            <w:vAlign w:val="center"/>
            <w:tcMar>
              <w:top w:w="90" w:type="dxa"/>
              <w:start w:w="90" w:type="dxa"/>
              <w:bottom w:w="90" w:type="dxa"/>
              <w:end w:w="90" w:type="dxa"/>
            </w:tcMar>
            <w:shd w:fill="EDEDED"/>
          </w:tcPr>
          <w:p>
            <w:pPr>
              <w:spacing w:after="0" w:line="240" w:lineRule="auto"/>
            </w:pPr>
            <w:r>
              <w:rPr>
                <w:rFonts w:ascii="Arial" w:hAnsi="Arial"/>
                <w:b/>
                <w:sz w:val="18"/>
              </w:rPr>
              <w:t>Why it matters</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NOW</w:t>
            </w:r>
          </w:p>
        </w:tc>
        <w:tc>
          <w:tcPr>
            <w:tcW w:type="dxa" w:w="3960"/>
            <w:vAlign w:val="center"/>
            <w:tcMar>
              <w:top w:w="90" w:type="dxa"/>
              <w:start w:w="90" w:type="dxa"/>
              <w:bottom w:w="90" w:type="dxa"/>
              <w:end w:w="90" w:type="dxa"/>
            </w:tcMar>
          </w:tcPr>
          <w:p>
            <w:pPr>
              <w:spacing w:after="0" w:line="240" w:lineRule="auto"/>
            </w:pPr>
            <w:r>
              <w:rPr>
                <w:rFonts w:ascii="Arial" w:hAnsi="Arial"/>
                <w:sz w:val="18"/>
              </w:rPr>
              <w:t>Corporate-first buyer routing</w:t>
            </w:r>
          </w:p>
        </w:tc>
        <w:tc>
          <w:tcPr>
            <w:tcW w:type="dxa" w:w="5544"/>
            <w:vAlign w:val="center"/>
            <w:tcMar>
              <w:top w:w="90" w:type="dxa"/>
              <w:start w:w="90" w:type="dxa"/>
              <w:bottom w:w="90" w:type="dxa"/>
              <w:end w:w="90" w:type="dxa"/>
            </w:tcMar>
          </w:tcPr>
          <w:p>
            <w:pPr>
              <w:spacing w:after="0" w:line="240" w:lineRule="auto"/>
            </w:pPr>
            <w:r>
              <w:rPr>
                <w:rFonts w:ascii="Arial" w:hAnsi="Arial"/>
                <w:sz w:val="18"/>
              </w:rPr>
              <w:t>The website currently blends materially different buyer journeys.</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NOW</w:t>
            </w:r>
          </w:p>
        </w:tc>
        <w:tc>
          <w:tcPr>
            <w:tcW w:type="dxa" w:w="3960"/>
            <w:vAlign w:val="center"/>
            <w:tcMar>
              <w:top w:w="90" w:type="dxa"/>
              <w:start w:w="90" w:type="dxa"/>
              <w:bottom w:w="90" w:type="dxa"/>
              <w:end w:w="90" w:type="dxa"/>
            </w:tcMar>
          </w:tcPr>
          <w:p>
            <w:pPr>
              <w:spacing w:after="0" w:line="240" w:lineRule="auto"/>
            </w:pPr>
            <w:r>
              <w:rPr>
                <w:rFonts w:ascii="Arial" w:hAnsi="Arial"/>
                <w:sz w:val="18"/>
              </w:rPr>
              <w:t>Three-pillar information architecture</w:t>
            </w:r>
          </w:p>
        </w:tc>
        <w:tc>
          <w:tcPr>
            <w:tcW w:type="dxa" w:w="5544"/>
            <w:vAlign w:val="center"/>
            <w:tcMar>
              <w:top w:w="90" w:type="dxa"/>
              <w:start w:w="90" w:type="dxa"/>
              <w:bottom w:w="90" w:type="dxa"/>
              <w:end w:w="90" w:type="dxa"/>
            </w:tcMar>
          </w:tcPr>
          <w:p>
            <w:pPr>
              <w:spacing w:after="0" w:line="240" w:lineRule="auto"/>
            </w:pPr>
            <w:r>
              <w:rPr>
                <w:rFonts w:ascii="Arial" w:hAnsi="Arial"/>
                <w:sz w:val="18"/>
              </w:rPr>
              <w:t>NuVue's breadth is difficult to understand through the existing program hierarchy.</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NOW</w:t>
            </w:r>
          </w:p>
        </w:tc>
        <w:tc>
          <w:tcPr>
            <w:tcW w:type="dxa" w:w="3960"/>
            <w:vAlign w:val="center"/>
            <w:tcMar>
              <w:top w:w="90" w:type="dxa"/>
              <w:start w:w="90" w:type="dxa"/>
              <w:bottom w:w="90" w:type="dxa"/>
              <w:end w:w="90" w:type="dxa"/>
            </w:tcMar>
          </w:tcPr>
          <w:p>
            <w:pPr>
              <w:spacing w:after="0" w:line="240" w:lineRule="auto"/>
            </w:pPr>
            <w:r>
              <w:rPr>
                <w:rFonts w:ascii="Arial" w:hAnsi="Arial"/>
                <w:sz w:val="18"/>
              </w:rPr>
              <w:t>Proof hierarchy and credibility placement</w:t>
            </w:r>
          </w:p>
        </w:tc>
        <w:tc>
          <w:tcPr>
            <w:tcW w:type="dxa" w:w="5544"/>
            <w:vAlign w:val="center"/>
            <w:tcMar>
              <w:top w:w="90" w:type="dxa"/>
              <w:start w:w="90" w:type="dxa"/>
              <w:bottom w:w="90" w:type="dxa"/>
              <w:end w:w="90" w:type="dxa"/>
            </w:tcMar>
          </w:tcPr>
          <w:p>
            <w:pPr>
              <w:spacing w:after="0" w:line="240" w:lineRule="auto"/>
            </w:pPr>
            <w:r>
              <w:rPr>
                <w:rFonts w:ascii="Arial" w:hAnsi="Arial"/>
                <w:sz w:val="18"/>
              </w:rPr>
              <w:t>Strong differentiators exist but are fragmented and underused.</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NOW</w:t>
            </w:r>
          </w:p>
        </w:tc>
        <w:tc>
          <w:tcPr>
            <w:tcW w:type="dxa" w:w="3960"/>
            <w:vAlign w:val="center"/>
            <w:tcMar>
              <w:top w:w="90" w:type="dxa"/>
              <w:start w:w="90" w:type="dxa"/>
              <w:bottom w:w="90" w:type="dxa"/>
              <w:end w:w="90" w:type="dxa"/>
            </w:tcMar>
          </w:tcPr>
          <w:p>
            <w:pPr>
              <w:spacing w:after="0" w:line="240" w:lineRule="auto"/>
            </w:pPr>
            <w:r>
              <w:rPr>
                <w:rFonts w:ascii="Arial" w:hAnsi="Arial"/>
                <w:sz w:val="18"/>
              </w:rPr>
              <w:t>Clear conversion paths</w:t>
            </w:r>
          </w:p>
        </w:tc>
        <w:tc>
          <w:tcPr>
            <w:tcW w:type="dxa" w:w="5544"/>
            <w:vAlign w:val="center"/>
            <w:tcMar>
              <w:top w:w="90" w:type="dxa"/>
              <w:start w:w="90" w:type="dxa"/>
              <w:bottom w:w="90" w:type="dxa"/>
              <w:end w:w="90" w:type="dxa"/>
            </w:tcMar>
          </w:tcPr>
          <w:p>
            <w:pPr>
              <w:spacing w:after="0" w:line="240" w:lineRule="auto"/>
            </w:pPr>
            <w:r>
              <w:rPr>
                <w:rFonts w:ascii="Arial" w:hAnsi="Arial"/>
                <w:sz w:val="18"/>
              </w:rPr>
              <w:t>Corporate buyers need consultation/qualification actions; individual buyers need program/seminar paths.</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NOW</w:t>
            </w:r>
          </w:p>
        </w:tc>
        <w:tc>
          <w:tcPr>
            <w:tcW w:type="dxa" w:w="3960"/>
            <w:vAlign w:val="center"/>
            <w:tcMar>
              <w:top w:w="90" w:type="dxa"/>
              <w:start w:w="90" w:type="dxa"/>
              <w:bottom w:w="90" w:type="dxa"/>
              <w:end w:w="90" w:type="dxa"/>
            </w:tcMar>
          </w:tcPr>
          <w:p>
            <w:pPr>
              <w:spacing w:after="0" w:line="240" w:lineRule="auto"/>
            </w:pPr>
            <w:r>
              <w:rPr>
                <w:rFonts w:ascii="Arial" w:hAnsi="Arial"/>
                <w:sz w:val="18"/>
              </w:rPr>
              <w:t>Measurement architecture</w:t>
            </w:r>
          </w:p>
        </w:tc>
        <w:tc>
          <w:tcPr>
            <w:tcW w:type="dxa" w:w="5544"/>
            <w:vAlign w:val="center"/>
            <w:tcMar>
              <w:top w:w="90" w:type="dxa"/>
              <w:start w:w="90" w:type="dxa"/>
              <w:bottom w:w="90" w:type="dxa"/>
              <w:end w:w="90" w:type="dxa"/>
            </w:tcMar>
          </w:tcPr>
          <w:p>
            <w:pPr>
              <w:spacing w:after="0" w:line="240" w:lineRule="auto"/>
            </w:pPr>
            <w:r>
              <w:rPr>
                <w:rFonts w:ascii="Arial" w:hAnsi="Arial"/>
                <w:sz w:val="18"/>
              </w:rPr>
              <w:t>Leadership needs visibility into meaningful progression, not traffic alone.</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NEXT</w:t>
            </w:r>
          </w:p>
        </w:tc>
        <w:tc>
          <w:tcPr>
            <w:tcW w:type="dxa" w:w="3960"/>
            <w:vAlign w:val="center"/>
            <w:tcMar>
              <w:top w:w="90" w:type="dxa"/>
              <w:start w:w="90" w:type="dxa"/>
              <w:bottom w:w="90" w:type="dxa"/>
              <w:end w:w="90" w:type="dxa"/>
            </w:tcMar>
          </w:tcPr>
          <w:p>
            <w:pPr>
              <w:spacing w:after="0" w:line="240" w:lineRule="auto"/>
            </w:pPr>
            <w:r>
              <w:rPr>
                <w:rFonts w:ascii="Arial" w:hAnsi="Arial"/>
                <w:sz w:val="18"/>
              </w:rPr>
              <w:t>Vertical/industry experiences where evidence supports priority</w:t>
            </w:r>
          </w:p>
        </w:tc>
        <w:tc>
          <w:tcPr>
            <w:tcW w:type="dxa" w:w="5544"/>
            <w:vAlign w:val="center"/>
            <w:tcMar>
              <w:top w:w="90" w:type="dxa"/>
              <w:start w:w="90" w:type="dxa"/>
              <w:bottom w:w="90" w:type="dxa"/>
              <w:end w:w="90" w:type="dxa"/>
            </w:tcMar>
          </w:tcPr>
          <w:p>
            <w:pPr>
              <w:spacing w:after="0" w:line="240" w:lineRule="auto"/>
            </w:pPr>
            <w:r>
              <w:rPr>
                <w:rFonts w:ascii="Arial" w:hAnsi="Arial"/>
                <w:sz w:val="18"/>
              </w:rPr>
              <w:t>Potential growth opportunity, but sequencing depends on GSC, CRM, and sales evidence.</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FIX NEXT</w:t>
            </w:r>
          </w:p>
        </w:tc>
        <w:tc>
          <w:tcPr>
            <w:tcW w:type="dxa" w:w="3960"/>
            <w:vAlign w:val="center"/>
            <w:tcMar>
              <w:top w:w="90" w:type="dxa"/>
              <w:start w:w="90" w:type="dxa"/>
              <w:bottom w:w="90" w:type="dxa"/>
              <w:end w:w="90" w:type="dxa"/>
            </w:tcMar>
          </w:tcPr>
          <w:p>
            <w:pPr>
              <w:spacing w:after="0" w:line="240" w:lineRule="auto"/>
            </w:pPr>
            <w:r>
              <w:rPr>
                <w:rFonts w:ascii="Arial" w:hAnsi="Arial"/>
                <w:sz w:val="18"/>
              </w:rPr>
              <w:t>Search and AI authority implementation</w:t>
            </w:r>
          </w:p>
        </w:tc>
        <w:tc>
          <w:tcPr>
            <w:tcW w:type="dxa" w:w="5544"/>
            <w:vAlign w:val="center"/>
            <w:tcMar>
              <w:top w:w="90" w:type="dxa"/>
              <w:start w:w="90" w:type="dxa"/>
              <w:bottom w:w="90" w:type="dxa"/>
              <w:end w:w="90" w:type="dxa"/>
            </w:tcMar>
          </w:tcPr>
          <w:p>
            <w:pPr>
              <w:spacing w:after="0" w:line="240" w:lineRule="auto"/>
            </w:pPr>
            <w:r>
              <w:rPr>
                <w:rFonts w:ascii="Arial" w:hAnsi="Arial"/>
                <w:sz w:val="18"/>
              </w:rPr>
              <w:t>Requires approved content, source, entity, and proof strategy.</w:t>
            </w:r>
          </w:p>
        </w:tc>
      </w:tr>
      <w:tr>
        <w:tc>
          <w:tcPr>
            <w:tcW w:type="dxa" w:w="1440"/>
            <w:vAlign w:val="center"/>
            <w:tcMar>
              <w:top w:w="90" w:type="dxa"/>
              <w:start w:w="90" w:type="dxa"/>
              <w:bottom w:w="90" w:type="dxa"/>
              <w:end w:w="90" w:type="dxa"/>
            </w:tcMar>
          </w:tcPr>
          <w:p>
            <w:pPr>
              <w:spacing w:after="0" w:line="240" w:lineRule="auto"/>
            </w:pPr>
            <w:r>
              <w:rPr>
                <w:rFonts w:ascii="Arial" w:hAnsi="Arial"/>
                <w:sz w:val="18"/>
              </w:rPr>
              <w:t>MONITOR</w:t>
            </w:r>
          </w:p>
        </w:tc>
        <w:tc>
          <w:tcPr>
            <w:tcW w:type="dxa" w:w="3960"/>
            <w:vAlign w:val="center"/>
            <w:tcMar>
              <w:top w:w="90" w:type="dxa"/>
              <w:start w:w="90" w:type="dxa"/>
              <w:bottom w:w="90" w:type="dxa"/>
              <w:end w:w="90" w:type="dxa"/>
            </w:tcMar>
          </w:tcPr>
          <w:p>
            <w:pPr>
              <w:spacing w:after="0" w:line="240" w:lineRule="auto"/>
            </w:pPr>
            <w:r>
              <w:rPr>
                <w:rFonts w:ascii="Arial" w:hAnsi="Arial"/>
                <w:sz w:val="18"/>
              </w:rPr>
              <w:t>CMS agility friction</w:t>
            </w:r>
          </w:p>
        </w:tc>
        <w:tc>
          <w:tcPr>
            <w:tcW w:type="dxa" w:w="5544"/>
            <w:vAlign w:val="center"/>
            <w:tcMar>
              <w:top w:w="90" w:type="dxa"/>
              <w:start w:w="90" w:type="dxa"/>
              <w:bottom w:w="90" w:type="dxa"/>
              <w:end w:w="90" w:type="dxa"/>
            </w:tcMar>
          </w:tcPr>
          <w:p>
            <w:pPr>
              <w:spacing w:after="0" w:line="240" w:lineRule="auto"/>
            </w:pPr>
            <w:r>
              <w:rPr>
                <w:rFonts w:ascii="Arial" w:hAnsi="Arial"/>
                <w:sz w:val="18"/>
              </w:rPr>
              <w:t>May matter operationally, but should not be overstated without workflow evidence.</w:t>
            </w:r>
          </w:p>
        </w:tc>
      </w:tr>
    </w:tbl>
    <w:p/>
    <w:p>
      <w:pPr>
        <w:pStyle w:val="Heading1"/>
      </w:pPr>
      <w:r>
        <w:t>6. Workstreams and Required Outputs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tcMar>
              <w:top w:w="90" w:type="dxa"/>
              <w:start w:w="90" w:type="dxa"/>
              <w:bottom w:w="90" w:type="dxa"/>
              <w:end w:w="90" w:type="dxa"/>
            </w:tcMar>
            <w:shd w:fill="EDEDED"/>
          </w:tcPr>
          <w:p>
            <w:pPr>
              <w:spacing w:after="0" w:line="240" w:lineRule="auto"/>
            </w:pPr>
            <w:r>
              <w:rPr>
                <w:rFonts w:ascii="Arial" w:hAnsi="Arial"/>
                <w:b/>
                <w:sz w:val="18"/>
              </w:rPr>
              <w:t>Workstream</w:t>
            </w:r>
          </w:p>
        </w:tc>
        <w:tc>
          <w:tcPr>
            <w:tcW w:type="dxa" w:w="3888"/>
            <w:vAlign w:val="center"/>
            <w:tcMar>
              <w:top w:w="90" w:type="dxa"/>
              <w:start w:w="90" w:type="dxa"/>
              <w:bottom w:w="90" w:type="dxa"/>
              <w:end w:w="90" w:type="dxa"/>
            </w:tcMar>
            <w:shd w:fill="EDEDED"/>
          </w:tcPr>
          <w:p>
            <w:pPr>
              <w:spacing w:after="0" w:line="240" w:lineRule="auto"/>
            </w:pPr>
            <w:r>
              <w:rPr>
                <w:rFonts w:ascii="Arial" w:hAnsi="Arial"/>
                <w:b/>
                <w:sz w:val="18"/>
              </w:rPr>
              <w:t>Required output</w:t>
            </w:r>
          </w:p>
        </w:tc>
        <w:tc>
          <w:tcPr>
            <w:tcW w:type="dxa" w:w="2520"/>
            <w:vAlign w:val="center"/>
            <w:tcMar>
              <w:top w:w="90" w:type="dxa"/>
              <w:start w:w="90" w:type="dxa"/>
              <w:bottom w:w="90" w:type="dxa"/>
              <w:end w:w="90" w:type="dxa"/>
            </w:tcMar>
            <w:shd w:fill="EDEDED"/>
          </w:tcPr>
          <w:p>
            <w:pPr>
              <w:spacing w:after="0" w:line="240" w:lineRule="auto"/>
            </w:pPr>
            <w:r>
              <w:rPr>
                <w:rFonts w:ascii="Arial" w:hAnsi="Arial"/>
                <w:b/>
                <w:sz w:val="18"/>
              </w:rPr>
              <w:t>Dependency</w:t>
            </w:r>
          </w:p>
        </w:tc>
        <w:tc>
          <w:tcPr>
            <w:tcW w:type="dxa" w:w="2592"/>
            <w:vAlign w:val="center"/>
            <w:tcMar>
              <w:top w:w="90" w:type="dxa"/>
              <w:start w:w="90" w:type="dxa"/>
              <w:bottom w:w="90" w:type="dxa"/>
              <w:end w:w="90" w:type="dxa"/>
            </w:tcMar>
            <w:shd w:fill="EDEDED"/>
          </w:tcPr>
          <w:p>
            <w:pPr>
              <w:spacing w:after="0" w:line="240" w:lineRule="auto"/>
            </w:pPr>
            <w:r>
              <w:rPr>
                <w:rFonts w:ascii="Arial" w:hAnsi="Arial"/>
                <w:b/>
                <w:sz w:val="18"/>
              </w:rPr>
              <w:t>Primary owner</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Messaging</w:t>
            </w:r>
          </w:p>
        </w:tc>
        <w:tc>
          <w:tcPr>
            <w:tcW w:type="dxa" w:w="3888"/>
            <w:vAlign w:val="center"/>
            <w:tcMar>
              <w:top w:w="90" w:type="dxa"/>
              <w:start w:w="90" w:type="dxa"/>
              <w:bottom w:w="90" w:type="dxa"/>
              <w:end w:w="90" w:type="dxa"/>
            </w:tcMar>
          </w:tcPr>
          <w:p>
            <w:pPr>
              <w:spacing w:after="0" w:line="240" w:lineRule="auto"/>
            </w:pPr>
            <w:r>
              <w:rPr>
                <w:rFonts w:ascii="Arial" w:hAnsi="Arial"/>
                <w:sz w:val="18"/>
              </w:rPr>
              <w:t>Approved corporate narrative, pillar messaging, proof hierarchy, CTA language</w:t>
            </w:r>
          </w:p>
        </w:tc>
        <w:tc>
          <w:tcPr>
            <w:tcW w:type="dxa" w:w="2520"/>
            <w:vAlign w:val="center"/>
            <w:tcMar>
              <w:top w:w="90" w:type="dxa"/>
              <w:start w:w="90" w:type="dxa"/>
              <w:bottom w:w="90" w:type="dxa"/>
              <w:end w:w="90" w:type="dxa"/>
            </w:tcMar>
          </w:tcPr>
          <w:p>
            <w:pPr>
              <w:spacing w:after="0" w:line="240" w:lineRule="auto"/>
            </w:pPr>
            <w:r>
              <w:rPr>
                <w:rFonts w:ascii="Arial" w:hAnsi="Arial"/>
                <w:sz w:val="18"/>
              </w:rPr>
              <w:t>Leadership alignment</w:t>
            </w:r>
          </w:p>
        </w:tc>
        <w:tc>
          <w:tcPr>
            <w:tcW w:type="dxa" w:w="2592"/>
            <w:vAlign w:val="center"/>
            <w:tcMar>
              <w:top w:w="90" w:type="dxa"/>
              <w:start w:w="90" w:type="dxa"/>
              <w:bottom w:w="90" w:type="dxa"/>
              <w:end w:w="90" w:type="dxa"/>
            </w:tcMar>
          </w:tcPr>
          <w:p>
            <w:pPr>
              <w:spacing w:after="0" w:line="240" w:lineRule="auto"/>
            </w:pPr>
            <w:r>
              <w:rPr>
                <w:rFonts w:ascii="Arial" w:hAnsi="Arial"/>
                <w:sz w:val="18"/>
              </w:rPr>
              <w:t>NuVue + Strategy</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Information Architecture</w:t>
            </w:r>
          </w:p>
        </w:tc>
        <w:tc>
          <w:tcPr>
            <w:tcW w:type="dxa" w:w="3888"/>
            <w:vAlign w:val="center"/>
            <w:tcMar>
              <w:top w:w="90" w:type="dxa"/>
              <w:start w:w="90" w:type="dxa"/>
              <w:bottom w:w="90" w:type="dxa"/>
              <w:end w:w="90" w:type="dxa"/>
            </w:tcMar>
          </w:tcPr>
          <w:p>
            <w:pPr>
              <w:spacing w:after="0" w:line="240" w:lineRule="auto"/>
            </w:pPr>
            <w:r>
              <w:rPr>
                <w:rFonts w:ascii="Arial" w:hAnsi="Arial"/>
                <w:sz w:val="18"/>
              </w:rPr>
              <w:t>Approved sitemap, navigation, buyer routing, page hierarchy</w:t>
            </w:r>
          </w:p>
        </w:tc>
        <w:tc>
          <w:tcPr>
            <w:tcW w:type="dxa" w:w="2520"/>
            <w:vAlign w:val="center"/>
            <w:tcMar>
              <w:top w:w="90" w:type="dxa"/>
              <w:start w:w="90" w:type="dxa"/>
              <w:bottom w:w="90" w:type="dxa"/>
              <w:end w:w="90" w:type="dxa"/>
            </w:tcMar>
          </w:tcPr>
          <w:p>
            <w:pPr>
              <w:spacing w:after="0" w:line="240" w:lineRule="auto"/>
            </w:pPr>
            <w:r>
              <w:rPr>
                <w:rFonts w:ascii="Arial" w:hAnsi="Arial"/>
                <w:sz w:val="18"/>
              </w:rPr>
              <w:t>Messaging + priority offers</w:t>
            </w:r>
          </w:p>
        </w:tc>
        <w:tc>
          <w:tcPr>
            <w:tcW w:type="dxa" w:w="2592"/>
            <w:vAlign w:val="center"/>
            <w:tcMar>
              <w:top w:w="90" w:type="dxa"/>
              <w:start w:w="90" w:type="dxa"/>
              <w:bottom w:w="90" w:type="dxa"/>
              <w:end w:w="90" w:type="dxa"/>
            </w:tcMar>
          </w:tcPr>
          <w:p>
            <w:pPr>
              <w:spacing w:after="0" w:line="240" w:lineRule="auto"/>
            </w:pPr>
            <w:r>
              <w:rPr>
                <w:rFonts w:ascii="Arial" w:hAnsi="Arial"/>
                <w:sz w:val="18"/>
              </w:rPr>
              <w:t>Strategy</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Content</w:t>
            </w:r>
          </w:p>
        </w:tc>
        <w:tc>
          <w:tcPr>
            <w:tcW w:type="dxa" w:w="3888"/>
            <w:vAlign w:val="center"/>
            <w:tcMar>
              <w:top w:w="90" w:type="dxa"/>
              <w:start w:w="90" w:type="dxa"/>
              <w:bottom w:w="90" w:type="dxa"/>
              <w:end w:w="90" w:type="dxa"/>
            </w:tcMar>
          </w:tcPr>
          <w:p>
            <w:pPr>
              <w:spacing w:after="0" w:line="240" w:lineRule="auto"/>
            </w:pPr>
            <w:r>
              <w:rPr>
                <w:rFonts w:ascii="Arial" w:hAnsi="Arial"/>
                <w:sz w:val="18"/>
              </w:rPr>
              <w:t>Page briefs, proof assets, case studies, industry content, FAQ requirements</w:t>
            </w:r>
          </w:p>
        </w:tc>
        <w:tc>
          <w:tcPr>
            <w:tcW w:type="dxa" w:w="2520"/>
            <w:vAlign w:val="center"/>
            <w:tcMar>
              <w:top w:w="90" w:type="dxa"/>
              <w:start w:w="90" w:type="dxa"/>
              <w:bottom w:w="90" w:type="dxa"/>
              <w:end w:w="90" w:type="dxa"/>
            </w:tcMar>
          </w:tcPr>
          <w:p>
            <w:pPr>
              <w:spacing w:after="0" w:line="240" w:lineRule="auto"/>
            </w:pPr>
            <w:r>
              <w:rPr>
                <w:rFonts w:ascii="Arial" w:hAnsi="Arial"/>
                <w:sz w:val="18"/>
              </w:rPr>
              <w:t>IA + messaging</w:t>
            </w:r>
          </w:p>
        </w:tc>
        <w:tc>
          <w:tcPr>
            <w:tcW w:type="dxa" w:w="2592"/>
            <w:vAlign w:val="center"/>
            <w:tcMar>
              <w:top w:w="90" w:type="dxa"/>
              <w:start w:w="90" w:type="dxa"/>
              <w:bottom w:w="90" w:type="dxa"/>
              <w:end w:w="90" w:type="dxa"/>
            </w:tcMar>
          </w:tcPr>
          <w:p>
            <w:pPr>
              <w:spacing w:after="0" w:line="240" w:lineRule="auto"/>
            </w:pPr>
            <w:r>
              <w:rPr>
                <w:rFonts w:ascii="Arial" w:hAnsi="Arial"/>
                <w:sz w:val="18"/>
              </w:rPr>
              <w:t>NuVue + Content</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Design</w:t>
            </w:r>
          </w:p>
        </w:tc>
        <w:tc>
          <w:tcPr>
            <w:tcW w:type="dxa" w:w="3888"/>
            <w:vAlign w:val="center"/>
            <w:tcMar>
              <w:top w:w="90" w:type="dxa"/>
              <w:start w:w="90" w:type="dxa"/>
              <w:bottom w:w="90" w:type="dxa"/>
              <w:end w:w="90" w:type="dxa"/>
            </w:tcMar>
          </w:tcPr>
          <w:p>
            <w:pPr>
              <w:spacing w:after="0" w:line="240" w:lineRule="auto"/>
            </w:pPr>
            <w:r>
              <w:rPr>
                <w:rFonts w:ascii="Arial" w:hAnsi="Arial"/>
                <w:sz w:val="18"/>
              </w:rPr>
              <w:t>Custom design system and priority templates</w:t>
            </w:r>
          </w:p>
        </w:tc>
        <w:tc>
          <w:tcPr>
            <w:tcW w:type="dxa" w:w="2520"/>
            <w:vAlign w:val="center"/>
            <w:tcMar>
              <w:top w:w="90" w:type="dxa"/>
              <w:start w:w="90" w:type="dxa"/>
              <w:bottom w:w="90" w:type="dxa"/>
              <w:end w:w="90" w:type="dxa"/>
            </w:tcMar>
          </w:tcPr>
          <w:p>
            <w:pPr>
              <w:spacing w:after="0" w:line="240" w:lineRule="auto"/>
            </w:pPr>
            <w:r>
              <w:rPr>
                <w:rFonts w:ascii="Arial" w:hAnsi="Arial"/>
                <w:sz w:val="18"/>
              </w:rPr>
              <w:t>Approved page briefs</w:t>
            </w:r>
          </w:p>
        </w:tc>
        <w:tc>
          <w:tcPr>
            <w:tcW w:type="dxa" w:w="2592"/>
            <w:vAlign w:val="center"/>
            <w:tcMar>
              <w:top w:w="90" w:type="dxa"/>
              <w:start w:w="90" w:type="dxa"/>
              <w:bottom w:w="90" w:type="dxa"/>
              <w:end w:w="90" w:type="dxa"/>
            </w:tcMar>
          </w:tcPr>
          <w:p>
            <w:pPr>
              <w:spacing w:after="0" w:line="240" w:lineRule="auto"/>
            </w:pPr>
            <w:r>
              <w:rPr>
                <w:rFonts w:ascii="Arial" w:hAnsi="Arial"/>
                <w:sz w:val="18"/>
              </w:rPr>
              <w:t>SimpliCreative</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Development</w:t>
            </w:r>
          </w:p>
        </w:tc>
        <w:tc>
          <w:tcPr>
            <w:tcW w:type="dxa" w:w="3888"/>
            <w:vAlign w:val="center"/>
            <w:tcMar>
              <w:top w:w="90" w:type="dxa"/>
              <w:start w:w="90" w:type="dxa"/>
              <w:bottom w:w="90" w:type="dxa"/>
              <w:end w:w="90" w:type="dxa"/>
            </w:tcMar>
          </w:tcPr>
          <w:p>
            <w:pPr>
              <w:spacing w:after="0" w:line="240" w:lineRule="auto"/>
            </w:pPr>
            <w:r>
              <w:rPr>
                <w:rFonts w:ascii="Arial" w:hAnsi="Arial"/>
                <w:sz w:val="18"/>
              </w:rPr>
              <w:t>WordPress implementation, reusable components, forms, integrations</w:t>
            </w:r>
          </w:p>
        </w:tc>
        <w:tc>
          <w:tcPr>
            <w:tcW w:type="dxa" w:w="2520"/>
            <w:vAlign w:val="center"/>
            <w:tcMar>
              <w:top w:w="90" w:type="dxa"/>
              <w:start w:w="90" w:type="dxa"/>
              <w:bottom w:w="90" w:type="dxa"/>
              <w:end w:w="90" w:type="dxa"/>
            </w:tcMar>
          </w:tcPr>
          <w:p>
            <w:pPr>
              <w:spacing w:after="0" w:line="240" w:lineRule="auto"/>
            </w:pPr>
            <w:r>
              <w:rPr>
                <w:rFonts w:ascii="Arial" w:hAnsi="Arial"/>
                <w:sz w:val="18"/>
              </w:rPr>
              <w:t>Approved design</w:t>
            </w:r>
          </w:p>
        </w:tc>
        <w:tc>
          <w:tcPr>
            <w:tcW w:type="dxa" w:w="2592"/>
            <w:vAlign w:val="center"/>
            <w:tcMar>
              <w:top w:w="90" w:type="dxa"/>
              <w:start w:w="90" w:type="dxa"/>
              <w:bottom w:w="90" w:type="dxa"/>
              <w:end w:w="90" w:type="dxa"/>
            </w:tcMar>
          </w:tcPr>
          <w:p>
            <w:pPr>
              <w:spacing w:after="0" w:line="240" w:lineRule="auto"/>
            </w:pPr>
            <w:r>
              <w:rPr>
                <w:rFonts w:ascii="Arial" w:hAnsi="Arial"/>
                <w:sz w:val="18"/>
              </w:rPr>
              <w:t>SimpliCreative</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Discoverability</w:t>
            </w:r>
          </w:p>
        </w:tc>
        <w:tc>
          <w:tcPr>
            <w:tcW w:type="dxa" w:w="3888"/>
            <w:vAlign w:val="center"/>
            <w:tcMar>
              <w:top w:w="90" w:type="dxa"/>
              <w:start w:w="90" w:type="dxa"/>
              <w:bottom w:w="90" w:type="dxa"/>
              <w:end w:w="90" w:type="dxa"/>
            </w:tcMar>
          </w:tcPr>
          <w:p>
            <w:pPr>
              <w:spacing w:after="0" w:line="240" w:lineRule="auto"/>
            </w:pPr>
            <w:r>
              <w:rPr>
                <w:rFonts w:ascii="Arial" w:hAnsi="Arial"/>
                <w:sz w:val="18"/>
              </w:rPr>
              <w:t>Technical SEO, content structure, schema, AI-ready authority implementation</w:t>
            </w:r>
          </w:p>
        </w:tc>
        <w:tc>
          <w:tcPr>
            <w:tcW w:type="dxa" w:w="2520"/>
            <w:vAlign w:val="center"/>
            <w:tcMar>
              <w:top w:w="90" w:type="dxa"/>
              <w:start w:w="90" w:type="dxa"/>
              <w:bottom w:w="90" w:type="dxa"/>
              <w:end w:w="90" w:type="dxa"/>
            </w:tcMar>
          </w:tcPr>
          <w:p>
            <w:pPr>
              <w:spacing w:after="0" w:line="240" w:lineRule="auto"/>
            </w:pPr>
            <w:r>
              <w:rPr>
                <w:rFonts w:ascii="Arial" w:hAnsi="Arial"/>
                <w:sz w:val="18"/>
              </w:rPr>
              <w:t>Content + development</w:t>
            </w:r>
          </w:p>
        </w:tc>
        <w:tc>
          <w:tcPr>
            <w:tcW w:type="dxa" w:w="2592"/>
            <w:vAlign w:val="center"/>
            <w:tcMar>
              <w:top w:w="90" w:type="dxa"/>
              <w:start w:w="90" w:type="dxa"/>
              <w:bottom w:w="90" w:type="dxa"/>
              <w:end w:w="90" w:type="dxa"/>
            </w:tcMar>
          </w:tcPr>
          <w:p>
            <w:pPr>
              <w:spacing w:after="0" w:line="240" w:lineRule="auto"/>
            </w:pPr>
            <w:r>
              <w:rPr>
                <w:rFonts w:ascii="Arial" w:hAnsi="Arial"/>
                <w:sz w:val="18"/>
              </w:rPr>
              <w:t>SimpliCreative</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Measurement</w:t>
            </w:r>
          </w:p>
        </w:tc>
        <w:tc>
          <w:tcPr>
            <w:tcW w:type="dxa" w:w="3888"/>
            <w:vAlign w:val="center"/>
            <w:tcMar>
              <w:top w:w="90" w:type="dxa"/>
              <w:start w:w="90" w:type="dxa"/>
              <w:bottom w:w="90" w:type="dxa"/>
              <w:end w:w="90" w:type="dxa"/>
            </w:tcMar>
          </w:tcPr>
          <w:p>
            <w:pPr>
              <w:spacing w:after="0" w:line="240" w:lineRule="auto"/>
            </w:pPr>
            <w:r>
              <w:rPr>
                <w:rFonts w:ascii="Arial" w:hAnsi="Arial"/>
                <w:sz w:val="18"/>
              </w:rPr>
              <w:t>GTM events, GA4 key events, CRM field mapping, reporting requirements</w:t>
            </w:r>
          </w:p>
        </w:tc>
        <w:tc>
          <w:tcPr>
            <w:tcW w:type="dxa" w:w="2520"/>
            <w:vAlign w:val="center"/>
            <w:tcMar>
              <w:top w:w="90" w:type="dxa"/>
              <w:start w:w="90" w:type="dxa"/>
              <w:bottom w:w="90" w:type="dxa"/>
              <w:end w:w="90" w:type="dxa"/>
            </w:tcMar>
          </w:tcPr>
          <w:p>
            <w:pPr>
              <w:spacing w:after="0" w:line="240" w:lineRule="auto"/>
            </w:pPr>
            <w:r>
              <w:rPr>
                <w:rFonts w:ascii="Arial" w:hAnsi="Arial"/>
                <w:sz w:val="18"/>
              </w:rPr>
              <w:t>Forms + CRM definitions</w:t>
            </w:r>
          </w:p>
        </w:tc>
        <w:tc>
          <w:tcPr>
            <w:tcW w:type="dxa" w:w="2592"/>
            <w:vAlign w:val="center"/>
            <w:tcMar>
              <w:top w:w="90" w:type="dxa"/>
              <w:start w:w="90" w:type="dxa"/>
              <w:bottom w:w="90" w:type="dxa"/>
              <w:end w:w="90" w:type="dxa"/>
            </w:tcMar>
          </w:tcPr>
          <w:p>
            <w:pPr>
              <w:spacing w:after="0" w:line="240" w:lineRule="auto"/>
            </w:pPr>
            <w:r>
              <w:rPr>
                <w:rFonts w:ascii="Arial" w:hAnsi="Arial"/>
                <w:sz w:val="18"/>
              </w:rPr>
              <w:t>SimpliCreative + NuVue</w:t>
            </w:r>
          </w:p>
        </w:tc>
      </w:tr>
      <w:tr>
        <w:tc>
          <w:tcPr>
            <w:tcW w:type="dxa" w:w="1944"/>
            <w:vAlign w:val="center"/>
            <w:tcMar>
              <w:top w:w="90" w:type="dxa"/>
              <w:start w:w="90" w:type="dxa"/>
              <w:bottom w:w="90" w:type="dxa"/>
              <w:end w:w="90" w:type="dxa"/>
            </w:tcMar>
          </w:tcPr>
          <w:p>
            <w:pPr>
              <w:spacing w:after="0" w:line="240" w:lineRule="auto"/>
            </w:pPr>
            <w:r>
              <w:rPr>
                <w:rFonts w:ascii="Arial" w:hAnsi="Arial"/>
                <w:sz w:val="18"/>
              </w:rPr>
              <w:t>QA / Accessibility</w:t>
            </w:r>
          </w:p>
        </w:tc>
        <w:tc>
          <w:tcPr>
            <w:tcW w:type="dxa" w:w="3888"/>
            <w:vAlign w:val="center"/>
            <w:tcMar>
              <w:top w:w="90" w:type="dxa"/>
              <w:start w:w="90" w:type="dxa"/>
              <w:bottom w:w="90" w:type="dxa"/>
              <w:end w:w="90" w:type="dxa"/>
            </w:tcMar>
          </w:tcPr>
          <w:p>
            <w:pPr>
              <w:spacing w:after="0" w:line="240" w:lineRule="auto"/>
            </w:pPr>
            <w:r>
              <w:rPr>
                <w:rFonts w:ascii="Arial" w:hAnsi="Arial"/>
                <w:sz w:val="18"/>
              </w:rPr>
              <w:t>Functional, responsive, browser, accessibility, and strategic fidelity validation</w:t>
            </w:r>
          </w:p>
        </w:tc>
        <w:tc>
          <w:tcPr>
            <w:tcW w:type="dxa" w:w="2520"/>
            <w:vAlign w:val="center"/>
            <w:tcMar>
              <w:top w:w="90" w:type="dxa"/>
              <w:start w:w="90" w:type="dxa"/>
              <w:bottom w:w="90" w:type="dxa"/>
              <w:end w:w="90" w:type="dxa"/>
            </w:tcMar>
          </w:tcPr>
          <w:p>
            <w:pPr>
              <w:spacing w:after="0" w:line="240" w:lineRule="auto"/>
            </w:pPr>
            <w:r>
              <w:rPr>
                <w:rFonts w:ascii="Arial" w:hAnsi="Arial"/>
                <w:sz w:val="18"/>
              </w:rPr>
              <w:t>Staging complete</w:t>
            </w:r>
          </w:p>
        </w:tc>
        <w:tc>
          <w:tcPr>
            <w:tcW w:type="dxa" w:w="2592"/>
            <w:vAlign w:val="center"/>
            <w:tcMar>
              <w:top w:w="90" w:type="dxa"/>
              <w:start w:w="90" w:type="dxa"/>
              <w:bottom w:w="90" w:type="dxa"/>
              <w:end w:w="90" w:type="dxa"/>
            </w:tcMar>
          </w:tcPr>
          <w:p>
            <w:pPr>
              <w:spacing w:after="0" w:line="240" w:lineRule="auto"/>
            </w:pPr>
            <w:r>
              <w:rPr>
                <w:rFonts w:ascii="Arial" w:hAnsi="Arial"/>
                <w:sz w:val="18"/>
              </w:rPr>
              <w:t>SimpliCreative</w:t>
            </w:r>
          </w:p>
        </w:tc>
      </w:tr>
    </w:tbl>
    <w:p/>
    <w:p>
      <w:pPr>
        <w:pStyle w:val="Heading1"/>
      </w:pPr>
      <w:r>
        <w:t>7. Buyer and Offer Routing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tcMar>
              <w:top w:w="90" w:type="dxa"/>
              <w:start w:w="90" w:type="dxa"/>
              <w:bottom w:w="90" w:type="dxa"/>
              <w:end w:w="90" w:type="dxa"/>
            </w:tcMar>
            <w:shd w:fill="EDEDED"/>
          </w:tcPr>
          <w:p>
            <w:pPr>
              <w:spacing w:after="0" w:line="240" w:lineRule="auto"/>
            </w:pPr>
            <w:r>
              <w:rPr>
                <w:rFonts w:ascii="Arial" w:hAnsi="Arial"/>
                <w:b/>
                <w:sz w:val="18"/>
              </w:rPr>
              <w:t>Path</w:t>
            </w:r>
          </w:p>
        </w:tc>
        <w:tc>
          <w:tcPr>
            <w:tcW w:type="dxa" w:w="3528"/>
            <w:vAlign w:val="center"/>
            <w:tcMar>
              <w:top w:w="90" w:type="dxa"/>
              <w:start w:w="90" w:type="dxa"/>
              <w:bottom w:w="90" w:type="dxa"/>
              <w:end w:w="90" w:type="dxa"/>
            </w:tcMar>
            <w:shd w:fill="EDEDED"/>
          </w:tcPr>
          <w:p>
            <w:pPr>
              <w:spacing w:after="0" w:line="240" w:lineRule="auto"/>
            </w:pPr>
            <w:r>
              <w:rPr>
                <w:rFonts w:ascii="Arial" w:hAnsi="Arial"/>
                <w:b/>
                <w:sz w:val="18"/>
              </w:rPr>
              <w:t>Primary need</w:t>
            </w:r>
          </w:p>
        </w:tc>
        <w:tc>
          <w:tcPr>
            <w:tcW w:type="dxa" w:w="3672"/>
            <w:vAlign w:val="center"/>
            <w:tcMar>
              <w:top w:w="90" w:type="dxa"/>
              <w:start w:w="90" w:type="dxa"/>
              <w:bottom w:w="90" w:type="dxa"/>
              <w:end w:w="90" w:type="dxa"/>
            </w:tcMar>
            <w:shd w:fill="EDEDED"/>
          </w:tcPr>
          <w:p>
            <w:pPr>
              <w:spacing w:after="0" w:line="240" w:lineRule="auto"/>
            </w:pPr>
            <w:r>
              <w:rPr>
                <w:rFonts w:ascii="Arial" w:hAnsi="Arial"/>
                <w:b/>
                <w:sz w:val="18"/>
              </w:rPr>
              <w:t>Desired progression</w:t>
            </w:r>
          </w:p>
        </w:tc>
        <w:tc>
          <w:tcPr>
            <w:tcW w:type="dxa" w:w="1944"/>
            <w:vAlign w:val="center"/>
            <w:tcMar>
              <w:top w:w="90" w:type="dxa"/>
              <w:start w:w="90" w:type="dxa"/>
              <w:bottom w:w="90" w:type="dxa"/>
              <w:end w:w="90" w:type="dxa"/>
            </w:tcMar>
            <w:shd w:fill="EDEDED"/>
          </w:tcPr>
          <w:p>
            <w:pPr>
              <w:spacing w:after="0" w:line="240" w:lineRule="auto"/>
            </w:pPr>
            <w:r>
              <w:rPr>
                <w:rFonts w:ascii="Arial" w:hAnsi="Arial"/>
                <w:b/>
                <w:sz w:val="18"/>
              </w:rPr>
              <w:t>Primary conversion</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For Organizations</w:t>
            </w:r>
          </w:p>
        </w:tc>
        <w:tc>
          <w:tcPr>
            <w:tcW w:type="dxa" w:w="3528"/>
            <w:vAlign w:val="center"/>
            <w:tcMar>
              <w:top w:w="90" w:type="dxa"/>
              <w:start w:w="90" w:type="dxa"/>
              <w:bottom w:w="90" w:type="dxa"/>
              <w:end w:w="90" w:type="dxa"/>
            </w:tcMar>
          </w:tcPr>
          <w:p>
            <w:pPr>
              <w:spacing w:after="0" w:line="240" w:lineRule="auto"/>
            </w:pPr>
            <w:r>
              <w:rPr>
                <w:rFonts w:ascii="Arial" w:hAnsi="Arial"/>
                <w:sz w:val="18"/>
              </w:rPr>
              <w:t>Evaluate NuVue's credibility, fit, business relevance, and risk reduction.</w:t>
            </w:r>
          </w:p>
        </w:tc>
        <w:tc>
          <w:tcPr>
            <w:tcW w:type="dxa" w:w="3672"/>
            <w:vAlign w:val="center"/>
            <w:tcMar>
              <w:top w:w="90" w:type="dxa"/>
              <w:start w:w="90" w:type="dxa"/>
              <w:bottom w:w="90" w:type="dxa"/>
              <w:end w:w="90" w:type="dxa"/>
            </w:tcMar>
          </w:tcPr>
          <w:p>
            <w:pPr>
              <w:spacing w:after="0" w:line="240" w:lineRule="auto"/>
            </w:pPr>
            <w:r>
              <w:rPr>
                <w:rFonts w:ascii="Arial" w:hAnsi="Arial"/>
                <w:sz w:val="18"/>
              </w:rPr>
              <w:t>Understand three pillars -&gt; see proof -&gt; assess fit -&gt; engage.</w:t>
            </w:r>
          </w:p>
        </w:tc>
        <w:tc>
          <w:tcPr>
            <w:tcW w:type="dxa" w:w="1944"/>
            <w:vAlign w:val="center"/>
            <w:tcMar>
              <w:top w:w="90" w:type="dxa"/>
              <w:start w:w="90" w:type="dxa"/>
              <w:bottom w:w="90" w:type="dxa"/>
              <w:end w:w="90" w:type="dxa"/>
            </w:tcMar>
          </w:tcPr>
          <w:p>
            <w:pPr>
              <w:spacing w:after="0" w:line="240" w:lineRule="auto"/>
            </w:pPr>
            <w:r>
              <w:rPr>
                <w:rFonts w:ascii="Arial" w:hAnsi="Arial"/>
                <w:sz w:val="18"/>
              </w:rPr>
              <w:t>Consultation / qualified inquiry</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For Sales Professionals</w:t>
            </w:r>
          </w:p>
        </w:tc>
        <w:tc>
          <w:tcPr>
            <w:tcW w:type="dxa" w:w="3528"/>
            <w:vAlign w:val="center"/>
            <w:tcMar>
              <w:top w:w="90" w:type="dxa"/>
              <w:start w:w="90" w:type="dxa"/>
              <w:bottom w:w="90" w:type="dxa"/>
              <w:end w:w="90" w:type="dxa"/>
            </w:tcMar>
          </w:tcPr>
          <w:p>
            <w:pPr>
              <w:spacing w:after="0" w:line="240" w:lineRule="auto"/>
            </w:pPr>
            <w:r>
              <w:rPr>
                <w:rFonts w:ascii="Arial" w:hAnsi="Arial"/>
                <w:sz w:val="18"/>
              </w:rPr>
              <w:t>Discover relevant development options and public experiences.</w:t>
            </w:r>
          </w:p>
        </w:tc>
        <w:tc>
          <w:tcPr>
            <w:tcW w:type="dxa" w:w="3672"/>
            <w:vAlign w:val="center"/>
            <w:tcMar>
              <w:top w:w="90" w:type="dxa"/>
              <w:start w:w="90" w:type="dxa"/>
              <w:bottom w:w="90" w:type="dxa"/>
              <w:end w:w="90" w:type="dxa"/>
            </w:tcMar>
          </w:tcPr>
          <w:p>
            <w:pPr>
              <w:spacing w:after="0" w:line="240" w:lineRule="auto"/>
            </w:pPr>
            <w:r>
              <w:rPr>
                <w:rFonts w:ascii="Arial" w:hAnsi="Arial"/>
                <w:sz w:val="18"/>
              </w:rPr>
              <w:t>Explore programs -&gt; understand fit -&gt; choose seminar/program path.</w:t>
            </w:r>
          </w:p>
        </w:tc>
        <w:tc>
          <w:tcPr>
            <w:tcW w:type="dxa" w:w="1944"/>
            <w:vAlign w:val="center"/>
            <w:tcMar>
              <w:top w:w="90" w:type="dxa"/>
              <w:start w:w="90" w:type="dxa"/>
              <w:bottom w:w="90" w:type="dxa"/>
              <w:end w:w="90" w:type="dxa"/>
            </w:tcMar>
          </w:tcPr>
          <w:p>
            <w:pPr>
              <w:spacing w:after="0" w:line="240" w:lineRule="auto"/>
            </w:pPr>
            <w:r>
              <w:rPr>
                <w:rFonts w:ascii="Arial" w:hAnsi="Arial"/>
                <w:sz w:val="18"/>
              </w:rPr>
              <w:t>Program/seminar action</w:t>
            </w:r>
          </w:p>
        </w:tc>
      </w:tr>
    </w:tbl>
    <w:p/>
    <w:p>
      <w:r>
        <w:rPr>
          <w:b/>
        </w:rPr>
        <w:t xml:space="preserve">Implementation note: </w:t>
      </w:r>
      <w:r>
        <w:t>These paths should remain part of one coherent NuVue brand system. The goal is clear routing, not two disconnected websites.</w:t>
      </w:r>
    </w:p>
    <w:p>
      <w:pPr>
        <w:pStyle w:val="Heading1"/>
      </w:pPr>
      <w:r>
        <w:t>8. Page-Level Requirements to Carry Forward</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tcMar>
              <w:top w:w="90" w:type="dxa"/>
              <w:start w:w="90" w:type="dxa"/>
              <w:bottom w:w="90" w:type="dxa"/>
              <w:end w:w="90" w:type="dxa"/>
            </w:tcMar>
            <w:shd w:fill="EDEDED"/>
          </w:tcPr>
          <w:p>
            <w:pPr>
              <w:spacing w:after="0" w:line="240" w:lineRule="auto"/>
            </w:pPr>
            <w:r>
              <w:rPr>
                <w:rFonts w:ascii="Arial" w:hAnsi="Arial"/>
                <w:b/>
                <w:sz w:val="18"/>
              </w:rPr>
              <w:t>Page / area</w:t>
            </w:r>
          </w:p>
        </w:tc>
        <w:tc>
          <w:tcPr>
            <w:tcW w:type="dxa" w:w="3528"/>
            <w:vAlign w:val="center"/>
            <w:tcMar>
              <w:top w:w="90" w:type="dxa"/>
              <w:start w:w="90" w:type="dxa"/>
              <w:bottom w:w="90" w:type="dxa"/>
              <w:end w:w="90" w:type="dxa"/>
            </w:tcMar>
            <w:shd w:fill="EDEDED"/>
          </w:tcPr>
          <w:p>
            <w:pPr>
              <w:spacing w:after="0" w:line="240" w:lineRule="auto"/>
            </w:pPr>
            <w:r>
              <w:rPr>
                <w:rFonts w:ascii="Arial" w:hAnsi="Arial"/>
                <w:b/>
                <w:sz w:val="18"/>
              </w:rPr>
              <w:t>Strategic job</w:t>
            </w:r>
          </w:p>
        </w:tc>
        <w:tc>
          <w:tcPr>
            <w:tcW w:type="dxa" w:w="4968"/>
            <w:vAlign w:val="center"/>
            <w:tcMar>
              <w:top w:w="90" w:type="dxa"/>
              <w:start w:w="90" w:type="dxa"/>
              <w:bottom w:w="90" w:type="dxa"/>
              <w:end w:w="90" w:type="dxa"/>
            </w:tcMar>
            <w:shd w:fill="EDEDED"/>
          </w:tcPr>
          <w:p>
            <w:pPr>
              <w:spacing w:after="0" w:line="240" w:lineRule="auto"/>
            </w:pPr>
            <w:r>
              <w:rPr>
                <w:rFonts w:ascii="Arial" w:hAnsi="Arial"/>
                <w:b/>
                <w:sz w:val="18"/>
              </w:rPr>
              <w:t>Required implementation context</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Homepage</w:t>
            </w:r>
          </w:p>
        </w:tc>
        <w:tc>
          <w:tcPr>
            <w:tcW w:type="dxa" w:w="3528"/>
            <w:vAlign w:val="center"/>
            <w:tcMar>
              <w:top w:w="90" w:type="dxa"/>
              <w:start w:w="90" w:type="dxa"/>
              <w:bottom w:w="90" w:type="dxa"/>
              <w:end w:w="90" w:type="dxa"/>
            </w:tcMar>
          </w:tcPr>
          <w:p>
            <w:pPr>
              <w:spacing w:after="0" w:line="240" w:lineRule="auto"/>
            </w:pPr>
            <w:r>
              <w:rPr>
                <w:rFonts w:ascii="Arial" w:hAnsi="Arial"/>
                <w:sz w:val="18"/>
              </w:rPr>
              <w:t>Route buyers and establish the primary corporate story.</w:t>
            </w:r>
          </w:p>
        </w:tc>
        <w:tc>
          <w:tcPr>
            <w:tcW w:type="dxa" w:w="4968"/>
            <w:vAlign w:val="center"/>
            <w:tcMar>
              <w:top w:w="90" w:type="dxa"/>
              <w:start w:w="90" w:type="dxa"/>
              <w:bottom w:w="90" w:type="dxa"/>
              <w:end w:w="90" w:type="dxa"/>
            </w:tcMar>
          </w:tcPr>
          <w:p>
            <w:pPr>
              <w:spacing w:after="0" w:line="240" w:lineRule="auto"/>
            </w:pPr>
            <w:r>
              <w:rPr>
                <w:rFonts w:ascii="Arial" w:hAnsi="Arial"/>
                <w:sz w:val="18"/>
              </w:rPr>
              <w:t>Corporate-first hierarchy, distinct individual path, three pillars, proof, strong next step.</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For Organizations hub</w:t>
            </w:r>
          </w:p>
        </w:tc>
        <w:tc>
          <w:tcPr>
            <w:tcW w:type="dxa" w:w="3528"/>
            <w:vAlign w:val="center"/>
            <w:tcMar>
              <w:top w:w="90" w:type="dxa"/>
              <w:start w:w="90" w:type="dxa"/>
              <w:bottom w:w="90" w:type="dxa"/>
              <w:end w:w="90" w:type="dxa"/>
            </w:tcMar>
          </w:tcPr>
          <w:p>
            <w:pPr>
              <w:spacing w:after="0" w:line="240" w:lineRule="auto"/>
            </w:pPr>
            <w:r>
              <w:rPr>
                <w:rFonts w:ascii="Arial" w:hAnsi="Arial"/>
                <w:sz w:val="18"/>
              </w:rPr>
              <w:t>Orient enterprise buyers and connect them to relevant solutions.</w:t>
            </w:r>
          </w:p>
        </w:tc>
        <w:tc>
          <w:tcPr>
            <w:tcW w:type="dxa" w:w="4968"/>
            <w:vAlign w:val="center"/>
            <w:tcMar>
              <w:top w:w="90" w:type="dxa"/>
              <w:start w:w="90" w:type="dxa"/>
              <w:bottom w:w="90" w:type="dxa"/>
              <w:end w:w="90" w:type="dxa"/>
            </w:tcMar>
          </w:tcPr>
          <w:p>
            <w:pPr>
              <w:spacing w:after="0" w:line="240" w:lineRule="auto"/>
            </w:pPr>
            <w:r>
              <w:rPr>
                <w:rFonts w:ascii="Arial" w:hAnsi="Arial"/>
                <w:sz w:val="18"/>
              </w:rPr>
              <w:t>Business outcomes, proof, solution pillars, guarantee context, consultation CTA.</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Solution pillar pages</w:t>
            </w:r>
          </w:p>
        </w:tc>
        <w:tc>
          <w:tcPr>
            <w:tcW w:type="dxa" w:w="3528"/>
            <w:vAlign w:val="center"/>
            <w:tcMar>
              <w:top w:w="90" w:type="dxa"/>
              <w:start w:w="90" w:type="dxa"/>
              <w:bottom w:w="90" w:type="dxa"/>
              <w:end w:w="90" w:type="dxa"/>
            </w:tcMar>
          </w:tcPr>
          <w:p>
            <w:pPr>
              <w:spacing w:after="0" w:line="240" w:lineRule="auto"/>
            </w:pPr>
            <w:r>
              <w:rPr>
                <w:rFonts w:ascii="Arial" w:hAnsi="Arial"/>
                <w:sz w:val="18"/>
              </w:rPr>
              <w:t>Translate capability breadth into clear strategic offers.</w:t>
            </w:r>
          </w:p>
        </w:tc>
        <w:tc>
          <w:tcPr>
            <w:tcW w:type="dxa" w:w="4968"/>
            <w:vAlign w:val="center"/>
            <w:tcMar>
              <w:top w:w="90" w:type="dxa"/>
              <w:start w:w="90" w:type="dxa"/>
              <w:bottom w:w="90" w:type="dxa"/>
              <w:end w:w="90" w:type="dxa"/>
            </w:tcMar>
          </w:tcPr>
          <w:p>
            <w:pPr>
              <w:spacing w:after="0" w:line="240" w:lineRule="auto"/>
            </w:pPr>
            <w:r>
              <w:rPr>
                <w:rFonts w:ascii="Arial" w:hAnsi="Arial"/>
                <w:sz w:val="18"/>
              </w:rPr>
              <w:t>Buyer problem, outcome, proof, use cases, next action, supporting content.</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For Sales Professionals</w:t>
            </w:r>
          </w:p>
        </w:tc>
        <w:tc>
          <w:tcPr>
            <w:tcW w:type="dxa" w:w="3528"/>
            <w:vAlign w:val="center"/>
            <w:tcMar>
              <w:top w:w="90" w:type="dxa"/>
              <w:start w:w="90" w:type="dxa"/>
              <w:bottom w:w="90" w:type="dxa"/>
              <w:end w:w="90" w:type="dxa"/>
            </w:tcMar>
          </w:tcPr>
          <w:p>
            <w:pPr>
              <w:spacing w:after="0" w:line="240" w:lineRule="auto"/>
            </w:pPr>
            <w:r>
              <w:rPr>
                <w:rFonts w:ascii="Arial" w:hAnsi="Arial"/>
                <w:sz w:val="18"/>
              </w:rPr>
              <w:t>Preserve a self-directed path without diluting enterprise positioning.</w:t>
            </w:r>
          </w:p>
        </w:tc>
        <w:tc>
          <w:tcPr>
            <w:tcW w:type="dxa" w:w="4968"/>
            <w:vAlign w:val="center"/>
            <w:tcMar>
              <w:top w:w="90" w:type="dxa"/>
              <w:start w:w="90" w:type="dxa"/>
              <w:bottom w:w="90" w:type="dxa"/>
              <w:end w:w="90" w:type="dxa"/>
            </w:tcMar>
          </w:tcPr>
          <w:p>
            <w:pPr>
              <w:spacing w:after="0" w:line="240" w:lineRule="auto"/>
            </w:pPr>
            <w:r>
              <w:rPr>
                <w:rFonts w:ascii="Arial" w:hAnsi="Arial"/>
                <w:sz w:val="18"/>
              </w:rPr>
              <w:t>Program discovery, seminar pathways, clear fit, appropriate CTA.</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Proof / case evidence</w:t>
            </w:r>
          </w:p>
        </w:tc>
        <w:tc>
          <w:tcPr>
            <w:tcW w:type="dxa" w:w="3528"/>
            <w:vAlign w:val="center"/>
            <w:tcMar>
              <w:top w:w="90" w:type="dxa"/>
              <w:start w:w="90" w:type="dxa"/>
              <w:bottom w:w="90" w:type="dxa"/>
              <w:end w:w="90" w:type="dxa"/>
            </w:tcMar>
          </w:tcPr>
          <w:p>
            <w:pPr>
              <w:spacing w:after="0" w:line="240" w:lineRule="auto"/>
            </w:pPr>
            <w:r>
              <w:rPr>
                <w:rFonts w:ascii="Arial" w:hAnsi="Arial"/>
                <w:sz w:val="18"/>
              </w:rPr>
              <w:t>Reduce enterprise risk and make results visible.</w:t>
            </w:r>
          </w:p>
        </w:tc>
        <w:tc>
          <w:tcPr>
            <w:tcW w:type="dxa" w:w="4968"/>
            <w:vAlign w:val="center"/>
            <w:tcMar>
              <w:top w:w="90" w:type="dxa"/>
              <w:start w:w="90" w:type="dxa"/>
              <w:bottom w:w="90" w:type="dxa"/>
              <w:end w:w="90" w:type="dxa"/>
            </w:tcMar>
          </w:tcPr>
          <w:p>
            <w:pPr>
              <w:spacing w:after="0" w:line="240" w:lineRule="auto"/>
            </w:pPr>
            <w:r>
              <w:rPr>
                <w:rFonts w:ascii="Arial" w:hAnsi="Arial"/>
                <w:sz w:val="18"/>
              </w:rPr>
              <w:t>Case studies, ROI evidence, testimonials, credentials, methodology, guarantee qualification.</w:t>
            </w:r>
          </w:p>
        </w:tc>
      </w:tr>
      <w:tr>
        <w:tc>
          <w:tcPr>
            <w:tcW w:type="dxa" w:w="2376"/>
            <w:vAlign w:val="center"/>
            <w:tcMar>
              <w:top w:w="90" w:type="dxa"/>
              <w:start w:w="90" w:type="dxa"/>
              <w:bottom w:w="90" w:type="dxa"/>
              <w:end w:w="90" w:type="dxa"/>
            </w:tcMar>
          </w:tcPr>
          <w:p>
            <w:pPr>
              <w:spacing w:after="0" w:line="240" w:lineRule="auto"/>
            </w:pPr>
            <w:r>
              <w:rPr>
                <w:rFonts w:ascii="Arial" w:hAnsi="Arial"/>
                <w:sz w:val="18"/>
              </w:rPr>
              <w:t>Insights / authority content</w:t>
            </w:r>
          </w:p>
        </w:tc>
        <w:tc>
          <w:tcPr>
            <w:tcW w:type="dxa" w:w="3528"/>
            <w:vAlign w:val="center"/>
            <w:tcMar>
              <w:top w:w="90" w:type="dxa"/>
              <w:start w:w="90" w:type="dxa"/>
              <w:bottom w:w="90" w:type="dxa"/>
              <w:end w:w="90" w:type="dxa"/>
            </w:tcMar>
          </w:tcPr>
          <w:p>
            <w:pPr>
              <w:spacing w:after="0" w:line="240" w:lineRule="auto"/>
            </w:pPr>
            <w:r>
              <w:rPr>
                <w:rFonts w:ascii="Arial" w:hAnsi="Arial"/>
                <w:sz w:val="18"/>
              </w:rPr>
              <w:t>Support discovery, evaluation, and search/AI authority.</w:t>
            </w:r>
          </w:p>
        </w:tc>
        <w:tc>
          <w:tcPr>
            <w:tcW w:type="dxa" w:w="4968"/>
            <w:vAlign w:val="center"/>
            <w:tcMar>
              <w:top w:w="90" w:type="dxa"/>
              <w:start w:w="90" w:type="dxa"/>
              <w:bottom w:w="90" w:type="dxa"/>
              <w:end w:w="90" w:type="dxa"/>
            </w:tcMar>
          </w:tcPr>
          <w:p>
            <w:pPr>
              <w:spacing w:after="0" w:line="240" w:lineRule="auto"/>
            </w:pPr>
            <w:r>
              <w:rPr>
                <w:rFonts w:ascii="Arial" w:hAnsi="Arial"/>
                <w:sz w:val="18"/>
              </w:rPr>
              <w:t>Buyer questions, category language, vertical relevance, expertise, source clarity.</w:t>
            </w:r>
          </w:p>
        </w:tc>
      </w:tr>
    </w:tbl>
    <w:p/>
    <w:p>
      <w:pPr>
        <w:pStyle w:val="Heading1"/>
      </w:pPr>
      <w:r>
        <w:t>9. Measurement Requirements</w:t>
      </w:r>
    </w:p>
    <w:p>
      <w:r>
        <w:t>The success metric is not simply more organic traffic. Foundation should implement the measurement chain below where the available systems support it:</w:t>
      </w:r>
    </w:p>
    <w:p>
      <w:r>
        <w:rPr>
          <w:b/>
        </w:rPr>
        <w:t>Relevant discovery -&gt; appropriate landing experience -&gt; meaningful conversion -&gt; qualified lead -&gt; opportunity.</w:t>
      </w:r>
    </w:p>
    <w:tbl>
      <w:tblPr>
        <w:tblStyle w:val="TableGrid"/>
        <w:tblW w:type="auto" w:w="0"/>
        <w:jc w:val="center"/>
        <w:tblLook w:firstColumn="1" w:firstRow="1" w:lastColumn="0" w:lastRow="0" w:noHBand="0" w:noVBand="1" w:val="04A0"/>
      </w:tblPr>
      <w:tblGrid>
        <w:gridCol w:w="5112"/>
        <w:gridCol w:w="5112"/>
      </w:tblGrid>
      <w:tr>
        <w:tc>
          <w:tcPr>
            <w:tcW w:type="dxa" w:w="2304"/>
            <w:vAlign w:val="center"/>
            <w:tcMar>
              <w:top w:w="90" w:type="dxa"/>
              <w:start w:w="90" w:type="dxa"/>
              <w:bottom w:w="90" w:type="dxa"/>
              <w:end w:w="90" w:type="dxa"/>
            </w:tcMar>
            <w:shd w:fill="EDEDED"/>
          </w:tcPr>
          <w:p>
            <w:pPr>
              <w:spacing w:after="0" w:line="240" w:lineRule="auto"/>
            </w:pPr>
            <w:r>
              <w:rPr>
                <w:rFonts w:ascii="Arial" w:hAnsi="Arial"/>
                <w:b/>
                <w:sz w:val="18"/>
              </w:rPr>
              <w:t>Layer</w:t>
            </w:r>
          </w:p>
        </w:tc>
        <w:tc>
          <w:tcPr>
            <w:tcW w:type="dxa" w:w="8568"/>
            <w:vAlign w:val="center"/>
            <w:tcMar>
              <w:top w:w="90" w:type="dxa"/>
              <w:start w:w="90" w:type="dxa"/>
              <w:bottom w:w="90" w:type="dxa"/>
              <w:end w:w="90" w:type="dxa"/>
            </w:tcMar>
            <w:shd w:fill="EDEDED"/>
          </w:tcPr>
          <w:p>
            <w:pPr>
              <w:spacing w:after="0" w:line="240" w:lineRule="auto"/>
            </w:pPr>
            <w:r>
              <w:rPr>
                <w:rFonts w:ascii="Arial" w:hAnsi="Arial"/>
                <w:b/>
                <w:sz w:val="18"/>
              </w:rPr>
              <w:t>Implementation requirement</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Meaningful conversion</w:t>
            </w:r>
          </w:p>
        </w:tc>
        <w:tc>
          <w:tcPr>
            <w:tcW w:type="dxa" w:w="8568"/>
            <w:vAlign w:val="center"/>
            <w:tcMar>
              <w:top w:w="90" w:type="dxa"/>
              <w:start w:w="90" w:type="dxa"/>
              <w:bottom w:w="90" w:type="dxa"/>
              <w:end w:w="90" w:type="dxa"/>
            </w:tcMar>
          </w:tcPr>
          <w:p>
            <w:pPr>
              <w:spacing w:after="0" w:line="240" w:lineRule="auto"/>
            </w:pPr>
            <w:r>
              <w:rPr>
                <w:rFonts w:ascii="Arial" w:hAnsi="Arial"/>
                <w:sz w:val="18"/>
              </w:rPr>
              <w:t>Define consultation, assessment, seminar, and other approved high-value actions.</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Analytics</w:t>
            </w:r>
          </w:p>
        </w:tc>
        <w:tc>
          <w:tcPr>
            <w:tcW w:type="dxa" w:w="8568"/>
            <w:vAlign w:val="center"/>
            <w:tcMar>
              <w:top w:w="90" w:type="dxa"/>
              <w:start w:w="90" w:type="dxa"/>
              <w:bottom w:w="90" w:type="dxa"/>
              <w:end w:w="90" w:type="dxa"/>
            </w:tcMar>
          </w:tcPr>
          <w:p>
            <w:pPr>
              <w:spacing w:after="0" w:line="240" w:lineRule="auto"/>
            </w:pPr>
            <w:r>
              <w:rPr>
                <w:rFonts w:ascii="Arial" w:hAnsi="Arial"/>
                <w:sz w:val="18"/>
              </w:rPr>
              <w:t>Configure GTM / GA4 key events around approved conversion definitions.</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CRM</w:t>
            </w:r>
          </w:p>
        </w:tc>
        <w:tc>
          <w:tcPr>
            <w:tcW w:type="dxa" w:w="8568"/>
            <w:vAlign w:val="center"/>
            <w:tcMar>
              <w:top w:w="90" w:type="dxa"/>
              <w:start w:w="90" w:type="dxa"/>
              <w:bottom w:w="90" w:type="dxa"/>
              <w:end w:w="90" w:type="dxa"/>
            </w:tcMar>
          </w:tcPr>
          <w:p>
            <w:pPr>
              <w:spacing w:after="0" w:line="240" w:lineRule="auto"/>
            </w:pPr>
            <w:r>
              <w:rPr>
                <w:rFonts w:ascii="Arial" w:hAnsi="Arial"/>
                <w:sz w:val="18"/>
              </w:rPr>
              <w:t>Map form fields, source data, qualification, and opportunity progression.</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Attribution</w:t>
            </w:r>
          </w:p>
        </w:tc>
        <w:tc>
          <w:tcPr>
            <w:tcW w:type="dxa" w:w="8568"/>
            <w:vAlign w:val="center"/>
            <w:tcMar>
              <w:top w:w="90" w:type="dxa"/>
              <w:start w:w="90" w:type="dxa"/>
              <w:bottom w:w="90" w:type="dxa"/>
              <w:end w:w="90" w:type="dxa"/>
            </w:tcMar>
          </w:tcPr>
          <w:p>
            <w:pPr>
              <w:spacing w:after="0" w:line="240" w:lineRule="auto"/>
            </w:pPr>
            <w:r>
              <w:rPr>
                <w:rFonts w:ascii="Arial" w:hAnsi="Arial"/>
                <w:sz w:val="18"/>
              </w:rPr>
              <w:t>Preserve known limits. Do not represent platform attribution as causal attribution.</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Baseline</w:t>
            </w:r>
          </w:p>
        </w:tc>
        <w:tc>
          <w:tcPr>
            <w:tcW w:type="dxa" w:w="8568"/>
            <w:vAlign w:val="center"/>
            <w:tcMar>
              <w:top w:w="90" w:type="dxa"/>
              <w:start w:w="90" w:type="dxa"/>
              <w:bottom w:w="90" w:type="dxa"/>
              <w:end w:w="90" w:type="dxa"/>
            </w:tcMar>
          </w:tcPr>
          <w:p>
            <w:pPr>
              <w:spacing w:after="0" w:line="240" w:lineRule="auto"/>
            </w:pPr>
            <w:r>
              <w:rPr>
                <w:rFonts w:ascii="Arial" w:hAnsi="Arial"/>
                <w:sz w:val="18"/>
              </w:rPr>
              <w:t>Establish reliable post-implementation baselines before making improvement claims.</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Leadership reporting</w:t>
            </w:r>
          </w:p>
        </w:tc>
        <w:tc>
          <w:tcPr>
            <w:tcW w:type="dxa" w:w="8568"/>
            <w:vAlign w:val="center"/>
            <w:tcMar>
              <w:top w:w="90" w:type="dxa"/>
              <w:start w:w="90" w:type="dxa"/>
              <w:bottom w:w="90" w:type="dxa"/>
              <w:end w:w="90" w:type="dxa"/>
            </w:tcMar>
          </w:tcPr>
          <w:p>
            <w:pPr>
              <w:spacing w:after="0" w:line="240" w:lineRule="auto"/>
            </w:pPr>
            <w:r>
              <w:rPr>
                <w:rFonts w:ascii="Arial" w:hAnsi="Arial"/>
                <w:sz w:val="18"/>
              </w:rPr>
              <w:t>Make qualified progression and visibility gaps easier to explain, not just traffic activity.</w:t>
            </w:r>
          </w:p>
        </w:tc>
      </w:tr>
    </w:tbl>
    <w:p/>
    <w:p>
      <w:pPr>
        <w:pStyle w:val="Heading1"/>
      </w:pPr>
      <w:r>
        <w:t>10. Evidence Gaps That Must Stay Visible</w:t>
      </w:r>
    </w:p>
    <w:tbl>
      <w:tblPr>
        <w:tblStyle w:val="TableGrid"/>
        <w:tblW w:type="auto" w:w="0"/>
        <w:jc w:val="center"/>
        <w:tblLook w:firstColumn="1" w:firstRow="1" w:lastColumn="0" w:lastRow="0" w:noHBand="0" w:noVBand="1" w:val="04A0"/>
      </w:tblPr>
      <w:tblGrid>
        <w:gridCol w:w="3408"/>
        <w:gridCol w:w="3408"/>
        <w:gridCol w:w="3408"/>
      </w:tblGrid>
      <w:tr>
        <w:tc>
          <w:tcPr>
            <w:tcW w:type="dxa" w:w="3096"/>
            <w:vAlign w:val="center"/>
            <w:tcMar>
              <w:top w:w="90" w:type="dxa"/>
              <w:start w:w="90" w:type="dxa"/>
              <w:bottom w:w="90" w:type="dxa"/>
              <w:end w:w="90" w:type="dxa"/>
            </w:tcMar>
            <w:shd w:fill="EDEDED"/>
          </w:tcPr>
          <w:p>
            <w:pPr>
              <w:spacing w:after="0" w:line="240" w:lineRule="auto"/>
            </w:pPr>
            <w:r>
              <w:rPr>
                <w:rFonts w:ascii="Arial" w:hAnsi="Arial"/>
                <w:b/>
                <w:sz w:val="18"/>
              </w:rPr>
              <w:t>Open question</w:t>
            </w:r>
          </w:p>
        </w:tc>
        <w:tc>
          <w:tcPr>
            <w:tcW w:type="dxa" w:w="3816"/>
            <w:vAlign w:val="center"/>
            <w:tcMar>
              <w:top w:w="90" w:type="dxa"/>
              <w:start w:w="90" w:type="dxa"/>
              <w:bottom w:w="90" w:type="dxa"/>
              <w:end w:w="90" w:type="dxa"/>
            </w:tcMar>
            <w:shd w:fill="EDEDED"/>
          </w:tcPr>
          <w:p>
            <w:pPr>
              <w:spacing w:after="0" w:line="240" w:lineRule="auto"/>
            </w:pPr>
            <w:r>
              <w:rPr>
                <w:rFonts w:ascii="Arial" w:hAnsi="Arial"/>
                <w:b/>
                <w:sz w:val="18"/>
              </w:rPr>
              <w:t>Evidence needed</w:t>
            </w:r>
          </w:p>
        </w:tc>
        <w:tc>
          <w:tcPr>
            <w:tcW w:type="dxa" w:w="4032"/>
            <w:vAlign w:val="center"/>
            <w:tcMar>
              <w:top w:w="90" w:type="dxa"/>
              <w:start w:w="90" w:type="dxa"/>
              <w:bottom w:w="90" w:type="dxa"/>
              <w:end w:w="90" w:type="dxa"/>
            </w:tcMar>
            <w:shd w:fill="EDEDED"/>
          </w:tcPr>
          <w:p>
            <w:pPr>
              <w:spacing w:after="0" w:line="240" w:lineRule="auto"/>
            </w:pPr>
            <w:r>
              <w:rPr>
                <w:rFonts w:ascii="Arial" w:hAnsi="Arial"/>
                <w:b/>
                <w:sz w:val="18"/>
              </w:rPr>
              <w:t>Why Foundation cares</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Is the corporate buyer economically primary?</w:t>
            </w:r>
          </w:p>
        </w:tc>
        <w:tc>
          <w:tcPr>
            <w:tcW w:type="dxa" w:w="3816"/>
            <w:vAlign w:val="center"/>
            <w:tcMar>
              <w:top w:w="90" w:type="dxa"/>
              <w:start w:w="90" w:type="dxa"/>
              <w:bottom w:w="90" w:type="dxa"/>
              <w:end w:w="90" w:type="dxa"/>
            </w:tcMar>
          </w:tcPr>
          <w:p>
            <w:pPr>
              <w:spacing w:after="0" w:line="240" w:lineRule="auto"/>
            </w:pPr>
            <w:r>
              <w:rPr>
                <w:rFonts w:ascii="Arial" w:hAnsi="Arial"/>
                <w:sz w:val="18"/>
              </w:rPr>
              <w:t>CRM revenue, opportunity count, average engagement size by buyer type</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final IA emphasis and scope.</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Does the guarantee materially influence enterprise decisions?</w:t>
            </w:r>
          </w:p>
        </w:tc>
        <w:tc>
          <w:tcPr>
            <w:tcW w:type="dxa" w:w="3816"/>
            <w:vAlign w:val="center"/>
            <w:tcMar>
              <w:top w:w="90" w:type="dxa"/>
              <w:start w:w="90" w:type="dxa"/>
              <w:bottom w:w="90" w:type="dxa"/>
              <w:end w:w="90" w:type="dxa"/>
            </w:tcMar>
          </w:tcPr>
          <w:p>
            <w:pPr>
              <w:spacing w:after="0" w:line="240" w:lineRule="auto"/>
            </w:pPr>
            <w:r>
              <w:rPr>
                <w:rFonts w:ascii="Arial" w:hAnsi="Arial"/>
                <w:sz w:val="18"/>
              </w:rPr>
              <w:t>Sales calls, win/loss notes, proposal feedback</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claim prominence and proof hierarchy.</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Which vertical pages deserve priority?</w:t>
            </w:r>
          </w:p>
        </w:tc>
        <w:tc>
          <w:tcPr>
            <w:tcW w:type="dxa" w:w="3816"/>
            <w:vAlign w:val="center"/>
            <w:tcMar>
              <w:top w:w="90" w:type="dxa"/>
              <w:start w:w="90" w:type="dxa"/>
              <w:bottom w:w="90" w:type="dxa"/>
              <w:end w:w="90" w:type="dxa"/>
            </w:tcMar>
          </w:tcPr>
          <w:p>
            <w:pPr>
              <w:spacing w:after="0" w:line="240" w:lineRule="auto"/>
            </w:pPr>
            <w:r>
              <w:rPr>
                <w:rFonts w:ascii="Arial" w:hAnsi="Arial"/>
                <w:sz w:val="18"/>
              </w:rPr>
              <w:t>GSC demand, CRM pipeline by vertical, sales priorities</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content sequencing.</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How underrepresented is NuVue in AI-assisted research?</w:t>
            </w:r>
          </w:p>
        </w:tc>
        <w:tc>
          <w:tcPr>
            <w:tcW w:type="dxa" w:w="3816"/>
            <w:vAlign w:val="center"/>
            <w:tcMar>
              <w:top w:w="90" w:type="dxa"/>
              <w:start w:w="90" w:type="dxa"/>
              <w:bottom w:w="90" w:type="dxa"/>
              <w:end w:w="90" w:type="dxa"/>
            </w:tcMar>
          </w:tcPr>
          <w:p>
            <w:pPr>
              <w:spacing w:after="0" w:line="240" w:lineRule="auto"/>
            </w:pPr>
            <w:r>
              <w:rPr>
                <w:rFonts w:ascii="Arial" w:hAnsi="Arial"/>
                <w:sz w:val="18"/>
              </w:rPr>
              <w:t>Dated synthetic prompt runs across approved models</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AEO prioritization and claims.</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Can marketing contribution connect to pipeline?</w:t>
            </w:r>
          </w:p>
        </w:tc>
        <w:tc>
          <w:tcPr>
            <w:tcW w:type="dxa" w:w="3816"/>
            <w:vAlign w:val="center"/>
            <w:tcMar>
              <w:top w:w="90" w:type="dxa"/>
              <w:start w:w="90" w:type="dxa"/>
              <w:bottom w:w="90" w:type="dxa"/>
              <w:end w:w="90" w:type="dxa"/>
            </w:tcMar>
          </w:tcPr>
          <w:p>
            <w:pPr>
              <w:spacing w:after="0" w:line="240" w:lineRule="auto"/>
            </w:pPr>
            <w:r>
              <w:rPr>
                <w:rFonts w:ascii="Arial" w:hAnsi="Arial"/>
                <w:sz w:val="18"/>
              </w:rPr>
              <w:t>CRM source logic, lifecycle definitions, IDs, UTMs</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reporting expectations.</w:t>
            </w:r>
          </w:p>
        </w:tc>
      </w:tr>
      <w:tr>
        <w:tc>
          <w:tcPr>
            <w:tcW w:type="dxa" w:w="3096"/>
            <w:vAlign w:val="center"/>
            <w:tcMar>
              <w:top w:w="90" w:type="dxa"/>
              <w:start w:w="90" w:type="dxa"/>
              <w:bottom w:w="90" w:type="dxa"/>
              <w:end w:w="90" w:type="dxa"/>
            </w:tcMar>
          </w:tcPr>
          <w:p>
            <w:pPr>
              <w:spacing w:after="0" w:line="240" w:lineRule="auto"/>
            </w:pPr>
            <w:r>
              <w:rPr>
                <w:rFonts w:ascii="Arial" w:hAnsi="Arial"/>
                <w:sz w:val="18"/>
              </w:rPr>
              <w:t>Does the CMS create meaningful agility friction?</w:t>
            </w:r>
          </w:p>
        </w:tc>
        <w:tc>
          <w:tcPr>
            <w:tcW w:type="dxa" w:w="3816"/>
            <w:vAlign w:val="center"/>
            <w:tcMar>
              <w:top w:w="90" w:type="dxa"/>
              <w:start w:w="90" w:type="dxa"/>
              <w:bottom w:w="90" w:type="dxa"/>
              <w:end w:w="90" w:type="dxa"/>
            </w:tcMar>
          </w:tcPr>
          <w:p>
            <w:pPr>
              <w:spacing w:after="0" w:line="240" w:lineRule="auto"/>
            </w:pPr>
            <w:r>
              <w:rPr>
                <w:rFonts w:ascii="Arial" w:hAnsi="Arial"/>
                <w:sz w:val="18"/>
              </w:rPr>
              <w:t>Team interviews, edit/launch cycle times</w:t>
            </w:r>
          </w:p>
        </w:tc>
        <w:tc>
          <w:tcPr>
            <w:tcW w:type="dxa" w:w="4032"/>
            <w:vAlign w:val="center"/>
            <w:tcMar>
              <w:top w:w="90" w:type="dxa"/>
              <w:start w:w="90" w:type="dxa"/>
              <w:bottom w:w="90" w:type="dxa"/>
              <w:end w:w="90" w:type="dxa"/>
            </w:tcMar>
          </w:tcPr>
          <w:p>
            <w:pPr>
              <w:spacing w:after="0" w:line="240" w:lineRule="auto"/>
            </w:pPr>
            <w:r>
              <w:rPr>
                <w:rFonts w:ascii="Arial" w:hAnsi="Arial"/>
                <w:sz w:val="18"/>
              </w:rPr>
              <w:t>Protects platform and component requirements.</w:t>
            </w:r>
          </w:p>
        </w:tc>
      </w:tr>
    </w:tbl>
    <w:p/>
    <w:p>
      <w:r>
        <w:t>If new evidence materially changes the approved buyer, positioning, priority, offer, conversion strategy, or success definition, stop that implementation decision and return it for strategic review.</w:t>
      </w:r>
    </w:p>
    <w:p>
      <w:pPr>
        <w:pStyle w:val="Heading1"/>
      </w:pPr>
      <w:r>
        <w:t>11. Dependencies and Risks</w:t>
      </w:r>
    </w:p>
    <w:tbl>
      <w:tblPr>
        <w:tblStyle w:val="TableGrid"/>
        <w:tblW w:type="auto" w:w="0"/>
        <w:jc w:val="center"/>
        <w:tblLook w:firstColumn="1" w:firstRow="1" w:lastColumn="0" w:lastRow="0" w:noHBand="0" w:noVBand="1" w:val="04A0"/>
      </w:tblPr>
      <w:tblGrid>
        <w:gridCol w:w="3408"/>
        <w:gridCol w:w="3408"/>
        <w:gridCol w:w="3408"/>
      </w:tblGrid>
      <w:tr>
        <w:tc>
          <w:tcPr>
            <w:tcW w:type="dxa" w:w="3240"/>
            <w:vAlign w:val="center"/>
            <w:tcMar>
              <w:top w:w="90" w:type="dxa"/>
              <w:start w:w="90" w:type="dxa"/>
              <w:bottom w:w="90" w:type="dxa"/>
              <w:end w:w="90" w:type="dxa"/>
            </w:tcMar>
            <w:shd w:fill="EDEDED"/>
          </w:tcPr>
          <w:p>
            <w:pPr>
              <w:spacing w:after="0" w:line="240" w:lineRule="auto"/>
            </w:pPr>
            <w:r>
              <w:rPr>
                <w:rFonts w:ascii="Arial" w:hAnsi="Arial"/>
                <w:b/>
                <w:sz w:val="18"/>
              </w:rPr>
              <w:t>Risk / dependency</w:t>
            </w:r>
          </w:p>
        </w:tc>
        <w:tc>
          <w:tcPr>
            <w:tcW w:type="dxa" w:w="3312"/>
            <w:vAlign w:val="center"/>
            <w:tcMar>
              <w:top w:w="90" w:type="dxa"/>
              <w:start w:w="90" w:type="dxa"/>
              <w:bottom w:w="90" w:type="dxa"/>
              <w:end w:w="90" w:type="dxa"/>
            </w:tcMar>
            <w:shd w:fill="EDEDED"/>
          </w:tcPr>
          <w:p>
            <w:pPr>
              <w:spacing w:after="0" w:line="240" w:lineRule="auto"/>
            </w:pPr>
            <w:r>
              <w:rPr>
                <w:rFonts w:ascii="Arial" w:hAnsi="Arial"/>
                <w:b/>
                <w:sz w:val="18"/>
              </w:rPr>
              <w:t>Potential impact</w:t>
            </w:r>
          </w:p>
        </w:tc>
        <w:tc>
          <w:tcPr>
            <w:tcW w:type="dxa" w:w="4392"/>
            <w:vAlign w:val="center"/>
            <w:tcMar>
              <w:top w:w="90" w:type="dxa"/>
              <w:start w:w="90" w:type="dxa"/>
              <w:bottom w:w="90" w:type="dxa"/>
              <w:end w:w="90" w:type="dxa"/>
            </w:tcMar>
            <w:shd w:fill="EDEDED"/>
          </w:tcPr>
          <w:p>
            <w:pPr>
              <w:spacing w:after="0" w:line="240" w:lineRule="auto"/>
            </w:pPr>
            <w:r>
              <w:rPr>
                <w:rFonts w:ascii="Arial" w:hAnsi="Arial"/>
                <w:b/>
                <w:sz w:val="18"/>
              </w:rPr>
              <w:t>Required response</w:t>
            </w:r>
          </w:p>
        </w:tc>
      </w:tr>
      <w:tr>
        <w:tc>
          <w:tcPr>
            <w:tcW w:type="dxa" w:w="3240"/>
            <w:vAlign w:val="center"/>
            <w:tcMar>
              <w:top w:w="90" w:type="dxa"/>
              <w:start w:w="90" w:type="dxa"/>
              <w:bottom w:w="90" w:type="dxa"/>
              <w:end w:w="90" w:type="dxa"/>
            </w:tcMar>
          </w:tcPr>
          <w:p>
            <w:pPr>
              <w:spacing w:after="0" w:line="240" w:lineRule="auto"/>
            </w:pPr>
            <w:r>
              <w:rPr>
                <w:rFonts w:ascii="Arial" w:hAnsi="Arial"/>
                <w:sz w:val="18"/>
              </w:rPr>
              <w:t>Corporate priority not fully validated by CRM data</w:t>
            </w:r>
          </w:p>
        </w:tc>
        <w:tc>
          <w:tcPr>
            <w:tcW w:type="dxa" w:w="3312"/>
            <w:vAlign w:val="center"/>
            <w:tcMar>
              <w:top w:w="90" w:type="dxa"/>
              <w:start w:w="90" w:type="dxa"/>
              <w:bottom w:w="90" w:type="dxa"/>
              <w:end w:w="90" w:type="dxa"/>
            </w:tcMar>
          </w:tcPr>
          <w:p>
            <w:pPr>
              <w:spacing w:after="0" w:line="240" w:lineRule="auto"/>
            </w:pPr>
            <w:r>
              <w:rPr>
                <w:rFonts w:ascii="Arial" w:hAnsi="Arial"/>
                <w:sz w:val="18"/>
              </w:rPr>
              <w:t>Could over-prioritize the wrong buyer.</w:t>
            </w:r>
          </w:p>
        </w:tc>
        <w:tc>
          <w:tcPr>
            <w:tcW w:type="dxa" w:w="4392"/>
            <w:vAlign w:val="center"/>
            <w:tcMar>
              <w:top w:w="90" w:type="dxa"/>
              <w:start w:w="90" w:type="dxa"/>
              <w:bottom w:w="90" w:type="dxa"/>
              <w:end w:w="90" w:type="dxa"/>
            </w:tcMar>
          </w:tcPr>
          <w:p>
            <w:pPr>
              <w:spacing w:after="0" w:line="240" w:lineRule="auto"/>
            </w:pPr>
            <w:r>
              <w:rPr>
                <w:rFonts w:ascii="Arial" w:hAnsi="Arial"/>
                <w:sz w:val="18"/>
              </w:rPr>
              <w:t>Validate before final IA approval.</w:t>
            </w:r>
          </w:p>
        </w:tc>
      </w:tr>
      <w:tr>
        <w:tc>
          <w:tcPr>
            <w:tcW w:type="dxa" w:w="3240"/>
            <w:vAlign w:val="center"/>
            <w:tcMar>
              <w:top w:w="90" w:type="dxa"/>
              <w:start w:w="90" w:type="dxa"/>
              <w:bottom w:w="90" w:type="dxa"/>
              <w:end w:w="90" w:type="dxa"/>
            </w:tcMar>
          </w:tcPr>
          <w:p>
            <w:pPr>
              <w:spacing w:after="0" w:line="240" w:lineRule="auto"/>
            </w:pPr>
            <w:r>
              <w:rPr>
                <w:rFonts w:ascii="Arial" w:hAnsi="Arial"/>
                <w:sz w:val="18"/>
              </w:rPr>
              <w:t>ROI / guarantee claims require substantiation</w:t>
            </w:r>
          </w:p>
        </w:tc>
        <w:tc>
          <w:tcPr>
            <w:tcW w:type="dxa" w:w="3312"/>
            <w:vAlign w:val="center"/>
            <w:tcMar>
              <w:top w:w="90" w:type="dxa"/>
              <w:start w:w="90" w:type="dxa"/>
              <w:bottom w:w="90" w:type="dxa"/>
              <w:end w:w="90" w:type="dxa"/>
            </w:tcMar>
          </w:tcPr>
          <w:p>
            <w:pPr>
              <w:spacing w:after="0" w:line="240" w:lineRule="auto"/>
            </w:pPr>
            <w:r>
              <w:rPr>
                <w:rFonts w:ascii="Arial" w:hAnsi="Arial"/>
                <w:sz w:val="18"/>
              </w:rPr>
              <w:t>Could create credibility or compliance risk.</w:t>
            </w:r>
          </w:p>
        </w:tc>
        <w:tc>
          <w:tcPr>
            <w:tcW w:type="dxa" w:w="4392"/>
            <w:vAlign w:val="center"/>
            <w:tcMar>
              <w:top w:w="90" w:type="dxa"/>
              <w:start w:w="90" w:type="dxa"/>
              <w:bottom w:w="90" w:type="dxa"/>
              <w:end w:w="90" w:type="dxa"/>
            </w:tcMar>
          </w:tcPr>
          <w:p>
            <w:pPr>
              <w:spacing w:after="0" w:line="240" w:lineRule="auto"/>
            </w:pPr>
            <w:r>
              <w:rPr>
                <w:rFonts w:ascii="Arial" w:hAnsi="Arial"/>
                <w:sz w:val="18"/>
              </w:rPr>
              <w:t>Document source, calculation, qualification, and permission before publication.</w:t>
            </w:r>
          </w:p>
        </w:tc>
      </w:tr>
      <w:tr>
        <w:tc>
          <w:tcPr>
            <w:tcW w:type="dxa" w:w="3240"/>
            <w:vAlign w:val="center"/>
            <w:tcMar>
              <w:top w:w="90" w:type="dxa"/>
              <w:start w:w="90" w:type="dxa"/>
              <w:bottom w:w="90" w:type="dxa"/>
              <w:end w:w="90" w:type="dxa"/>
            </w:tcMar>
          </w:tcPr>
          <w:p>
            <w:pPr>
              <w:spacing w:after="0" w:line="240" w:lineRule="auto"/>
            </w:pPr>
            <w:r>
              <w:rPr>
                <w:rFonts w:ascii="Arial" w:hAnsi="Arial"/>
                <w:sz w:val="18"/>
              </w:rPr>
              <w:t>Measurement fields may be inconsistent</w:t>
            </w:r>
          </w:p>
        </w:tc>
        <w:tc>
          <w:tcPr>
            <w:tcW w:type="dxa" w:w="3312"/>
            <w:vAlign w:val="center"/>
            <w:tcMar>
              <w:top w:w="90" w:type="dxa"/>
              <w:start w:w="90" w:type="dxa"/>
              <w:bottom w:w="90" w:type="dxa"/>
              <w:end w:w="90" w:type="dxa"/>
            </w:tcMar>
          </w:tcPr>
          <w:p>
            <w:pPr>
              <w:spacing w:after="0" w:line="240" w:lineRule="auto"/>
            </w:pPr>
            <w:r>
              <w:rPr>
                <w:rFonts w:ascii="Arial" w:hAnsi="Arial"/>
                <w:sz w:val="18"/>
              </w:rPr>
              <w:t>Could create false confidence in attribution.</w:t>
            </w:r>
          </w:p>
        </w:tc>
        <w:tc>
          <w:tcPr>
            <w:tcW w:type="dxa" w:w="4392"/>
            <w:vAlign w:val="center"/>
            <w:tcMar>
              <w:top w:w="90" w:type="dxa"/>
              <w:start w:w="90" w:type="dxa"/>
              <w:bottom w:w="90" w:type="dxa"/>
              <w:end w:w="90" w:type="dxa"/>
            </w:tcMar>
          </w:tcPr>
          <w:p>
            <w:pPr>
              <w:spacing w:after="0" w:line="240" w:lineRule="auto"/>
            </w:pPr>
            <w:r>
              <w:rPr>
                <w:rFonts w:ascii="Arial" w:hAnsi="Arial"/>
                <w:sz w:val="18"/>
              </w:rPr>
              <w:t>Validate CRM definitions before reporting design is finalized.</w:t>
            </w:r>
          </w:p>
        </w:tc>
      </w:tr>
      <w:tr>
        <w:tc>
          <w:tcPr>
            <w:tcW w:type="dxa" w:w="3240"/>
            <w:vAlign w:val="center"/>
            <w:tcMar>
              <w:top w:w="90" w:type="dxa"/>
              <w:start w:w="90" w:type="dxa"/>
              <w:bottom w:w="90" w:type="dxa"/>
              <w:end w:w="90" w:type="dxa"/>
            </w:tcMar>
          </w:tcPr>
          <w:p>
            <w:pPr>
              <w:spacing w:after="0" w:line="240" w:lineRule="auto"/>
            </w:pPr>
            <w:r>
              <w:rPr>
                <w:rFonts w:ascii="Arial" w:hAnsi="Arial"/>
                <w:sz w:val="18"/>
              </w:rPr>
              <w:t>Vertical sequencing is not yet proven</w:t>
            </w:r>
          </w:p>
        </w:tc>
        <w:tc>
          <w:tcPr>
            <w:tcW w:type="dxa" w:w="3312"/>
            <w:vAlign w:val="center"/>
            <w:tcMar>
              <w:top w:w="90" w:type="dxa"/>
              <w:start w:w="90" w:type="dxa"/>
              <w:bottom w:w="90" w:type="dxa"/>
              <w:end w:w="90" w:type="dxa"/>
            </w:tcMar>
          </w:tcPr>
          <w:p>
            <w:pPr>
              <w:spacing w:after="0" w:line="240" w:lineRule="auto"/>
            </w:pPr>
            <w:r>
              <w:rPr>
                <w:rFonts w:ascii="Arial" w:hAnsi="Arial"/>
                <w:sz w:val="18"/>
              </w:rPr>
              <w:t>Could create unnecessary content scope.</w:t>
            </w:r>
          </w:p>
        </w:tc>
        <w:tc>
          <w:tcPr>
            <w:tcW w:type="dxa" w:w="4392"/>
            <w:vAlign w:val="center"/>
            <w:tcMar>
              <w:top w:w="90" w:type="dxa"/>
              <w:start w:w="90" w:type="dxa"/>
              <w:bottom w:w="90" w:type="dxa"/>
              <w:end w:w="90" w:type="dxa"/>
            </w:tcMar>
          </w:tcPr>
          <w:p>
            <w:pPr>
              <w:spacing w:after="0" w:line="240" w:lineRule="auto"/>
            </w:pPr>
            <w:r>
              <w:rPr>
                <w:rFonts w:ascii="Arial" w:hAnsi="Arial"/>
                <w:sz w:val="18"/>
              </w:rPr>
              <w:t>Use GSC, CRM, and sales priorities before locking order.</w:t>
            </w:r>
          </w:p>
        </w:tc>
      </w:tr>
      <w:tr>
        <w:tc>
          <w:tcPr>
            <w:tcW w:type="dxa" w:w="3240"/>
            <w:vAlign w:val="center"/>
            <w:tcMar>
              <w:top w:w="90" w:type="dxa"/>
              <w:start w:w="90" w:type="dxa"/>
              <w:bottom w:w="90" w:type="dxa"/>
              <w:end w:w="90" w:type="dxa"/>
            </w:tcMar>
          </w:tcPr>
          <w:p>
            <w:pPr>
              <w:spacing w:after="0" w:line="240" w:lineRule="auto"/>
            </w:pPr>
            <w:r>
              <w:rPr>
                <w:rFonts w:ascii="Arial" w:hAnsi="Arial"/>
                <w:sz w:val="18"/>
              </w:rPr>
              <w:t>AI recommendation testing is directional</w:t>
            </w:r>
          </w:p>
        </w:tc>
        <w:tc>
          <w:tcPr>
            <w:tcW w:type="dxa" w:w="3312"/>
            <w:vAlign w:val="center"/>
            <w:tcMar>
              <w:top w:w="90" w:type="dxa"/>
              <w:start w:w="90" w:type="dxa"/>
              <w:bottom w:w="90" w:type="dxa"/>
              <w:end w:w="90" w:type="dxa"/>
            </w:tcMar>
          </w:tcPr>
          <w:p>
            <w:pPr>
              <w:spacing w:after="0" w:line="240" w:lineRule="auto"/>
            </w:pPr>
            <w:r>
              <w:rPr>
                <w:rFonts w:ascii="Arial" w:hAnsi="Arial"/>
                <w:sz w:val="18"/>
              </w:rPr>
              <w:t>Could be overstated as future visibility.</w:t>
            </w:r>
          </w:p>
        </w:tc>
        <w:tc>
          <w:tcPr>
            <w:tcW w:type="dxa" w:w="4392"/>
            <w:vAlign w:val="center"/>
            <w:tcMar>
              <w:top w:w="90" w:type="dxa"/>
              <w:start w:w="90" w:type="dxa"/>
              <w:bottom w:w="90" w:type="dxa"/>
              <w:end w:w="90" w:type="dxa"/>
            </w:tcMar>
          </w:tcPr>
          <w:p>
            <w:pPr>
              <w:spacing w:after="0" w:line="240" w:lineRule="auto"/>
            </w:pPr>
            <w:r>
              <w:rPr>
                <w:rFonts w:ascii="Arial" w:hAnsi="Arial"/>
                <w:sz w:val="18"/>
              </w:rPr>
              <w:t>Preserve dated test context and evidence boundary.</w:t>
            </w:r>
          </w:p>
        </w:tc>
      </w:tr>
    </w:tbl>
    <w:p/>
    <w:p>
      <w:pPr>
        <w:pStyle w:val="Heading1"/>
      </w:pPr>
      <w:r>
        <w:t>12. Recommended Implementation Sequence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tcMar>
              <w:top w:w="90" w:type="dxa"/>
              <w:start w:w="90" w:type="dxa"/>
              <w:bottom w:w="90" w:type="dxa"/>
              <w:end w:w="90" w:type="dxa"/>
            </w:tcMar>
            <w:shd w:fill="EDEDED"/>
          </w:tcPr>
          <w:p>
            <w:pPr>
              <w:spacing w:after="0" w:line="240" w:lineRule="auto"/>
            </w:pPr>
            <w:r>
              <w:rPr>
                <w:rFonts w:ascii="Arial" w:hAnsi="Arial"/>
                <w:b/>
                <w:sz w:val="18"/>
              </w:rPr>
              <w:t>Phase</w:t>
            </w:r>
          </w:p>
        </w:tc>
        <w:tc>
          <w:tcPr>
            <w:tcW w:type="dxa" w:w="1800"/>
            <w:vAlign w:val="center"/>
            <w:tcMar>
              <w:top w:w="90" w:type="dxa"/>
              <w:start w:w="90" w:type="dxa"/>
              <w:bottom w:w="90" w:type="dxa"/>
              <w:end w:w="90" w:type="dxa"/>
            </w:tcMar>
            <w:shd w:fill="EDEDED"/>
          </w:tcPr>
          <w:p>
            <w:pPr>
              <w:spacing w:after="0" w:line="240" w:lineRule="auto"/>
            </w:pPr>
            <w:r>
              <w:rPr>
                <w:rFonts w:ascii="Arial" w:hAnsi="Arial"/>
                <w:b/>
                <w:sz w:val="18"/>
              </w:rPr>
              <w:t>Timing</w:t>
            </w:r>
          </w:p>
        </w:tc>
        <w:tc>
          <w:tcPr>
            <w:tcW w:type="dxa" w:w="4320"/>
            <w:vAlign w:val="center"/>
            <w:tcMar>
              <w:top w:w="90" w:type="dxa"/>
              <w:start w:w="90" w:type="dxa"/>
              <w:bottom w:w="90" w:type="dxa"/>
              <w:end w:w="90" w:type="dxa"/>
            </w:tcMar>
            <w:shd w:fill="EDEDED"/>
          </w:tcPr>
          <w:p>
            <w:pPr>
              <w:spacing w:after="0" w:line="240" w:lineRule="auto"/>
            </w:pPr>
            <w:r>
              <w:rPr>
                <w:rFonts w:ascii="Arial" w:hAnsi="Arial"/>
                <w:b/>
                <w:sz w:val="18"/>
              </w:rPr>
              <w:t>Primary outputs</w:t>
            </w:r>
          </w:p>
        </w:tc>
        <w:tc>
          <w:tcPr>
            <w:tcW w:type="dxa" w:w="2736"/>
            <w:vAlign w:val="center"/>
            <w:tcMar>
              <w:top w:w="90" w:type="dxa"/>
              <w:start w:w="90" w:type="dxa"/>
              <w:bottom w:w="90" w:type="dxa"/>
              <w:end w:w="90" w:type="dxa"/>
            </w:tcMar>
            <w:shd w:fill="EDEDED"/>
          </w:tcPr>
          <w:p>
            <w:pPr>
              <w:spacing w:after="0" w:line="240" w:lineRule="auto"/>
            </w:pPr>
            <w:r>
              <w:rPr>
                <w:rFonts w:ascii="Arial" w:hAnsi="Arial"/>
                <w:b/>
                <w:sz w:val="18"/>
              </w:rPr>
              <w:t>Decision gate</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1. Align</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1-2</w:t>
            </w:r>
          </w:p>
        </w:tc>
        <w:tc>
          <w:tcPr>
            <w:tcW w:type="dxa" w:w="4320"/>
            <w:vAlign w:val="center"/>
            <w:tcMar>
              <w:top w:w="90" w:type="dxa"/>
              <w:start w:w="90" w:type="dxa"/>
              <w:bottom w:w="90" w:type="dxa"/>
              <w:end w:w="90" w:type="dxa"/>
            </w:tcMar>
          </w:tcPr>
          <w:p>
            <w:pPr>
              <w:spacing w:after="0" w:line="240" w:lineRule="auto"/>
            </w:pPr>
            <w:r>
              <w:rPr>
                <w:rFonts w:ascii="Arial" w:hAnsi="Arial"/>
                <w:sz w:val="18"/>
              </w:rPr>
              <w:t>Messaging, priority offers, buyer architecture, sitemap</w:t>
            </w:r>
          </w:p>
        </w:tc>
        <w:tc>
          <w:tcPr>
            <w:tcW w:type="dxa" w:w="2736"/>
            <w:vAlign w:val="center"/>
            <w:tcMar>
              <w:top w:w="90" w:type="dxa"/>
              <w:start w:w="90" w:type="dxa"/>
              <w:bottom w:w="90" w:type="dxa"/>
              <w:end w:w="90" w:type="dxa"/>
            </w:tcMar>
          </w:tcPr>
          <w:p>
            <w:pPr>
              <w:spacing w:after="0" w:line="240" w:lineRule="auto"/>
            </w:pPr>
            <w:r>
              <w:rPr>
                <w:rFonts w:ascii="Arial" w:hAnsi="Arial"/>
                <w:sz w:val="18"/>
              </w:rPr>
              <w:t>Approve strategic foundation</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2. Specify</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2-4</w:t>
            </w:r>
          </w:p>
        </w:tc>
        <w:tc>
          <w:tcPr>
            <w:tcW w:type="dxa" w:w="4320"/>
            <w:vAlign w:val="center"/>
            <w:tcMar>
              <w:top w:w="90" w:type="dxa"/>
              <w:start w:w="90" w:type="dxa"/>
              <w:bottom w:w="90" w:type="dxa"/>
              <w:end w:w="90" w:type="dxa"/>
            </w:tcMar>
          </w:tcPr>
          <w:p>
            <w:pPr>
              <w:spacing w:after="0" w:line="240" w:lineRule="auto"/>
            </w:pPr>
            <w:r>
              <w:rPr>
                <w:rFonts w:ascii="Arial" w:hAnsi="Arial"/>
                <w:sz w:val="18"/>
              </w:rPr>
              <w:t>Page requirements, content briefs, proof plan, measurement</w:t>
            </w:r>
          </w:p>
        </w:tc>
        <w:tc>
          <w:tcPr>
            <w:tcW w:type="dxa" w:w="2736"/>
            <w:vAlign w:val="center"/>
            <w:tcMar>
              <w:top w:w="90" w:type="dxa"/>
              <w:start w:w="90" w:type="dxa"/>
              <w:bottom w:w="90" w:type="dxa"/>
              <w:end w:w="90" w:type="dxa"/>
            </w:tcMar>
          </w:tcPr>
          <w:p>
            <w:pPr>
              <w:spacing w:after="0" w:line="240" w:lineRule="auto"/>
            </w:pPr>
            <w:r>
              <w:rPr>
                <w:rFonts w:ascii="Arial" w:hAnsi="Arial"/>
                <w:sz w:val="18"/>
              </w:rPr>
              <w:t>Approve implementation spec</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3. Design</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4-6</w:t>
            </w:r>
          </w:p>
        </w:tc>
        <w:tc>
          <w:tcPr>
            <w:tcW w:type="dxa" w:w="4320"/>
            <w:vAlign w:val="center"/>
            <w:tcMar>
              <w:top w:w="90" w:type="dxa"/>
              <w:start w:w="90" w:type="dxa"/>
              <w:bottom w:w="90" w:type="dxa"/>
              <w:end w:w="90" w:type="dxa"/>
            </w:tcMar>
          </w:tcPr>
          <w:p>
            <w:pPr>
              <w:spacing w:after="0" w:line="240" w:lineRule="auto"/>
            </w:pPr>
            <w:r>
              <w:rPr>
                <w:rFonts w:ascii="Arial" w:hAnsi="Arial"/>
                <w:sz w:val="18"/>
              </w:rPr>
              <w:t>Homepage, priority templates, component system</w:t>
            </w:r>
          </w:p>
        </w:tc>
        <w:tc>
          <w:tcPr>
            <w:tcW w:type="dxa" w:w="2736"/>
            <w:vAlign w:val="center"/>
            <w:tcMar>
              <w:top w:w="90" w:type="dxa"/>
              <w:start w:w="90" w:type="dxa"/>
              <w:bottom w:w="90" w:type="dxa"/>
              <w:end w:w="90" w:type="dxa"/>
            </w:tcMar>
          </w:tcPr>
          <w:p>
            <w:pPr>
              <w:spacing w:after="0" w:line="240" w:lineRule="auto"/>
            </w:pPr>
            <w:r>
              <w:rPr>
                <w:rFonts w:ascii="Arial" w:hAnsi="Arial"/>
                <w:sz w:val="18"/>
              </w:rPr>
              <w:t>Approve design direction</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4. Build</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6-9</w:t>
            </w:r>
          </w:p>
        </w:tc>
        <w:tc>
          <w:tcPr>
            <w:tcW w:type="dxa" w:w="4320"/>
            <w:vAlign w:val="center"/>
            <w:tcMar>
              <w:top w:w="90" w:type="dxa"/>
              <w:start w:w="90" w:type="dxa"/>
              <w:bottom w:w="90" w:type="dxa"/>
              <w:end w:w="90" w:type="dxa"/>
            </w:tcMar>
          </w:tcPr>
          <w:p>
            <w:pPr>
              <w:spacing w:after="0" w:line="240" w:lineRule="auto"/>
            </w:pPr>
            <w:r>
              <w:rPr>
                <w:rFonts w:ascii="Arial" w:hAnsi="Arial"/>
                <w:sz w:val="18"/>
              </w:rPr>
              <w:t>WordPress staging, content implementation, forms, integrations</w:t>
            </w:r>
          </w:p>
        </w:tc>
        <w:tc>
          <w:tcPr>
            <w:tcW w:type="dxa" w:w="2736"/>
            <w:vAlign w:val="center"/>
            <w:tcMar>
              <w:top w:w="90" w:type="dxa"/>
              <w:start w:w="90" w:type="dxa"/>
              <w:bottom w:w="90" w:type="dxa"/>
              <w:end w:w="90" w:type="dxa"/>
            </w:tcMar>
          </w:tcPr>
          <w:p>
            <w:pPr>
              <w:spacing w:after="0" w:line="240" w:lineRule="auto"/>
            </w:pPr>
            <w:r>
              <w:rPr>
                <w:rFonts w:ascii="Arial" w:hAnsi="Arial"/>
                <w:sz w:val="18"/>
              </w:rPr>
              <w:t>Functional review</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5. Optimize</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8-10</w:t>
            </w:r>
          </w:p>
        </w:tc>
        <w:tc>
          <w:tcPr>
            <w:tcW w:type="dxa" w:w="4320"/>
            <w:vAlign w:val="center"/>
            <w:tcMar>
              <w:top w:w="90" w:type="dxa"/>
              <w:start w:w="90" w:type="dxa"/>
              <w:bottom w:w="90" w:type="dxa"/>
              <w:end w:w="90" w:type="dxa"/>
            </w:tcMar>
          </w:tcPr>
          <w:p>
            <w:pPr>
              <w:spacing w:after="0" w:line="240" w:lineRule="auto"/>
            </w:pPr>
            <w:r>
              <w:rPr>
                <w:rFonts w:ascii="Arial" w:hAnsi="Arial"/>
                <w:sz w:val="18"/>
              </w:rPr>
              <w:t>SEO/AEO, analytics, CRM routing, redirects</w:t>
            </w:r>
          </w:p>
        </w:tc>
        <w:tc>
          <w:tcPr>
            <w:tcW w:type="dxa" w:w="2736"/>
            <w:vAlign w:val="center"/>
            <w:tcMar>
              <w:top w:w="90" w:type="dxa"/>
              <w:start w:w="90" w:type="dxa"/>
              <w:bottom w:w="90" w:type="dxa"/>
              <w:end w:w="90" w:type="dxa"/>
            </w:tcMar>
          </w:tcPr>
          <w:p>
            <w:pPr>
              <w:spacing w:after="0" w:line="240" w:lineRule="auto"/>
            </w:pPr>
            <w:r>
              <w:rPr>
                <w:rFonts w:ascii="Arial" w:hAnsi="Arial"/>
                <w:sz w:val="18"/>
              </w:rPr>
              <w:t>Data / visibility review</w:t>
            </w:r>
          </w:p>
        </w:tc>
      </w:tr>
      <w:tr>
        <w:tc>
          <w:tcPr>
            <w:tcW w:type="dxa" w:w="2088"/>
            <w:vAlign w:val="center"/>
            <w:tcMar>
              <w:top w:w="90" w:type="dxa"/>
              <w:start w:w="90" w:type="dxa"/>
              <w:bottom w:w="90" w:type="dxa"/>
              <w:end w:w="90" w:type="dxa"/>
            </w:tcMar>
          </w:tcPr>
          <w:p>
            <w:pPr>
              <w:spacing w:after="0" w:line="240" w:lineRule="auto"/>
            </w:pPr>
            <w:r>
              <w:rPr>
                <w:rFonts w:ascii="Arial" w:hAnsi="Arial"/>
                <w:sz w:val="18"/>
              </w:rPr>
              <w:t>6. Validate &amp; Launch</w:t>
            </w:r>
          </w:p>
        </w:tc>
        <w:tc>
          <w:tcPr>
            <w:tcW w:type="dxa" w:w="1800"/>
            <w:vAlign w:val="center"/>
            <w:tcMar>
              <w:top w:w="90" w:type="dxa"/>
              <w:start w:w="90" w:type="dxa"/>
              <w:bottom w:w="90" w:type="dxa"/>
              <w:end w:w="90" w:type="dxa"/>
            </w:tcMar>
          </w:tcPr>
          <w:p>
            <w:pPr>
              <w:spacing w:after="0" w:line="240" w:lineRule="auto"/>
            </w:pPr>
            <w:r>
              <w:rPr>
                <w:rFonts w:ascii="Arial" w:hAnsi="Arial"/>
                <w:sz w:val="18"/>
              </w:rPr>
              <w:t>Weeks 10-12</w:t>
            </w:r>
          </w:p>
        </w:tc>
        <w:tc>
          <w:tcPr>
            <w:tcW w:type="dxa" w:w="4320"/>
            <w:vAlign w:val="center"/>
            <w:tcMar>
              <w:top w:w="90" w:type="dxa"/>
              <w:start w:w="90" w:type="dxa"/>
              <w:bottom w:w="90" w:type="dxa"/>
              <w:end w:w="90" w:type="dxa"/>
            </w:tcMar>
          </w:tcPr>
          <w:p>
            <w:pPr>
              <w:spacing w:after="0" w:line="240" w:lineRule="auto"/>
            </w:pPr>
            <w:r>
              <w:rPr>
                <w:rFonts w:ascii="Arial" w:hAnsi="Arial"/>
                <w:sz w:val="18"/>
              </w:rPr>
              <w:t>QA, accessibility review, training, launch, baseline reporting</w:t>
            </w:r>
          </w:p>
        </w:tc>
        <w:tc>
          <w:tcPr>
            <w:tcW w:type="dxa" w:w="2736"/>
            <w:vAlign w:val="center"/>
            <w:tcMar>
              <w:top w:w="90" w:type="dxa"/>
              <w:start w:w="90" w:type="dxa"/>
              <w:bottom w:w="90" w:type="dxa"/>
              <w:end w:w="90" w:type="dxa"/>
            </w:tcMar>
          </w:tcPr>
          <w:p>
            <w:pPr>
              <w:spacing w:after="0" w:line="240" w:lineRule="auto"/>
            </w:pPr>
            <w:r>
              <w:rPr>
                <w:rFonts w:ascii="Arial" w:hAnsi="Arial"/>
                <w:sz w:val="18"/>
              </w:rPr>
              <w:t>Launch approval</w:t>
            </w:r>
          </w:p>
        </w:tc>
      </w:tr>
    </w:tbl>
    <w:p/>
    <w:p>
      <w:pPr>
        <w:pStyle w:val="Heading1"/>
      </w:pPr>
      <w:r>
        <w:t>13. Strategic Fidelity Checkpoints</w:t>
      </w:r>
    </w:p>
    <w:tbl>
      <w:tblPr>
        <w:tblStyle w:val="TableGrid"/>
        <w:tblW w:type="auto" w:w="0"/>
        <w:jc w:val="center"/>
        <w:tblLook w:firstColumn="1" w:firstRow="1" w:lastColumn="0" w:lastRow="0" w:noHBand="0" w:noVBand="1" w:val="04A0"/>
      </w:tblPr>
      <w:tblGrid>
        <w:gridCol w:w="5112"/>
        <w:gridCol w:w="5112"/>
      </w:tblGrid>
      <w:tr>
        <w:tc>
          <w:tcPr>
            <w:tcW w:type="dxa" w:w="2304"/>
            <w:vAlign w:val="center"/>
            <w:tcMar>
              <w:top w:w="90" w:type="dxa"/>
              <w:start w:w="90" w:type="dxa"/>
              <w:bottom w:w="90" w:type="dxa"/>
              <w:end w:w="90" w:type="dxa"/>
            </w:tcMar>
            <w:shd w:fill="EDEDED"/>
          </w:tcPr>
          <w:p>
            <w:pPr>
              <w:spacing w:after="0" w:line="240" w:lineRule="auto"/>
            </w:pPr>
            <w:r>
              <w:rPr>
                <w:rFonts w:ascii="Arial" w:hAnsi="Arial"/>
                <w:b/>
                <w:sz w:val="18"/>
              </w:rPr>
              <w:t>Checkpoint</w:t>
            </w:r>
          </w:p>
        </w:tc>
        <w:tc>
          <w:tcPr>
            <w:tcW w:type="dxa" w:w="8568"/>
            <w:vAlign w:val="center"/>
            <w:tcMar>
              <w:top w:w="90" w:type="dxa"/>
              <w:start w:w="90" w:type="dxa"/>
              <w:bottom w:w="90" w:type="dxa"/>
              <w:end w:w="90" w:type="dxa"/>
            </w:tcMar>
            <w:shd w:fill="EDEDED"/>
          </w:tcPr>
          <w:p>
            <w:pPr>
              <w:spacing w:after="0" w:line="240" w:lineRule="auto"/>
            </w:pPr>
            <w:r>
              <w:rPr>
                <w:rFonts w:ascii="Arial" w:hAnsi="Arial"/>
                <w:b/>
                <w:sz w:val="18"/>
              </w:rPr>
              <w:t>Compare</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Messaging</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corporate narrative &lt;-&gt; final copy</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Buyer routing</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corporate/individual paths &lt;-&gt; sitemap and navigation</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Proof</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proof hierarchy &lt;-&gt; page experience</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Conversion</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buyer actions &lt;-&gt; forms, CTAs, and paths</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Measurement</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measurement requirements &lt;-&gt; GTM, GA4, CRM implementation</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Discoverability</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SEO/AEO requirements &lt;-&gt; technical/content implementation</w:t>
            </w:r>
          </w:p>
        </w:tc>
      </w:tr>
      <w:tr>
        <w:tc>
          <w:tcPr>
            <w:tcW w:type="dxa" w:w="2304"/>
            <w:vAlign w:val="center"/>
            <w:tcMar>
              <w:top w:w="90" w:type="dxa"/>
              <w:start w:w="90" w:type="dxa"/>
              <w:bottom w:w="90" w:type="dxa"/>
              <w:end w:w="90" w:type="dxa"/>
            </w:tcMar>
          </w:tcPr>
          <w:p>
            <w:pPr>
              <w:spacing w:after="0" w:line="240" w:lineRule="auto"/>
            </w:pPr>
            <w:r>
              <w:rPr>
                <w:rFonts w:ascii="Arial" w:hAnsi="Arial"/>
                <w:sz w:val="18"/>
              </w:rPr>
              <w:t>Client decisions</w:t>
            </w:r>
          </w:p>
        </w:tc>
        <w:tc>
          <w:tcPr>
            <w:tcW w:type="dxa" w:w="8568"/>
            <w:vAlign w:val="center"/>
            <w:tcMar>
              <w:top w:w="90" w:type="dxa"/>
              <w:start w:w="90" w:type="dxa"/>
              <w:bottom w:w="90" w:type="dxa"/>
              <w:end w:w="90" w:type="dxa"/>
            </w:tcMar>
          </w:tcPr>
          <w:p>
            <w:pPr>
              <w:spacing w:after="0" w:line="240" w:lineRule="auto"/>
            </w:pPr>
            <w:r>
              <w:rPr>
                <w:rFonts w:ascii="Arial" w:hAnsi="Arial"/>
                <w:sz w:val="18"/>
              </w:rPr>
              <w:t>Approved Blueprint decisions &lt;-&gt; final build</w:t>
            </w:r>
          </w:p>
        </w:tc>
      </w:tr>
    </w:tbl>
    <w:p/>
    <w:p>
      <w:pPr>
        <w:pStyle w:val="Heading1"/>
      </w:pPr>
      <w:r>
        <w:t>14. Foundation Team Readout</w:t>
      </w:r>
    </w:p>
    <w:p>
      <w:r>
        <w:t>The Foundation team should not have to reconstruct why these requirements exist. The Blueprint already establishes the strategic direction. Implementation should now make that direction usable, measurable, and durable.</w:t>
      </w:r>
    </w:p>
    <w:p>
      <w:r>
        <w:rPr>
          <w:b/>
        </w:rPr>
        <w:t xml:space="preserve">Primary implementation question: </w:t>
      </w:r>
      <w:r>
        <w:t>Does each major decision help the corporate buyer understand NuVue, trust the proof, find the right solution, take the right next step, and allow NuVue to see that progression more clearly?</w:t>
      </w:r>
    </w:p>
    <w:p>
      <w:pPr>
        <w:jc w:val="center"/>
      </w:pPr>
      <w:r>
        <w:rPr>
          <w:b/>
          <w:sz w:val="24"/>
        </w:rPr>
        <w:t>STRATEGY MUST SURVIVE EXECUTION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