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Website Messaging &amp; Content Blueprint</w:t>
      </w:r>
    </w:p>
    <w:p>
      <w:pPr>
        <w:pStyle w:val="Small"/>
        <w:spacing w:after="100"/>
      </w:pPr>
      <w:r>
        <w:t>NuVue | SimpliFoundation Demonstration Gold Standard</w:t>
      </w:r>
    </w:p>
    <w:p>
      <w:pPr>
        <w:pStyle w:val="Callout"/>
        <w:spacing w:after="100"/>
      </w:pPr>
      <w:r>
        <w:t>CONTENT-FIRST GOLD STANDARD. This document demonstrates how approved strategy, client-provided context, evidence, messaging direction, page requirements, draft copy, discoverability, measurement, buyer intent, and implementation dependencies come together in one practical Foundation deliverable.</w:t>
      </w:r>
    </w:p>
    <w:p>
      <w:pPr>
        <w:pStyle w:val="Heading1"/>
      </w:pPr>
      <w:r>
        <w:t>How to Use This Blueprint</w:t>
      </w:r>
    </w:p>
    <w:p>
      <w:pPr>
        <w:spacing w:after="100"/>
      </w:pPr>
      <w:r>
        <w:t>This document is designed for NuVue leadership, internal marketers, writers, designers, developers, freelancers, agencies, and approved AI writing tools. It is both a messaging system and an execution guide.</w:t>
      </w:r>
    </w:p>
    <w:p>
      <w:pPr>
        <w:spacing w:after="100"/>
      </w:pPr>
      <w:r>
        <w:t>Each section distinguishes between approved strategic direction, client-provided facts or claims, implementation requirements, and illustrative copy. A page can be creatively flexible without becoming strategically ambiguous.</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73B56"/>
            <w:vAlign w:val="center"/>
            <w:tcMar>
              <w:top w:w="100" w:type="dxa"/>
              <w:start w:w="100" w:type="dxa"/>
              <w:bottom w:w="100" w:type="dxa"/>
              <w:end w:w="100" w:type="dxa"/>
            </w:tcMar>
          </w:tcPr>
          <w:p>
            <w:r>
              <w:rPr>
                <w:b/>
                <w:color w:val="FFFFFF"/>
                <w:sz w:val="15"/>
              </w:rPr>
              <w:t>Label</w:t>
            </w:r>
          </w:p>
        </w:tc>
        <w:tc>
          <w:tcPr>
            <w:tcW w:type="dxa" w:w="3240"/>
            <w:shd w:fill="173B56"/>
            <w:vAlign w:val="center"/>
            <w:tcMar>
              <w:top w:w="100" w:type="dxa"/>
              <w:start w:w="100" w:type="dxa"/>
              <w:bottom w:w="100" w:type="dxa"/>
              <w:end w:w="100" w:type="dxa"/>
            </w:tcMar>
          </w:tcPr>
          <w:p>
            <w:r>
              <w:rPr>
                <w:b/>
                <w:color w:val="FFFFFF"/>
                <w:sz w:val="15"/>
              </w:rPr>
              <w:t>Meaning</w:t>
            </w:r>
          </w:p>
        </w:tc>
        <w:tc>
          <w:tcPr>
            <w:tcW w:type="dxa" w:w="4680"/>
            <w:shd w:fill="173B56"/>
            <w:vAlign w:val="center"/>
            <w:tcMar>
              <w:top w:w="100" w:type="dxa"/>
              <w:start w:w="100" w:type="dxa"/>
              <w:bottom w:w="100" w:type="dxa"/>
              <w:end w:w="100" w:type="dxa"/>
            </w:tcMar>
          </w:tcPr>
          <w:p>
            <w:r>
              <w:rPr>
                <w:b/>
                <w:color w:val="FFFFFF"/>
                <w:sz w:val="15"/>
              </w:rPr>
              <w:t>How to use it</w:t>
            </w:r>
          </w:p>
        </w:tc>
      </w:tr>
      <w:tr>
        <w:tc>
          <w:tcPr>
            <w:tcW w:type="dxa" w:w="1944"/>
            <w:vAlign w:val="center"/>
            <w:tcMar>
              <w:top w:w="95" w:type="dxa"/>
              <w:start w:w="95" w:type="dxa"/>
              <w:bottom w:w="95" w:type="dxa"/>
              <w:end w:w="95" w:type="dxa"/>
            </w:tcMar>
          </w:tcPr>
          <w:p>
            <w:pPr>
              <w:spacing w:after="0"/>
            </w:pPr>
            <w:r>
              <w:rPr>
                <w:rFonts w:ascii="Aptos" w:hAnsi="Aptos"/>
                <w:sz w:val="15"/>
              </w:rPr>
              <w:t>APPROVED STRATEGY</w:t>
            </w:r>
          </w:p>
        </w:tc>
        <w:tc>
          <w:tcPr>
            <w:tcW w:type="dxa" w:w="3240"/>
            <w:vAlign w:val="center"/>
            <w:tcMar>
              <w:top w:w="95" w:type="dxa"/>
              <w:start w:w="95" w:type="dxa"/>
              <w:bottom w:w="95" w:type="dxa"/>
              <w:end w:w="95" w:type="dxa"/>
            </w:tcMar>
          </w:tcPr>
          <w:p>
            <w:pPr>
              <w:spacing w:after="0"/>
            </w:pPr>
            <w:r>
              <w:rPr>
                <w:rFonts w:ascii="Aptos" w:hAnsi="Aptos"/>
                <w:sz w:val="15"/>
              </w:rPr>
              <w:t>Human-approved direction that should govern execution.</w:t>
            </w:r>
          </w:p>
        </w:tc>
        <w:tc>
          <w:tcPr>
            <w:tcW w:type="dxa" w:w="4680"/>
            <w:vAlign w:val="center"/>
            <w:tcMar>
              <w:top w:w="95" w:type="dxa"/>
              <w:start w:w="95" w:type="dxa"/>
              <w:bottom w:w="95" w:type="dxa"/>
              <w:end w:w="95" w:type="dxa"/>
            </w:tcMar>
          </w:tcPr>
          <w:p>
            <w:pPr>
              <w:spacing w:after="0"/>
            </w:pPr>
            <w:r>
              <w:rPr>
                <w:rFonts w:ascii="Aptos" w:hAnsi="Aptos"/>
                <w:sz w:val="15"/>
              </w:rPr>
              <w:t>Do not change during copy or design without strategic review.</w:t>
            </w:r>
          </w:p>
        </w:tc>
      </w:tr>
      <w:tr>
        <w:tc>
          <w:tcPr>
            <w:tcW w:type="dxa" w:w="1944"/>
            <w:vAlign w:val="center"/>
            <w:tcMar>
              <w:top w:w="95" w:type="dxa"/>
              <w:start w:w="95" w:type="dxa"/>
              <w:bottom w:w="95" w:type="dxa"/>
              <w:end w:w="95" w:type="dxa"/>
            </w:tcMar>
          </w:tcPr>
          <w:p>
            <w:pPr>
              <w:spacing w:after="0"/>
            </w:pPr>
            <w:r>
              <w:rPr>
                <w:rFonts w:ascii="Aptos" w:hAnsi="Aptos"/>
                <w:sz w:val="15"/>
              </w:rPr>
              <w:t>CLIENT-PROVIDED</w:t>
            </w:r>
          </w:p>
        </w:tc>
        <w:tc>
          <w:tcPr>
            <w:tcW w:type="dxa" w:w="3240"/>
            <w:vAlign w:val="center"/>
            <w:tcMar>
              <w:top w:w="95" w:type="dxa"/>
              <w:start w:w="95" w:type="dxa"/>
              <w:bottom w:w="95" w:type="dxa"/>
              <w:end w:w="95" w:type="dxa"/>
            </w:tcMar>
          </w:tcPr>
          <w:p>
            <w:pPr>
              <w:spacing w:after="0"/>
            </w:pPr>
            <w:r>
              <w:rPr>
                <w:rFonts w:ascii="Aptos" w:hAnsi="Aptos"/>
                <w:sz w:val="15"/>
              </w:rPr>
              <w:t>Information or claim supplied by NuVue.</w:t>
            </w:r>
          </w:p>
        </w:tc>
        <w:tc>
          <w:tcPr>
            <w:tcW w:type="dxa" w:w="4680"/>
            <w:vAlign w:val="center"/>
            <w:tcMar>
              <w:top w:w="95" w:type="dxa"/>
              <w:start w:w="95" w:type="dxa"/>
              <w:bottom w:w="95" w:type="dxa"/>
              <w:end w:w="95" w:type="dxa"/>
            </w:tcMar>
          </w:tcPr>
          <w:p>
            <w:pPr>
              <w:spacing w:after="0"/>
            </w:pPr>
            <w:r>
              <w:rPr>
                <w:rFonts w:ascii="Aptos" w:hAnsi="Aptos"/>
                <w:sz w:val="15"/>
              </w:rPr>
              <w:t>May guide messaging; material public claims still require source and permission review.</w:t>
            </w:r>
          </w:p>
        </w:tc>
      </w:tr>
      <w:tr>
        <w:tc>
          <w:tcPr>
            <w:tcW w:type="dxa" w:w="1944"/>
            <w:vAlign w:val="center"/>
            <w:tcMar>
              <w:top w:w="95" w:type="dxa"/>
              <w:start w:w="95" w:type="dxa"/>
              <w:bottom w:w="95" w:type="dxa"/>
              <w:end w:w="95" w:type="dxa"/>
            </w:tcMar>
          </w:tcPr>
          <w:p>
            <w:pPr>
              <w:spacing w:after="0"/>
            </w:pPr>
            <w:r>
              <w:rPr>
                <w:rFonts w:ascii="Aptos" w:hAnsi="Aptos"/>
                <w:sz w:val="15"/>
              </w:rPr>
              <w:t>IMPLEMENTATION REQUIREMENT</w:t>
            </w:r>
          </w:p>
        </w:tc>
        <w:tc>
          <w:tcPr>
            <w:tcW w:type="dxa" w:w="3240"/>
            <w:vAlign w:val="center"/>
            <w:tcMar>
              <w:top w:w="95" w:type="dxa"/>
              <w:start w:w="95" w:type="dxa"/>
              <w:bottom w:w="95" w:type="dxa"/>
              <w:end w:w="95" w:type="dxa"/>
            </w:tcMar>
          </w:tcPr>
          <w:p>
            <w:pPr>
              <w:spacing w:after="0"/>
            </w:pPr>
            <w:r>
              <w:rPr>
                <w:rFonts w:ascii="Aptos" w:hAnsi="Aptos"/>
                <w:sz w:val="15"/>
              </w:rPr>
              <w:t>Something the page or system needs to do.</w:t>
            </w:r>
          </w:p>
        </w:tc>
        <w:tc>
          <w:tcPr>
            <w:tcW w:type="dxa" w:w="4680"/>
            <w:vAlign w:val="center"/>
            <w:tcMar>
              <w:top w:w="95" w:type="dxa"/>
              <w:start w:w="95" w:type="dxa"/>
              <w:bottom w:w="95" w:type="dxa"/>
              <w:end w:w="95" w:type="dxa"/>
            </w:tcMar>
          </w:tcPr>
          <w:p>
            <w:pPr>
              <w:spacing w:after="0"/>
            </w:pPr>
            <w:r>
              <w:rPr>
                <w:rFonts w:ascii="Aptos" w:hAnsi="Aptos"/>
                <w:sz w:val="15"/>
              </w:rPr>
              <w:t>Carry into content, design, development, or measurement.</w:t>
            </w:r>
          </w:p>
        </w:tc>
      </w:tr>
      <w:tr>
        <w:tc>
          <w:tcPr>
            <w:tcW w:type="dxa" w:w="1944"/>
            <w:vAlign w:val="center"/>
            <w:tcMar>
              <w:top w:w="95" w:type="dxa"/>
              <w:start w:w="95" w:type="dxa"/>
              <w:bottom w:w="95" w:type="dxa"/>
              <w:end w:w="95" w:type="dxa"/>
            </w:tcMar>
          </w:tcPr>
          <w:p>
            <w:pPr>
              <w:spacing w:after="0"/>
            </w:pPr>
            <w:r>
              <w:rPr>
                <w:rFonts w:ascii="Aptos" w:hAnsi="Aptos"/>
                <w:sz w:val="15"/>
              </w:rPr>
              <w:t>ILLUSTRATIVE COPY</w:t>
            </w:r>
          </w:p>
        </w:tc>
        <w:tc>
          <w:tcPr>
            <w:tcW w:type="dxa" w:w="3240"/>
            <w:vAlign w:val="center"/>
            <w:tcMar>
              <w:top w:w="95" w:type="dxa"/>
              <w:start w:w="95" w:type="dxa"/>
              <w:bottom w:w="95" w:type="dxa"/>
              <w:end w:w="95" w:type="dxa"/>
            </w:tcMar>
          </w:tcPr>
          <w:p>
            <w:pPr>
              <w:spacing w:after="0"/>
            </w:pPr>
            <w:r>
              <w:rPr>
                <w:rFonts w:ascii="Aptos" w:hAnsi="Aptos"/>
                <w:sz w:val="15"/>
              </w:rPr>
              <w:t>Example language demonstrating intended direction.</w:t>
            </w:r>
          </w:p>
        </w:tc>
        <w:tc>
          <w:tcPr>
            <w:tcW w:type="dxa" w:w="4680"/>
            <w:vAlign w:val="center"/>
            <w:tcMar>
              <w:top w:w="95" w:type="dxa"/>
              <w:start w:w="95" w:type="dxa"/>
              <w:bottom w:w="95" w:type="dxa"/>
              <w:end w:w="95" w:type="dxa"/>
            </w:tcMar>
          </w:tcPr>
          <w:p>
            <w:pPr>
              <w:spacing w:after="0"/>
            </w:pPr>
            <w:r>
              <w:rPr>
                <w:rFonts w:ascii="Aptos" w:hAnsi="Aptos"/>
                <w:sz w:val="15"/>
              </w:rPr>
              <w:t>Edit within approved strategy and evidence boundaries.</w:t>
            </w:r>
          </w:p>
        </w:tc>
      </w:tr>
      <w:tr>
        <w:tc>
          <w:tcPr>
            <w:tcW w:type="dxa" w:w="1944"/>
            <w:vAlign w:val="center"/>
            <w:tcMar>
              <w:top w:w="95" w:type="dxa"/>
              <w:start w:w="95" w:type="dxa"/>
              <w:bottom w:w="95" w:type="dxa"/>
              <w:end w:w="95" w:type="dxa"/>
            </w:tcMar>
          </w:tcPr>
          <w:p>
            <w:pPr>
              <w:spacing w:after="0"/>
            </w:pPr>
            <w:r>
              <w:rPr>
                <w:rFonts w:ascii="Aptos" w:hAnsi="Aptos"/>
                <w:sz w:val="15"/>
              </w:rPr>
              <w:t>OPEN / VERIFY</w:t>
            </w:r>
          </w:p>
        </w:tc>
        <w:tc>
          <w:tcPr>
            <w:tcW w:type="dxa" w:w="3240"/>
            <w:vAlign w:val="center"/>
            <w:tcMar>
              <w:top w:w="95" w:type="dxa"/>
              <w:start w:w="95" w:type="dxa"/>
              <w:bottom w:w="95" w:type="dxa"/>
              <w:end w:w="95" w:type="dxa"/>
            </w:tcMar>
          </w:tcPr>
          <w:p>
            <w:pPr>
              <w:spacing w:after="0"/>
            </w:pPr>
            <w:r>
              <w:rPr>
                <w:rFonts w:ascii="Aptos" w:hAnsi="Aptos"/>
                <w:sz w:val="15"/>
              </w:rPr>
              <w:t>Material item not yet sufficiently resolved.</w:t>
            </w:r>
          </w:p>
        </w:tc>
        <w:tc>
          <w:tcPr>
            <w:tcW w:type="dxa" w:w="4680"/>
            <w:vAlign w:val="center"/>
            <w:tcMar>
              <w:top w:w="95" w:type="dxa"/>
              <w:start w:w="95" w:type="dxa"/>
              <w:bottom w:w="95" w:type="dxa"/>
              <w:end w:w="95" w:type="dxa"/>
            </w:tcMar>
          </w:tcPr>
          <w:p>
            <w:pPr>
              <w:spacing w:after="0"/>
            </w:pPr>
            <w:r>
              <w:rPr>
                <w:rFonts w:ascii="Aptos" w:hAnsi="Aptos"/>
                <w:sz w:val="15"/>
              </w:rPr>
              <w:t>Do not silently fill the gap; assign owner and decision.</w:t>
            </w:r>
          </w:p>
        </w:tc>
      </w:tr>
    </w:tbl>
    <w:p>
      <w:pPr>
        <w:spacing w:after="20"/>
      </w:pPr>
    </w:p>
    <w:p>
      <w:pPr>
        <w:pStyle w:val="Heading1"/>
      </w:pPr>
      <w:r>
        <w:t>1. Strategic Foundation</w:t>
      </w:r>
    </w:p>
    <w:tbl>
      <w:tblPr>
        <w:tblStyle w:val="TableGrid"/>
        <w:tblW w:type="auto" w:w="0"/>
        <w:jc w:val="center"/>
        <w:tblLook w:firstColumn="1" w:firstRow="1" w:lastColumn="0" w:lastRow="0" w:noHBand="0" w:noVBand="1" w:val="04A0"/>
      </w:tblPr>
      <w:tblGrid>
        <w:gridCol w:w="5184"/>
        <w:gridCol w:w="5184"/>
      </w:tblGrid>
      <w:tr>
        <w:tc>
          <w:tcPr>
            <w:tcW w:type="dxa" w:w="2304"/>
            <w:shd w:fill="173B56"/>
            <w:vAlign w:val="center"/>
            <w:tcMar>
              <w:top w:w="100" w:type="dxa"/>
              <w:start w:w="100" w:type="dxa"/>
              <w:bottom w:w="100" w:type="dxa"/>
              <w:end w:w="100" w:type="dxa"/>
            </w:tcMar>
          </w:tcPr>
          <w:p>
            <w:r>
              <w:rPr>
                <w:b/>
                <w:color w:val="FFFFFF"/>
                <w:sz w:val="15"/>
              </w:rPr>
              <w:t>Element</w:t>
            </w:r>
          </w:p>
        </w:tc>
        <w:tc>
          <w:tcPr>
            <w:tcW w:type="dxa" w:w="7488"/>
            <w:shd w:fill="173B56"/>
            <w:vAlign w:val="center"/>
            <w:tcMar>
              <w:top w:w="100" w:type="dxa"/>
              <w:start w:w="100" w:type="dxa"/>
              <w:bottom w:w="100" w:type="dxa"/>
              <w:end w:w="100" w:type="dxa"/>
            </w:tcMar>
          </w:tcPr>
          <w:p>
            <w:r>
              <w:rPr>
                <w:b/>
                <w:color w:val="FFFFFF"/>
                <w:sz w:val="15"/>
              </w:rPr>
              <w:t>Approved direction</w:t>
            </w:r>
          </w:p>
        </w:tc>
      </w:tr>
      <w:tr>
        <w:tc>
          <w:tcPr>
            <w:tcW w:type="dxa" w:w="2304"/>
            <w:vAlign w:val="center"/>
            <w:tcMar>
              <w:top w:w="95" w:type="dxa"/>
              <w:start w:w="95" w:type="dxa"/>
              <w:bottom w:w="95" w:type="dxa"/>
              <w:end w:w="95" w:type="dxa"/>
            </w:tcMar>
          </w:tcPr>
          <w:p>
            <w:pPr>
              <w:spacing w:after="0"/>
            </w:pPr>
            <w:r>
              <w:rPr>
                <w:rFonts w:ascii="Aptos" w:hAnsi="Aptos"/>
                <w:sz w:val="15"/>
              </w:rPr>
              <w:t>Primary business direction</w:t>
            </w:r>
          </w:p>
        </w:tc>
        <w:tc>
          <w:tcPr>
            <w:tcW w:type="dxa" w:w="7488"/>
            <w:vAlign w:val="center"/>
            <w:tcMar>
              <w:top w:w="95" w:type="dxa"/>
              <w:start w:w="95" w:type="dxa"/>
              <w:bottom w:w="95" w:type="dxa"/>
              <w:end w:w="95" w:type="dxa"/>
            </w:tcMar>
          </w:tcPr>
          <w:p>
            <w:pPr>
              <w:spacing w:after="0"/>
            </w:pPr>
            <w:r>
              <w:rPr>
                <w:rFonts w:ascii="Aptos" w:hAnsi="Aptos"/>
                <w:sz w:val="15"/>
              </w:rPr>
              <w:t>Grow NuVue as a B2B sales, leadership, and business-acumen training company, with enterprise growth and a stronger measurable digital foundation.</w:t>
            </w:r>
          </w:p>
        </w:tc>
      </w:tr>
      <w:tr>
        <w:tc>
          <w:tcPr>
            <w:tcW w:type="dxa" w:w="2304"/>
            <w:vAlign w:val="center"/>
            <w:tcMar>
              <w:top w:w="95" w:type="dxa"/>
              <w:start w:w="95" w:type="dxa"/>
              <w:bottom w:w="95" w:type="dxa"/>
              <w:end w:w="95" w:type="dxa"/>
            </w:tcMar>
          </w:tcPr>
          <w:p>
            <w:pPr>
              <w:spacing w:after="0"/>
            </w:pPr>
            <w:r>
              <w:rPr>
                <w:rFonts w:ascii="Aptos" w:hAnsi="Aptos"/>
                <w:sz w:val="15"/>
              </w:rPr>
              <w:t>Primary growth audience</w:t>
            </w:r>
          </w:p>
        </w:tc>
        <w:tc>
          <w:tcPr>
            <w:tcW w:type="dxa" w:w="7488"/>
            <w:vAlign w:val="center"/>
            <w:tcMar>
              <w:top w:w="95" w:type="dxa"/>
              <w:start w:w="95" w:type="dxa"/>
              <w:bottom w:w="95" w:type="dxa"/>
              <w:end w:w="95" w:type="dxa"/>
            </w:tcMar>
          </w:tcPr>
          <w:p>
            <w:pPr>
              <w:spacing w:after="0"/>
            </w:pPr>
            <w:r>
              <w:rPr>
                <w:rFonts w:ascii="Aptos" w:hAnsi="Aptos"/>
                <w:sz w:val="15"/>
              </w:rPr>
              <w:t>Corporate buyers, especially VP Sales and related enterprise decision-makers, while still serving HR/L&amp;D, business-unit leaders, and other buying-committee members.</w:t>
            </w:r>
          </w:p>
        </w:tc>
      </w:tr>
      <w:tr>
        <w:tc>
          <w:tcPr>
            <w:tcW w:type="dxa" w:w="2304"/>
            <w:vAlign w:val="center"/>
            <w:tcMar>
              <w:top w:w="95" w:type="dxa"/>
              <w:start w:w="95" w:type="dxa"/>
              <w:bottom w:w="95" w:type="dxa"/>
              <w:end w:w="95" w:type="dxa"/>
            </w:tcMar>
          </w:tcPr>
          <w:p>
            <w:pPr>
              <w:spacing w:after="0"/>
            </w:pPr>
            <w:r>
              <w:rPr>
                <w:rFonts w:ascii="Aptos" w:hAnsi="Aptos"/>
                <w:sz w:val="15"/>
              </w:rPr>
              <w:t>Secondary audience</w:t>
            </w:r>
          </w:p>
        </w:tc>
        <w:tc>
          <w:tcPr>
            <w:tcW w:type="dxa" w:w="7488"/>
            <w:vAlign w:val="center"/>
            <w:tcMar>
              <w:top w:w="95" w:type="dxa"/>
              <w:start w:w="95" w:type="dxa"/>
              <w:bottom w:w="95" w:type="dxa"/>
              <w:end w:w="95" w:type="dxa"/>
            </w:tcMar>
          </w:tcPr>
          <w:p>
            <w:pPr>
              <w:spacing w:after="0"/>
            </w:pPr>
            <w:r>
              <w:rPr>
                <w:rFonts w:ascii="Aptos" w:hAnsi="Aptos"/>
                <w:sz w:val="15"/>
              </w:rPr>
              <w:t>Individual sales professionals and company-directed public-seminar attendees.</w:t>
            </w:r>
          </w:p>
        </w:tc>
      </w:tr>
      <w:tr>
        <w:tc>
          <w:tcPr>
            <w:tcW w:type="dxa" w:w="2304"/>
            <w:vAlign w:val="center"/>
            <w:tcMar>
              <w:top w:w="95" w:type="dxa"/>
              <w:start w:w="95" w:type="dxa"/>
              <w:bottom w:w="95" w:type="dxa"/>
              <w:end w:w="95" w:type="dxa"/>
            </w:tcMar>
          </w:tcPr>
          <w:p>
            <w:pPr>
              <w:spacing w:after="0"/>
            </w:pPr>
            <w:r>
              <w:rPr>
                <w:rFonts w:ascii="Aptos" w:hAnsi="Aptos"/>
                <w:sz w:val="15"/>
              </w:rPr>
              <w:t>Website role</w:t>
            </w:r>
          </w:p>
        </w:tc>
        <w:tc>
          <w:tcPr>
            <w:tcW w:type="dxa" w:w="7488"/>
            <w:vAlign w:val="center"/>
            <w:tcMar>
              <w:top w:w="95" w:type="dxa"/>
              <w:start w:w="95" w:type="dxa"/>
              <w:bottom w:w="95" w:type="dxa"/>
              <w:end w:w="95" w:type="dxa"/>
            </w:tcMar>
          </w:tcPr>
          <w:p>
            <w:pPr>
              <w:spacing w:after="0"/>
            </w:pPr>
            <w:r>
              <w:rPr>
                <w:rFonts w:ascii="Aptos" w:hAnsi="Aptos"/>
                <w:sz w:val="15"/>
              </w:rPr>
              <w:t>Help the right buyer quickly understand relevance, trust NuVue's proof, find the right path, and take a meaningful next action.</w:t>
            </w:r>
          </w:p>
        </w:tc>
      </w:tr>
      <w:tr>
        <w:tc>
          <w:tcPr>
            <w:tcW w:type="dxa" w:w="2304"/>
            <w:vAlign w:val="center"/>
            <w:tcMar>
              <w:top w:w="95" w:type="dxa"/>
              <w:start w:w="95" w:type="dxa"/>
              <w:bottom w:w="95" w:type="dxa"/>
              <w:end w:w="95" w:type="dxa"/>
            </w:tcMar>
          </w:tcPr>
          <w:p>
            <w:pPr>
              <w:spacing w:after="0"/>
            </w:pPr>
            <w:r>
              <w:rPr>
                <w:rFonts w:ascii="Aptos" w:hAnsi="Aptos"/>
                <w:sz w:val="15"/>
              </w:rPr>
              <w:t>Solution architecture</w:t>
            </w:r>
          </w:p>
        </w:tc>
        <w:tc>
          <w:tcPr>
            <w:tcW w:type="dxa" w:w="7488"/>
            <w:vAlign w:val="center"/>
            <w:tcMar>
              <w:top w:w="95" w:type="dxa"/>
              <w:start w:w="95" w:type="dxa"/>
              <w:bottom w:w="95" w:type="dxa"/>
              <w:end w:w="95" w:type="dxa"/>
            </w:tcMar>
          </w:tcPr>
          <w:p>
            <w:pPr>
              <w:spacing w:after="0"/>
            </w:pPr>
            <w:r>
              <w:rPr>
                <w:rFonts w:ascii="Aptos" w:hAnsi="Aptos"/>
                <w:sz w:val="15"/>
              </w:rPr>
              <w:t>Three pillars: Sales Development, Leadership &amp; Executive Coaching, and Business Acumen.</w:t>
            </w:r>
          </w:p>
        </w:tc>
      </w:tr>
      <w:tr>
        <w:tc>
          <w:tcPr>
            <w:tcW w:type="dxa" w:w="2304"/>
            <w:vAlign w:val="center"/>
            <w:tcMar>
              <w:top w:w="95" w:type="dxa"/>
              <w:start w:w="95" w:type="dxa"/>
              <w:bottom w:w="95" w:type="dxa"/>
              <w:end w:w="95" w:type="dxa"/>
            </w:tcMar>
          </w:tcPr>
          <w:p>
            <w:pPr>
              <w:spacing w:after="0"/>
            </w:pPr>
            <w:r>
              <w:rPr>
                <w:rFonts w:ascii="Aptos" w:hAnsi="Aptos"/>
                <w:sz w:val="15"/>
              </w:rPr>
              <w:t>Core differentiation</w:t>
            </w:r>
          </w:p>
        </w:tc>
        <w:tc>
          <w:tcPr>
            <w:tcW w:type="dxa" w:w="7488"/>
            <w:vAlign w:val="center"/>
            <w:tcMar>
              <w:top w:w="95" w:type="dxa"/>
              <w:start w:w="95" w:type="dxa"/>
              <w:bottom w:w="95" w:type="dxa"/>
              <w:end w:w="95" w:type="dxa"/>
            </w:tcMar>
          </w:tcPr>
          <w:p>
            <w:pPr>
              <w:spacing w:after="0"/>
            </w:pPr>
            <w:r>
              <w:rPr>
                <w:rFonts w:ascii="Aptos" w:hAnsi="Aptos"/>
                <w:sz w:val="15"/>
              </w:rPr>
              <w:t>Learning That Never Stops®, multi-week reinforcement, broad curriculum, measurable outcomes, enterprise proof, and a qualified guarantee offer.</w:t>
            </w:r>
          </w:p>
        </w:tc>
      </w:tr>
      <w:tr>
        <w:tc>
          <w:tcPr>
            <w:tcW w:type="dxa" w:w="2304"/>
            <w:vAlign w:val="center"/>
            <w:tcMar>
              <w:top w:w="95" w:type="dxa"/>
              <w:start w:w="95" w:type="dxa"/>
              <w:bottom w:w="95" w:type="dxa"/>
              <w:end w:w="95" w:type="dxa"/>
            </w:tcMar>
          </w:tcPr>
          <w:p>
            <w:pPr>
              <w:spacing w:after="0"/>
            </w:pPr>
            <w:r>
              <w:rPr>
                <w:rFonts w:ascii="Aptos" w:hAnsi="Aptos"/>
                <w:sz w:val="15"/>
              </w:rPr>
              <w:t>Primary buyer-path model</w:t>
            </w:r>
          </w:p>
        </w:tc>
        <w:tc>
          <w:tcPr>
            <w:tcW w:type="dxa" w:w="7488"/>
            <w:vAlign w:val="center"/>
            <w:tcMar>
              <w:top w:w="95" w:type="dxa"/>
              <w:start w:w="95" w:type="dxa"/>
              <w:bottom w:w="95" w:type="dxa"/>
              <w:end w:w="95" w:type="dxa"/>
            </w:tcMar>
          </w:tcPr>
          <w:p>
            <w:pPr>
              <w:spacing w:after="0"/>
            </w:pPr>
            <w:r>
              <w:rPr>
                <w:rFonts w:ascii="Aptos" w:hAnsi="Aptos"/>
                <w:sz w:val="15"/>
              </w:rPr>
              <w:t>For My Team / For Myself.</w:t>
            </w:r>
          </w:p>
        </w:tc>
      </w:tr>
      <w:tr>
        <w:tc>
          <w:tcPr>
            <w:tcW w:type="dxa" w:w="2304"/>
            <w:vAlign w:val="center"/>
            <w:tcMar>
              <w:top w:w="95" w:type="dxa"/>
              <w:start w:w="95" w:type="dxa"/>
              <w:bottom w:w="95" w:type="dxa"/>
              <w:end w:w="95" w:type="dxa"/>
            </w:tcMar>
          </w:tcPr>
          <w:p>
            <w:pPr>
              <w:spacing w:after="0"/>
            </w:pPr>
            <w:r>
              <w:rPr>
                <w:rFonts w:ascii="Aptos" w:hAnsi="Aptos"/>
                <w:sz w:val="15"/>
              </w:rPr>
              <w:t>Operating principle</w:t>
            </w:r>
          </w:p>
        </w:tc>
        <w:tc>
          <w:tcPr>
            <w:tcW w:type="dxa" w:w="7488"/>
            <w:vAlign w:val="center"/>
            <w:tcMar>
              <w:top w:w="95" w:type="dxa"/>
              <w:start w:w="95" w:type="dxa"/>
              <w:bottom w:w="95" w:type="dxa"/>
              <w:end w:w="95" w:type="dxa"/>
            </w:tcMar>
          </w:tcPr>
          <w:p>
            <w:pPr>
              <w:spacing w:after="0"/>
            </w:pPr>
            <w:r>
              <w:rPr>
                <w:rFonts w:ascii="Aptos" w:hAnsi="Aptos"/>
                <w:sz w:val="15"/>
              </w:rPr>
              <w:t>Lead with buyer relevance and outcomes, then explain methodology and proof.</w:t>
            </w:r>
          </w:p>
        </w:tc>
      </w:tr>
    </w:tbl>
    <w:p>
      <w:pPr>
        <w:spacing w:after="20"/>
      </w:pPr>
    </w:p>
    <w:p>
      <w:pPr>
        <w:pStyle w:val="Heading2"/>
      </w:pPr>
      <w:r>
        <w:t>Strategic Traceability</w:t>
      </w:r>
    </w:p>
    <w:p>
      <w:pPr>
        <w:pStyle w:val="Callout"/>
        <w:spacing w:after="100"/>
      </w:pPr>
      <w:r>
        <w:t>Client objective → Blueprint finding → approved strategic decision → page requirement → copy/design requirement → measurement event.</w:t>
      </w:r>
    </w:p>
    <w:p>
      <w:pPr>
        <w:pStyle w:val="Heading1"/>
      </w:pPr>
      <w:r>
        <w:t>2. Audience &amp; Buyer Architecture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173B56"/>
            <w:vAlign w:val="center"/>
            <w:tcMar>
              <w:top w:w="100" w:type="dxa"/>
              <w:start w:w="100" w:type="dxa"/>
              <w:bottom w:w="100" w:type="dxa"/>
              <w:end w:w="100" w:type="dxa"/>
            </w:tcMar>
          </w:tcPr>
          <w:p>
            <w:r>
              <w:rPr>
                <w:b/>
                <w:color w:val="FFFFFF"/>
                <w:sz w:val="14"/>
              </w:rPr>
              <w:t>Audience</w:t>
            </w:r>
          </w:p>
        </w:tc>
        <w:tc>
          <w:tcPr>
            <w:tcW w:type="dxa" w:w="3672"/>
            <w:shd w:fill="173B56"/>
            <w:vAlign w:val="center"/>
            <w:tcMar>
              <w:top w:w="100" w:type="dxa"/>
              <w:start w:w="100" w:type="dxa"/>
              <w:bottom w:w="100" w:type="dxa"/>
              <w:end w:w="100" w:type="dxa"/>
            </w:tcMar>
          </w:tcPr>
          <w:p>
            <w:r>
              <w:rPr>
                <w:b/>
                <w:color w:val="FFFFFF"/>
                <w:sz w:val="14"/>
              </w:rPr>
              <w:t>What they need to understand</w:t>
            </w:r>
          </w:p>
        </w:tc>
        <w:tc>
          <w:tcPr>
            <w:tcW w:type="dxa" w:w="1944"/>
            <w:shd w:fill="173B56"/>
            <w:vAlign w:val="center"/>
            <w:tcMar>
              <w:top w:w="100" w:type="dxa"/>
              <w:start w:w="100" w:type="dxa"/>
              <w:bottom w:w="100" w:type="dxa"/>
              <w:end w:w="100" w:type="dxa"/>
            </w:tcMar>
          </w:tcPr>
          <w:p>
            <w:r>
              <w:rPr>
                <w:b/>
                <w:color w:val="FFFFFF"/>
                <w:sz w:val="14"/>
              </w:rPr>
              <w:t>Primary action</w:t>
            </w:r>
          </w:p>
        </w:tc>
        <w:tc>
          <w:tcPr>
            <w:tcW w:type="dxa" w:w="2448"/>
            <w:shd w:fill="173B56"/>
            <w:vAlign w:val="center"/>
            <w:tcMar>
              <w:top w:w="100" w:type="dxa"/>
              <w:start w:w="100" w:type="dxa"/>
              <w:bottom w:w="100" w:type="dxa"/>
              <w:end w:w="100" w:type="dxa"/>
            </w:tcMar>
          </w:tcPr>
          <w:p>
            <w:r>
              <w:rPr>
                <w:b/>
                <w:color w:val="FFFFFF"/>
                <w:sz w:val="14"/>
              </w:rPr>
              <w:t>Proof they need</w:t>
            </w:r>
          </w:p>
        </w:tc>
      </w:tr>
      <w:tr>
        <w:tc>
          <w:tcPr>
            <w:tcW w:type="dxa" w:w="1728"/>
            <w:vAlign w:val="center"/>
            <w:tcMar>
              <w:top w:w="95" w:type="dxa"/>
              <w:start w:w="95" w:type="dxa"/>
              <w:bottom w:w="95" w:type="dxa"/>
              <w:end w:w="95" w:type="dxa"/>
            </w:tcMar>
          </w:tcPr>
          <w:p>
            <w:pPr>
              <w:spacing w:after="0"/>
            </w:pPr>
            <w:r>
              <w:rPr>
                <w:rFonts w:ascii="Aptos" w:hAnsi="Aptos"/>
                <w:sz w:val="14"/>
              </w:rPr>
              <w:t>Corporate buyer</w:t>
            </w:r>
          </w:p>
        </w:tc>
        <w:tc>
          <w:tcPr>
            <w:tcW w:type="dxa" w:w="3672"/>
            <w:vAlign w:val="center"/>
            <w:tcMar>
              <w:top w:w="95" w:type="dxa"/>
              <w:start w:w="95" w:type="dxa"/>
              <w:bottom w:w="95" w:type="dxa"/>
              <w:end w:w="95" w:type="dxa"/>
            </w:tcMar>
          </w:tcPr>
          <w:p>
            <w:pPr>
              <w:spacing w:after="0"/>
            </w:pPr>
            <w:r>
              <w:rPr>
                <w:rFonts w:ascii="Aptos" w:hAnsi="Aptos"/>
                <w:sz w:val="14"/>
              </w:rPr>
              <w:t>NuVue can support team performance with a durable, measurable learning system and the breadth to grow with the organization.</w:t>
            </w:r>
          </w:p>
        </w:tc>
        <w:tc>
          <w:tcPr>
            <w:tcW w:type="dxa" w:w="1944"/>
            <w:vAlign w:val="center"/>
            <w:tcMar>
              <w:top w:w="95" w:type="dxa"/>
              <w:start w:w="95" w:type="dxa"/>
              <w:bottom w:w="95" w:type="dxa"/>
              <w:end w:w="95" w:type="dxa"/>
            </w:tcMar>
          </w:tcPr>
          <w:p>
            <w:pPr>
              <w:spacing w:after="0"/>
            </w:pPr>
            <w:r>
              <w:rPr>
                <w:rFonts w:ascii="Aptos" w:hAnsi="Aptos"/>
                <w:sz w:val="14"/>
              </w:rPr>
              <w:t>Request a Consultation / qualify for enterprise path</w:t>
            </w:r>
          </w:p>
        </w:tc>
        <w:tc>
          <w:tcPr>
            <w:tcW w:type="dxa" w:w="2448"/>
            <w:vAlign w:val="center"/>
            <w:tcMar>
              <w:top w:w="95" w:type="dxa"/>
              <w:start w:w="95" w:type="dxa"/>
              <w:bottom w:w="95" w:type="dxa"/>
              <w:end w:w="95" w:type="dxa"/>
            </w:tcMar>
          </w:tcPr>
          <w:p>
            <w:pPr>
              <w:spacing w:after="0"/>
            </w:pPr>
            <w:r>
              <w:rPr>
                <w:rFonts w:ascii="Aptos" w:hAnsi="Aptos"/>
                <w:sz w:val="14"/>
              </w:rPr>
              <w:t>Enterprise outcomes, methodology, client evidence, guarantee terms, case studies, breadth.</w:t>
            </w:r>
          </w:p>
        </w:tc>
      </w:tr>
      <w:tr>
        <w:tc>
          <w:tcPr>
            <w:tcW w:type="dxa" w:w="1728"/>
            <w:vAlign w:val="center"/>
            <w:tcMar>
              <w:top w:w="95" w:type="dxa"/>
              <w:start w:w="95" w:type="dxa"/>
              <w:bottom w:w="95" w:type="dxa"/>
              <w:end w:w="95" w:type="dxa"/>
            </w:tcMar>
          </w:tcPr>
          <w:p>
            <w:pPr>
              <w:spacing w:after="0"/>
            </w:pPr>
            <w:r>
              <w:rPr>
                <w:rFonts w:ascii="Aptos" w:hAnsi="Aptos"/>
                <w:sz w:val="14"/>
              </w:rPr>
              <w:t>Individual professional</w:t>
            </w:r>
          </w:p>
        </w:tc>
        <w:tc>
          <w:tcPr>
            <w:tcW w:type="dxa" w:w="3672"/>
            <w:vAlign w:val="center"/>
            <w:tcMar>
              <w:top w:w="95" w:type="dxa"/>
              <w:start w:w="95" w:type="dxa"/>
              <w:bottom w:w="95" w:type="dxa"/>
              <w:end w:w="95" w:type="dxa"/>
            </w:tcMar>
          </w:tcPr>
          <w:p>
            <w:pPr>
              <w:spacing w:after="0"/>
            </w:pPr>
            <w:r>
              <w:rPr>
                <w:rFonts w:ascii="Aptos" w:hAnsi="Aptos"/>
                <w:sz w:val="14"/>
              </w:rPr>
              <w:t>NuVue can help them improve practical selling skill and choose the right seminar or development path.</w:t>
            </w:r>
          </w:p>
        </w:tc>
        <w:tc>
          <w:tcPr>
            <w:tcW w:type="dxa" w:w="1944"/>
            <w:vAlign w:val="center"/>
            <w:tcMar>
              <w:top w:w="95" w:type="dxa"/>
              <w:start w:w="95" w:type="dxa"/>
              <w:bottom w:w="95" w:type="dxa"/>
              <w:end w:w="95" w:type="dxa"/>
            </w:tcMar>
          </w:tcPr>
          <w:p>
            <w:pPr>
              <w:spacing w:after="0"/>
            </w:pPr>
            <w:r>
              <w:rPr>
                <w:rFonts w:ascii="Aptos" w:hAnsi="Aptos"/>
                <w:sz w:val="14"/>
              </w:rPr>
              <w:t>Find / register for a seminar</w:t>
            </w:r>
          </w:p>
        </w:tc>
        <w:tc>
          <w:tcPr>
            <w:tcW w:type="dxa" w:w="2448"/>
            <w:vAlign w:val="center"/>
            <w:tcMar>
              <w:top w:w="95" w:type="dxa"/>
              <w:start w:w="95" w:type="dxa"/>
              <w:bottom w:w="95" w:type="dxa"/>
              <w:end w:w="95" w:type="dxa"/>
            </w:tcMar>
          </w:tcPr>
          <w:p>
            <w:pPr>
              <w:spacing w:after="0"/>
            </w:pPr>
            <w:r>
              <w:rPr>
                <w:rFonts w:ascii="Aptos" w:hAnsi="Aptos"/>
                <w:sz w:val="14"/>
              </w:rPr>
              <w:t>Program substance, logistics, price, attendee proof, manager-approval support.</w:t>
            </w:r>
          </w:p>
        </w:tc>
      </w:tr>
      <w:tr>
        <w:tc>
          <w:tcPr>
            <w:tcW w:type="dxa" w:w="1728"/>
            <w:vAlign w:val="center"/>
            <w:tcMar>
              <w:top w:w="95" w:type="dxa"/>
              <w:start w:w="95" w:type="dxa"/>
              <w:bottom w:w="95" w:type="dxa"/>
              <w:end w:w="95" w:type="dxa"/>
            </w:tcMar>
          </w:tcPr>
          <w:p>
            <w:pPr>
              <w:spacing w:after="0"/>
            </w:pPr>
            <w:r>
              <w:rPr>
                <w:rFonts w:ascii="Aptos" w:hAnsi="Aptos"/>
                <w:sz w:val="14"/>
              </w:rPr>
              <w:t>Company-directed attendee</w:t>
            </w:r>
          </w:p>
        </w:tc>
        <w:tc>
          <w:tcPr>
            <w:tcW w:type="dxa" w:w="3672"/>
            <w:vAlign w:val="center"/>
            <w:tcMar>
              <w:top w:w="95" w:type="dxa"/>
              <w:start w:w="95" w:type="dxa"/>
              <w:bottom w:w="95" w:type="dxa"/>
              <w:end w:w="95" w:type="dxa"/>
            </w:tcMar>
          </w:tcPr>
          <w:p>
            <w:pPr>
              <w:spacing w:after="0"/>
            </w:pPr>
            <w:r>
              <w:rPr>
                <w:rFonts w:ascii="Aptos" w:hAnsi="Aptos"/>
                <w:sz w:val="14"/>
              </w:rPr>
              <w:t>The program is credible, applicable, and easy to justify internally.</w:t>
            </w:r>
          </w:p>
        </w:tc>
        <w:tc>
          <w:tcPr>
            <w:tcW w:type="dxa" w:w="1944"/>
            <w:vAlign w:val="center"/>
            <w:tcMar>
              <w:top w:w="95" w:type="dxa"/>
              <w:start w:w="95" w:type="dxa"/>
              <w:bottom w:w="95" w:type="dxa"/>
              <w:end w:w="95" w:type="dxa"/>
            </w:tcMar>
          </w:tcPr>
          <w:p>
            <w:pPr>
              <w:spacing w:after="0"/>
            </w:pPr>
            <w:r>
              <w:rPr>
                <w:rFonts w:ascii="Aptos" w:hAnsi="Aptos"/>
                <w:sz w:val="14"/>
              </w:rPr>
              <w:t>Register / share manager summary</w:t>
            </w:r>
          </w:p>
        </w:tc>
        <w:tc>
          <w:tcPr>
            <w:tcW w:type="dxa" w:w="2448"/>
            <w:vAlign w:val="center"/>
            <w:tcMar>
              <w:top w:w="95" w:type="dxa"/>
              <w:start w:w="95" w:type="dxa"/>
              <w:bottom w:w="95" w:type="dxa"/>
              <w:end w:w="95" w:type="dxa"/>
            </w:tcMar>
          </w:tcPr>
          <w:p>
            <w:pPr>
              <w:spacing w:after="0"/>
            </w:pPr>
            <w:r>
              <w:rPr>
                <w:rFonts w:ascii="Aptos" w:hAnsi="Aptos"/>
                <w:sz w:val="14"/>
              </w:rPr>
              <w:t>Curriculum, business case, outcomes, company-payment support.</w:t>
            </w:r>
          </w:p>
        </w:tc>
      </w:tr>
    </w:tbl>
    <w:p>
      <w:pPr>
        <w:spacing w:after="20"/>
      </w:pPr>
    </w:p>
    <w:p>
      <w:pPr>
        <w:pStyle w:val="Heading2"/>
      </w:pPr>
      <w:r>
        <w:t>Buyer-Path Requirement</w:t>
      </w:r>
    </w:p>
    <w:p>
      <w:pPr>
        <w:spacing w:after="100"/>
      </w:pPr>
      <w:r>
        <w:t>The experience should make the corporate and individual paths obvious without creating two disconnected brands. The corporate path carries the primary growth strategy. The individual path remains commercially useful and can also create future corporate opportunities.</w:t>
      </w:r>
    </w:p>
    <w:p>
      <w:pPr>
        <w:pStyle w:val="Heading1"/>
      </w:pPr>
      <w:r>
        <w:t>3. Messaging Architecture</w:t>
      </w:r>
    </w:p>
    <w:tbl>
      <w:tblPr>
        <w:tblStyle w:val="TableGrid"/>
        <w:tblW w:type="auto" w:w="0"/>
        <w:jc w:val="center"/>
        <w:tblLook w:firstColumn="1" w:firstRow="1" w:lastColumn="0" w:lastRow="0" w:noHBand="0" w:noVBand="1" w:val="04A0"/>
      </w:tblPr>
      <w:tblGrid>
        <w:gridCol w:w="5184"/>
        <w:gridCol w:w="5184"/>
      </w:tblGrid>
      <w:tr>
        <w:tc>
          <w:tcPr>
            <w:tcW w:type="dxa" w:w="2520"/>
            <w:shd w:fill="173B56"/>
            <w:vAlign w:val="center"/>
            <w:tcMar>
              <w:top w:w="100" w:type="dxa"/>
              <w:start w:w="100" w:type="dxa"/>
              <w:bottom w:w="100" w:type="dxa"/>
              <w:end w:w="100" w:type="dxa"/>
            </w:tcMar>
          </w:tcPr>
          <w:p>
            <w:r>
              <w:rPr>
                <w:b/>
                <w:color w:val="FFFFFF"/>
                <w:sz w:val="15"/>
              </w:rPr>
              <w:t>Messaging component</w:t>
            </w:r>
          </w:p>
        </w:tc>
        <w:tc>
          <w:tcPr>
            <w:tcW w:type="dxa" w:w="7272"/>
            <w:shd w:fill="173B56"/>
            <w:vAlign w:val="center"/>
            <w:tcMar>
              <w:top w:w="100" w:type="dxa"/>
              <w:start w:w="100" w:type="dxa"/>
              <w:bottom w:w="100" w:type="dxa"/>
              <w:end w:w="100" w:type="dxa"/>
            </w:tcMar>
          </w:tcPr>
          <w:p>
            <w:r>
              <w:rPr>
                <w:b/>
                <w:color w:val="FFFFFF"/>
                <w:sz w:val="15"/>
              </w:rPr>
              <w:t>Current direction</w:t>
            </w:r>
          </w:p>
        </w:tc>
      </w:tr>
      <w:tr>
        <w:tc>
          <w:tcPr>
            <w:tcW w:type="dxa" w:w="2520"/>
            <w:vAlign w:val="center"/>
            <w:tcMar>
              <w:top w:w="95" w:type="dxa"/>
              <w:start w:w="95" w:type="dxa"/>
              <w:bottom w:w="95" w:type="dxa"/>
              <w:end w:w="95" w:type="dxa"/>
            </w:tcMar>
          </w:tcPr>
          <w:p>
            <w:pPr>
              <w:spacing w:after="0"/>
            </w:pPr>
            <w:r>
              <w:rPr>
                <w:rFonts w:ascii="Aptos" w:hAnsi="Aptos"/>
                <w:sz w:val="15"/>
              </w:rPr>
              <w:t>Primary buyer desire</w:t>
            </w:r>
          </w:p>
        </w:tc>
        <w:tc>
          <w:tcPr>
            <w:tcW w:type="dxa" w:w="7272"/>
            <w:vAlign w:val="center"/>
            <w:tcMar>
              <w:top w:w="95" w:type="dxa"/>
              <w:start w:w="95" w:type="dxa"/>
              <w:bottom w:w="95" w:type="dxa"/>
              <w:end w:w="95" w:type="dxa"/>
            </w:tcMar>
          </w:tcPr>
          <w:p>
            <w:pPr>
              <w:spacing w:after="0"/>
            </w:pPr>
            <w:r>
              <w:rPr>
                <w:rFonts w:ascii="Aptos" w:hAnsi="Aptos"/>
                <w:sz w:val="15"/>
              </w:rPr>
              <w:t>Corporate leaders want stronger performance and confidence that training investment produces meaningful results.</w:t>
            </w:r>
          </w:p>
        </w:tc>
      </w:tr>
      <w:tr>
        <w:tc>
          <w:tcPr>
            <w:tcW w:type="dxa" w:w="2520"/>
            <w:vAlign w:val="center"/>
            <w:tcMar>
              <w:top w:w="95" w:type="dxa"/>
              <w:start w:w="95" w:type="dxa"/>
              <w:bottom w:w="95" w:type="dxa"/>
              <w:end w:w="95" w:type="dxa"/>
            </w:tcMar>
          </w:tcPr>
          <w:p>
            <w:pPr>
              <w:spacing w:after="0"/>
            </w:pPr>
            <w:r>
              <w:rPr>
                <w:rFonts w:ascii="Aptos" w:hAnsi="Aptos"/>
                <w:sz w:val="15"/>
              </w:rPr>
              <w:t>Functional problem</w:t>
            </w:r>
          </w:p>
        </w:tc>
        <w:tc>
          <w:tcPr>
            <w:tcW w:type="dxa" w:w="7272"/>
            <w:vAlign w:val="center"/>
            <w:tcMar>
              <w:top w:w="95" w:type="dxa"/>
              <w:start w:w="95" w:type="dxa"/>
              <w:bottom w:w="95" w:type="dxa"/>
              <w:end w:w="95" w:type="dxa"/>
            </w:tcMar>
          </w:tcPr>
          <w:p>
            <w:pPr>
              <w:spacing w:after="0"/>
            </w:pPr>
            <w:r>
              <w:rPr>
                <w:rFonts w:ascii="Aptos" w:hAnsi="Aptos"/>
                <w:sz w:val="15"/>
              </w:rPr>
              <w:t>Training may be fragmented, short-lived, hard to measure, or poorly connected to long-term development.</w:t>
            </w:r>
          </w:p>
        </w:tc>
      </w:tr>
      <w:tr>
        <w:tc>
          <w:tcPr>
            <w:tcW w:type="dxa" w:w="2520"/>
            <w:vAlign w:val="center"/>
            <w:tcMar>
              <w:top w:w="95" w:type="dxa"/>
              <w:start w:w="95" w:type="dxa"/>
              <w:bottom w:w="95" w:type="dxa"/>
              <w:end w:w="95" w:type="dxa"/>
            </w:tcMar>
          </w:tcPr>
          <w:p>
            <w:pPr>
              <w:spacing w:after="0"/>
            </w:pPr>
            <w:r>
              <w:rPr>
                <w:rFonts w:ascii="Aptos" w:hAnsi="Aptos"/>
                <w:sz w:val="15"/>
              </w:rPr>
              <w:t>Emotional problem</w:t>
            </w:r>
          </w:p>
        </w:tc>
        <w:tc>
          <w:tcPr>
            <w:tcW w:type="dxa" w:w="7272"/>
            <w:vAlign w:val="center"/>
            <w:tcMar>
              <w:top w:w="95" w:type="dxa"/>
              <w:start w:w="95" w:type="dxa"/>
              <w:bottom w:w="95" w:type="dxa"/>
              <w:end w:w="95" w:type="dxa"/>
            </w:tcMar>
          </w:tcPr>
          <w:p>
            <w:pPr>
              <w:spacing w:after="0"/>
            </w:pPr>
            <w:r>
              <w:rPr>
                <w:rFonts w:ascii="Aptos" w:hAnsi="Aptos"/>
                <w:sz w:val="15"/>
              </w:rPr>
              <w:t>Leaders do not want to defend an investment they cannot explain or prove.</w:t>
            </w:r>
          </w:p>
        </w:tc>
      </w:tr>
      <w:tr>
        <w:tc>
          <w:tcPr>
            <w:tcW w:type="dxa" w:w="2520"/>
            <w:vAlign w:val="center"/>
            <w:tcMar>
              <w:top w:w="95" w:type="dxa"/>
              <w:start w:w="95" w:type="dxa"/>
              <w:bottom w:w="95" w:type="dxa"/>
              <w:end w:w="95" w:type="dxa"/>
            </w:tcMar>
          </w:tcPr>
          <w:p>
            <w:pPr>
              <w:spacing w:after="0"/>
            </w:pPr>
            <w:r>
              <w:rPr>
                <w:rFonts w:ascii="Aptos" w:hAnsi="Aptos"/>
                <w:sz w:val="15"/>
              </w:rPr>
              <w:t>Brand POV</w:t>
            </w:r>
          </w:p>
        </w:tc>
        <w:tc>
          <w:tcPr>
            <w:tcW w:type="dxa" w:w="7272"/>
            <w:vAlign w:val="center"/>
            <w:tcMar>
              <w:top w:w="95" w:type="dxa"/>
              <w:start w:w="95" w:type="dxa"/>
              <w:bottom w:w="95" w:type="dxa"/>
              <w:end w:w="95" w:type="dxa"/>
            </w:tcMar>
          </w:tcPr>
          <w:p>
            <w:pPr>
              <w:spacing w:after="0"/>
            </w:pPr>
            <w:r>
              <w:rPr>
                <w:rFonts w:ascii="Aptos" w:hAnsi="Aptos"/>
                <w:sz w:val="15"/>
              </w:rPr>
              <w:t>Training should create durable behavior change and measurable improvement, not simply attendance.</w:t>
            </w:r>
          </w:p>
        </w:tc>
      </w:tr>
      <w:tr>
        <w:tc>
          <w:tcPr>
            <w:tcW w:type="dxa" w:w="2520"/>
            <w:vAlign w:val="center"/>
            <w:tcMar>
              <w:top w:w="95" w:type="dxa"/>
              <w:start w:w="95" w:type="dxa"/>
              <w:bottom w:w="95" w:type="dxa"/>
              <w:end w:w="95" w:type="dxa"/>
            </w:tcMar>
          </w:tcPr>
          <w:p>
            <w:pPr>
              <w:spacing w:after="0"/>
            </w:pPr>
            <w:r>
              <w:rPr>
                <w:rFonts w:ascii="Aptos" w:hAnsi="Aptos"/>
                <w:sz w:val="15"/>
              </w:rPr>
              <w:t>Differentiation</w:t>
            </w:r>
          </w:p>
        </w:tc>
        <w:tc>
          <w:tcPr>
            <w:tcW w:type="dxa" w:w="7272"/>
            <w:vAlign w:val="center"/>
            <w:tcMar>
              <w:top w:w="95" w:type="dxa"/>
              <w:start w:w="95" w:type="dxa"/>
              <w:bottom w:w="95" w:type="dxa"/>
              <w:end w:w="95" w:type="dxa"/>
            </w:tcMar>
          </w:tcPr>
          <w:p>
            <w:pPr>
              <w:spacing w:after="0"/>
            </w:pPr>
            <w:r>
              <w:rPr>
                <w:rFonts w:ascii="Aptos" w:hAnsi="Aptos"/>
                <w:sz w:val="15"/>
              </w:rPr>
              <w:t>NuVue combines Sales, Leadership, and Business Acumen with reinforcement, coaching, industry adaptation, and measurable evaluation.</w:t>
            </w:r>
          </w:p>
        </w:tc>
      </w:tr>
      <w:tr>
        <w:tc>
          <w:tcPr>
            <w:tcW w:type="dxa" w:w="2520"/>
            <w:vAlign w:val="center"/>
            <w:tcMar>
              <w:top w:w="95" w:type="dxa"/>
              <w:start w:w="95" w:type="dxa"/>
              <w:bottom w:w="95" w:type="dxa"/>
              <w:end w:w="95" w:type="dxa"/>
            </w:tcMar>
          </w:tcPr>
          <w:p>
            <w:pPr>
              <w:spacing w:after="0"/>
            </w:pPr>
            <w:r>
              <w:rPr>
                <w:rFonts w:ascii="Aptos" w:hAnsi="Aptos"/>
                <w:sz w:val="15"/>
              </w:rPr>
              <w:t>Buyer transformation</w:t>
            </w:r>
          </w:p>
        </w:tc>
        <w:tc>
          <w:tcPr>
            <w:tcW w:type="dxa" w:w="7272"/>
            <w:vAlign w:val="center"/>
            <w:tcMar>
              <w:top w:w="95" w:type="dxa"/>
              <w:start w:w="95" w:type="dxa"/>
              <w:bottom w:w="95" w:type="dxa"/>
              <w:end w:w="95" w:type="dxa"/>
            </w:tcMar>
          </w:tcPr>
          <w:p>
            <w:pPr>
              <w:spacing w:after="0"/>
            </w:pPr>
            <w:r>
              <w:rPr>
                <w:rFonts w:ascii="Aptos" w:hAnsi="Aptos"/>
                <w:sz w:val="15"/>
              </w:rPr>
              <w:t>From uncertain training buyer to confident leader with a clear development system and better visibility into results.</w:t>
            </w:r>
          </w:p>
        </w:tc>
      </w:tr>
      <w:tr>
        <w:tc>
          <w:tcPr>
            <w:tcW w:type="dxa" w:w="2520"/>
            <w:vAlign w:val="center"/>
            <w:tcMar>
              <w:top w:w="95" w:type="dxa"/>
              <w:start w:w="95" w:type="dxa"/>
              <w:bottom w:w="95" w:type="dxa"/>
              <w:end w:w="95" w:type="dxa"/>
            </w:tcMar>
          </w:tcPr>
          <w:p>
            <w:pPr>
              <w:spacing w:after="0"/>
            </w:pPr>
            <w:r>
              <w:rPr>
                <w:rFonts w:ascii="Aptos" w:hAnsi="Aptos"/>
                <w:sz w:val="15"/>
              </w:rPr>
              <w:t>Primary corporate CTA</w:t>
            </w:r>
          </w:p>
        </w:tc>
        <w:tc>
          <w:tcPr>
            <w:tcW w:type="dxa" w:w="7272"/>
            <w:vAlign w:val="center"/>
            <w:tcMar>
              <w:top w:w="95" w:type="dxa"/>
              <w:start w:w="95" w:type="dxa"/>
              <w:bottom w:w="95" w:type="dxa"/>
              <w:end w:w="95" w:type="dxa"/>
            </w:tcMar>
          </w:tcPr>
          <w:p>
            <w:pPr>
              <w:spacing w:after="0"/>
            </w:pPr>
            <w:r>
              <w:rPr>
                <w:rFonts w:ascii="Aptos" w:hAnsi="Aptos"/>
                <w:sz w:val="15"/>
              </w:rPr>
              <w:t>Request a Consultation.</w:t>
            </w:r>
          </w:p>
        </w:tc>
      </w:tr>
      <w:tr>
        <w:tc>
          <w:tcPr>
            <w:tcW w:type="dxa" w:w="2520"/>
            <w:vAlign w:val="center"/>
            <w:tcMar>
              <w:top w:w="95" w:type="dxa"/>
              <w:start w:w="95" w:type="dxa"/>
              <w:bottom w:w="95" w:type="dxa"/>
              <w:end w:w="95" w:type="dxa"/>
            </w:tcMar>
          </w:tcPr>
          <w:p>
            <w:pPr>
              <w:spacing w:after="0"/>
            </w:pPr>
            <w:r>
              <w:rPr>
                <w:rFonts w:ascii="Aptos" w:hAnsi="Aptos"/>
                <w:sz w:val="15"/>
              </w:rPr>
              <w:t>Primary individual CTA</w:t>
            </w:r>
          </w:p>
        </w:tc>
        <w:tc>
          <w:tcPr>
            <w:tcW w:type="dxa" w:w="7272"/>
            <w:vAlign w:val="center"/>
            <w:tcMar>
              <w:top w:w="95" w:type="dxa"/>
              <w:start w:w="95" w:type="dxa"/>
              <w:bottom w:w="95" w:type="dxa"/>
              <w:end w:w="95" w:type="dxa"/>
            </w:tcMar>
          </w:tcPr>
          <w:p>
            <w:pPr>
              <w:spacing w:after="0"/>
            </w:pPr>
            <w:r>
              <w:rPr>
                <w:rFonts w:ascii="Aptos" w:hAnsi="Aptos"/>
                <w:sz w:val="15"/>
              </w:rPr>
              <w:t>Register for / find a public seminar.</w:t>
            </w:r>
          </w:p>
        </w:tc>
      </w:tr>
      <w:tr>
        <w:tc>
          <w:tcPr>
            <w:tcW w:type="dxa" w:w="2520"/>
            <w:vAlign w:val="center"/>
            <w:tcMar>
              <w:top w:w="95" w:type="dxa"/>
              <w:start w:w="95" w:type="dxa"/>
              <w:bottom w:w="95" w:type="dxa"/>
              <w:end w:w="95" w:type="dxa"/>
            </w:tcMar>
          </w:tcPr>
          <w:p>
            <w:pPr>
              <w:spacing w:after="0"/>
            </w:pPr>
            <w:r>
              <w:rPr>
                <w:rFonts w:ascii="Aptos" w:hAnsi="Aptos"/>
                <w:sz w:val="15"/>
              </w:rPr>
              <w:t>Transitional CTA</w:t>
            </w:r>
          </w:p>
        </w:tc>
        <w:tc>
          <w:tcPr>
            <w:tcW w:type="dxa" w:w="7272"/>
            <w:vAlign w:val="center"/>
            <w:tcMar>
              <w:top w:w="95" w:type="dxa"/>
              <w:start w:w="95" w:type="dxa"/>
              <w:bottom w:w="95" w:type="dxa"/>
              <w:end w:w="95" w:type="dxa"/>
            </w:tcMar>
          </w:tcPr>
          <w:p>
            <w:pPr>
              <w:spacing w:after="0"/>
            </w:pPr>
            <w:r>
              <w:rPr>
                <w:rFonts w:ascii="Aptos" w:hAnsi="Aptos"/>
                <w:sz w:val="15"/>
              </w:rPr>
              <w:t>Self-assessment / guided recommendation path.</w:t>
            </w:r>
          </w:p>
        </w:tc>
      </w:tr>
    </w:tbl>
    <w:p>
      <w:pPr>
        <w:spacing w:after="20"/>
      </w:pPr>
    </w:p>
    <w:p>
      <w:pPr>
        <w:pStyle w:val="Heading1"/>
      </w:pPr>
      <w:r>
        <w:t>4. Brand Voice &amp; Editorial Standard</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173B56"/>
            <w:vAlign w:val="center"/>
            <w:tcMar>
              <w:top w:w="100" w:type="dxa"/>
              <w:start w:w="100" w:type="dxa"/>
              <w:bottom w:w="100" w:type="dxa"/>
              <w:end w:w="100" w:type="dxa"/>
            </w:tcMar>
          </w:tcPr>
          <w:p>
            <w:r>
              <w:rPr>
                <w:b/>
                <w:color w:val="FFFFFF"/>
                <w:sz w:val="15"/>
              </w:rPr>
              <w:t>Voice trait</w:t>
            </w:r>
          </w:p>
        </w:tc>
        <w:tc>
          <w:tcPr>
            <w:tcW w:type="dxa" w:w="4032"/>
            <w:shd w:fill="173B56"/>
            <w:vAlign w:val="center"/>
            <w:tcMar>
              <w:top w:w="100" w:type="dxa"/>
              <w:start w:w="100" w:type="dxa"/>
              <w:bottom w:w="100" w:type="dxa"/>
              <w:end w:w="100" w:type="dxa"/>
            </w:tcMar>
          </w:tcPr>
          <w:p>
            <w:r>
              <w:rPr>
                <w:b/>
                <w:color w:val="FFFFFF"/>
                <w:sz w:val="15"/>
              </w:rPr>
              <w:t>Do</w:t>
            </w:r>
          </w:p>
        </w:tc>
        <w:tc>
          <w:tcPr>
            <w:tcW w:type="dxa" w:w="3888"/>
            <w:shd w:fill="173B56"/>
            <w:vAlign w:val="center"/>
            <w:tcMar>
              <w:top w:w="100" w:type="dxa"/>
              <w:start w:w="100" w:type="dxa"/>
              <w:bottom w:w="100" w:type="dxa"/>
              <w:end w:w="100" w:type="dxa"/>
            </w:tcMar>
          </w:tcPr>
          <w:p>
            <w:r>
              <w:rPr>
                <w:b/>
                <w:color w:val="FFFFFF"/>
                <w:sz w:val="15"/>
              </w:rPr>
              <w:t>Avoid</w:t>
            </w:r>
          </w:p>
        </w:tc>
      </w:tr>
      <w:tr>
        <w:tc>
          <w:tcPr>
            <w:tcW w:type="dxa" w:w="1872"/>
            <w:vAlign w:val="center"/>
            <w:tcMar>
              <w:top w:w="95" w:type="dxa"/>
              <w:start w:w="95" w:type="dxa"/>
              <w:bottom w:w="95" w:type="dxa"/>
              <w:end w:w="95" w:type="dxa"/>
            </w:tcMar>
          </w:tcPr>
          <w:p>
            <w:pPr>
              <w:spacing w:after="0"/>
            </w:pPr>
            <w:r>
              <w:rPr>
                <w:rFonts w:ascii="Aptos" w:hAnsi="Aptos"/>
                <w:sz w:val="15"/>
              </w:rPr>
              <w:t>Confident</w:t>
            </w:r>
          </w:p>
        </w:tc>
        <w:tc>
          <w:tcPr>
            <w:tcW w:type="dxa" w:w="4032"/>
            <w:vAlign w:val="center"/>
            <w:tcMar>
              <w:top w:w="95" w:type="dxa"/>
              <w:start w:w="95" w:type="dxa"/>
              <w:bottom w:w="95" w:type="dxa"/>
              <w:end w:w="95" w:type="dxa"/>
            </w:tcMar>
          </w:tcPr>
          <w:p>
            <w:pPr>
              <w:spacing w:after="0"/>
            </w:pPr>
            <w:r>
              <w:rPr>
                <w:rFonts w:ascii="Aptos" w:hAnsi="Aptos"/>
                <w:sz w:val="15"/>
              </w:rPr>
              <w:t>State supported results plainly.</w:t>
            </w:r>
          </w:p>
        </w:tc>
        <w:tc>
          <w:tcPr>
            <w:tcW w:type="dxa" w:w="3888"/>
            <w:vAlign w:val="center"/>
            <w:tcMar>
              <w:top w:w="95" w:type="dxa"/>
              <w:start w:w="95" w:type="dxa"/>
              <w:bottom w:w="95" w:type="dxa"/>
              <w:end w:w="95" w:type="dxa"/>
            </w:tcMar>
          </w:tcPr>
          <w:p>
            <w:pPr>
              <w:spacing w:after="0"/>
            </w:pPr>
            <w:r>
              <w:rPr>
                <w:rFonts w:ascii="Aptos" w:hAnsi="Aptos"/>
                <w:sz w:val="15"/>
              </w:rPr>
              <w:t>Unprovable superlatives.</w:t>
            </w:r>
          </w:p>
        </w:tc>
      </w:tr>
      <w:tr>
        <w:tc>
          <w:tcPr>
            <w:tcW w:type="dxa" w:w="1872"/>
            <w:vAlign w:val="center"/>
            <w:tcMar>
              <w:top w:w="95" w:type="dxa"/>
              <w:start w:w="95" w:type="dxa"/>
              <w:bottom w:w="95" w:type="dxa"/>
              <w:end w:w="95" w:type="dxa"/>
            </w:tcMar>
          </w:tcPr>
          <w:p>
            <w:pPr>
              <w:spacing w:after="0"/>
            </w:pPr>
            <w:r>
              <w:rPr>
                <w:rFonts w:ascii="Aptos" w:hAnsi="Aptos"/>
                <w:sz w:val="15"/>
              </w:rPr>
              <w:t>Direct</w:t>
            </w:r>
          </w:p>
        </w:tc>
        <w:tc>
          <w:tcPr>
            <w:tcW w:type="dxa" w:w="4032"/>
            <w:vAlign w:val="center"/>
            <w:tcMar>
              <w:top w:w="95" w:type="dxa"/>
              <w:start w:w="95" w:type="dxa"/>
              <w:bottom w:w="95" w:type="dxa"/>
              <w:end w:w="95" w:type="dxa"/>
            </w:tcMar>
          </w:tcPr>
          <w:p>
            <w:pPr>
              <w:spacing w:after="0"/>
            </w:pPr>
            <w:r>
              <w:rPr>
                <w:rFonts w:ascii="Aptos" w:hAnsi="Aptos"/>
                <w:sz w:val="15"/>
              </w:rPr>
              <w:t>Lead with the point and use specific language.</w:t>
            </w:r>
          </w:p>
        </w:tc>
        <w:tc>
          <w:tcPr>
            <w:tcW w:type="dxa" w:w="3888"/>
            <w:vAlign w:val="center"/>
            <w:tcMar>
              <w:top w:w="95" w:type="dxa"/>
              <w:start w:w="95" w:type="dxa"/>
              <w:bottom w:w="95" w:type="dxa"/>
              <w:end w:w="95" w:type="dxa"/>
            </w:tcMar>
          </w:tcPr>
          <w:p>
            <w:pPr>
              <w:spacing w:after="0"/>
            </w:pPr>
            <w:r>
              <w:rPr>
                <w:rFonts w:ascii="Aptos" w:hAnsi="Aptos"/>
                <w:sz w:val="15"/>
              </w:rPr>
              <w:t>Corporate filler and vague jargon.</w:t>
            </w:r>
          </w:p>
        </w:tc>
      </w:tr>
      <w:tr>
        <w:tc>
          <w:tcPr>
            <w:tcW w:type="dxa" w:w="1872"/>
            <w:vAlign w:val="center"/>
            <w:tcMar>
              <w:top w:w="95" w:type="dxa"/>
              <w:start w:w="95" w:type="dxa"/>
              <w:bottom w:w="95" w:type="dxa"/>
              <w:end w:w="95" w:type="dxa"/>
            </w:tcMar>
          </w:tcPr>
          <w:p>
            <w:pPr>
              <w:spacing w:after="0"/>
            </w:pPr>
            <w:r>
              <w:rPr>
                <w:rFonts w:ascii="Aptos" w:hAnsi="Aptos"/>
                <w:sz w:val="15"/>
              </w:rPr>
              <w:t>Knowing</w:t>
            </w:r>
          </w:p>
        </w:tc>
        <w:tc>
          <w:tcPr>
            <w:tcW w:type="dxa" w:w="4032"/>
            <w:vAlign w:val="center"/>
            <w:tcMar>
              <w:top w:w="95" w:type="dxa"/>
              <w:start w:w="95" w:type="dxa"/>
              <w:bottom w:w="95" w:type="dxa"/>
              <w:end w:w="95" w:type="dxa"/>
            </w:tcMar>
          </w:tcPr>
          <w:p>
            <w:pPr>
              <w:spacing w:after="0"/>
            </w:pPr>
            <w:r>
              <w:rPr>
                <w:rFonts w:ascii="Aptos" w:hAnsi="Aptos"/>
                <w:sz w:val="15"/>
              </w:rPr>
              <w:t>Reflect real buyer frustrations and NuVue's field experience.</w:t>
            </w:r>
          </w:p>
        </w:tc>
        <w:tc>
          <w:tcPr>
            <w:tcW w:type="dxa" w:w="3888"/>
            <w:vAlign w:val="center"/>
            <w:tcMar>
              <w:top w:w="95" w:type="dxa"/>
              <w:start w:w="95" w:type="dxa"/>
              <w:bottom w:w="95" w:type="dxa"/>
              <w:end w:w="95" w:type="dxa"/>
            </w:tcMar>
          </w:tcPr>
          <w:p>
            <w:pPr>
              <w:spacing w:after="0"/>
            </w:pPr>
            <w:r>
              <w:rPr>
                <w:rFonts w:ascii="Aptos" w:hAnsi="Aptos"/>
                <w:sz w:val="15"/>
              </w:rPr>
              <w:t>Generic empathy statements.</w:t>
            </w:r>
          </w:p>
        </w:tc>
      </w:tr>
      <w:tr>
        <w:tc>
          <w:tcPr>
            <w:tcW w:type="dxa" w:w="1872"/>
            <w:vAlign w:val="center"/>
            <w:tcMar>
              <w:top w:w="95" w:type="dxa"/>
              <w:start w:w="95" w:type="dxa"/>
              <w:bottom w:w="95" w:type="dxa"/>
              <w:end w:w="95" w:type="dxa"/>
            </w:tcMar>
          </w:tcPr>
          <w:p>
            <w:pPr>
              <w:spacing w:after="0"/>
            </w:pPr>
            <w:r>
              <w:rPr>
                <w:rFonts w:ascii="Aptos" w:hAnsi="Aptos"/>
                <w:sz w:val="15"/>
              </w:rPr>
              <w:t>Outcome-focused</w:t>
            </w:r>
          </w:p>
        </w:tc>
        <w:tc>
          <w:tcPr>
            <w:tcW w:type="dxa" w:w="4032"/>
            <w:vAlign w:val="center"/>
            <w:tcMar>
              <w:top w:w="95" w:type="dxa"/>
              <w:start w:w="95" w:type="dxa"/>
              <w:bottom w:w="95" w:type="dxa"/>
              <w:end w:w="95" w:type="dxa"/>
            </w:tcMar>
          </w:tcPr>
          <w:p>
            <w:pPr>
              <w:spacing w:after="0"/>
            </w:pPr>
            <w:r>
              <w:rPr>
                <w:rFonts w:ascii="Aptos" w:hAnsi="Aptos"/>
                <w:sz w:val="15"/>
              </w:rPr>
              <w:t>Connect methodology to observable outcomes.</w:t>
            </w:r>
          </w:p>
        </w:tc>
        <w:tc>
          <w:tcPr>
            <w:tcW w:type="dxa" w:w="3888"/>
            <w:vAlign w:val="center"/>
            <w:tcMar>
              <w:top w:w="95" w:type="dxa"/>
              <w:start w:w="95" w:type="dxa"/>
              <w:bottom w:w="95" w:type="dxa"/>
              <w:end w:w="95" w:type="dxa"/>
            </w:tcMar>
          </w:tcPr>
          <w:p>
            <w:pPr>
              <w:spacing w:after="0"/>
            </w:pPr>
            <w:r>
              <w:rPr>
                <w:rFonts w:ascii="Aptos" w:hAnsi="Aptos"/>
                <w:sz w:val="15"/>
              </w:rPr>
              <w:t>Feature dumps without business relevance.</w:t>
            </w:r>
          </w:p>
        </w:tc>
      </w:tr>
      <w:tr>
        <w:tc>
          <w:tcPr>
            <w:tcW w:type="dxa" w:w="1872"/>
            <w:vAlign w:val="center"/>
            <w:tcMar>
              <w:top w:w="95" w:type="dxa"/>
              <w:start w:w="95" w:type="dxa"/>
              <w:bottom w:w="95" w:type="dxa"/>
              <w:end w:w="95" w:type="dxa"/>
            </w:tcMar>
          </w:tcPr>
          <w:p>
            <w:pPr>
              <w:spacing w:after="0"/>
            </w:pPr>
            <w:r>
              <w:rPr>
                <w:rFonts w:ascii="Aptos" w:hAnsi="Aptos"/>
                <w:sz w:val="15"/>
              </w:rPr>
              <w:t>Warm / professional</w:t>
            </w:r>
          </w:p>
        </w:tc>
        <w:tc>
          <w:tcPr>
            <w:tcW w:type="dxa" w:w="4032"/>
            <w:vAlign w:val="center"/>
            <w:tcMar>
              <w:top w:w="95" w:type="dxa"/>
              <w:start w:w="95" w:type="dxa"/>
              <w:bottom w:w="95" w:type="dxa"/>
              <w:end w:w="95" w:type="dxa"/>
            </w:tcMar>
          </w:tcPr>
          <w:p>
            <w:pPr>
              <w:spacing w:after="0"/>
            </w:pPr>
            <w:r>
              <w:rPr>
                <w:rFonts w:ascii="Aptos" w:hAnsi="Aptos"/>
                <w:sz w:val="15"/>
              </w:rPr>
              <w:t>Sound like an experienced advisor.</w:t>
            </w:r>
          </w:p>
        </w:tc>
        <w:tc>
          <w:tcPr>
            <w:tcW w:type="dxa" w:w="3888"/>
            <w:vAlign w:val="center"/>
            <w:tcMar>
              <w:top w:w="95" w:type="dxa"/>
              <w:start w:w="95" w:type="dxa"/>
              <w:bottom w:w="95" w:type="dxa"/>
              <w:end w:w="95" w:type="dxa"/>
            </w:tcMar>
          </w:tcPr>
          <w:p>
            <w:pPr>
              <w:spacing w:after="0"/>
            </w:pPr>
            <w:r>
              <w:rPr>
                <w:rFonts w:ascii="Aptos" w:hAnsi="Aptos"/>
                <w:sz w:val="15"/>
              </w:rPr>
              <w:t>Stiff corporate language or forced casualness.</w:t>
            </w:r>
          </w:p>
        </w:tc>
      </w:tr>
    </w:tbl>
    <w:p>
      <w:pPr>
        <w:spacing w:after="20"/>
      </w:pPr>
    </w:p>
    <w:p>
      <w:pPr>
        <w:spacing w:after="100"/>
      </w:pPr>
      <w:r>
        <w:t>Voice remains consistent across the buyer journey, but message depth, proof, specificity, and calls to action should reflect buyer intent and the strategic job of the page.</w:t>
      </w:r>
    </w:p>
    <w:p>
      <w:pPr>
        <w:pStyle w:val="Heading2"/>
      </w:pPr>
      <w:r>
        <w:t>Copy Quality Gate</w:t>
      </w:r>
    </w:p>
    <w:p>
      <w:pPr>
        <w:spacing w:after="100"/>
      </w:pPr>
      <w:r>
        <w:t>Before client delivery or publication, verify that each material claim has an identifiable source, the page speaks to the intended buyer, the message depth and proof match the primary buyer intent, the CTA represents the next logical action for that intent, the copy does not manufacture evidence, and the language adds something more specific than generic category copy.</w:t>
      </w:r>
    </w:p>
    <w:p>
      <w:pPr>
        <w:pStyle w:val="Heading1"/>
      </w:pPr>
      <w:r>
        <w:t>5. Claim &amp; Evidence Register</w:t>
      </w:r>
    </w:p>
    <w:p>
      <w:pPr>
        <w:spacing w:after="100"/>
      </w:pPr>
      <w:r>
        <w:t>Client-provided claims are valid inputs to strategy. They are not the same thing as AI-generated claims. For externally published claims, preserve source ownership and confirm available support before publication.</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73B56"/>
            <w:vAlign w:val="center"/>
            <w:tcMar>
              <w:top w:w="100" w:type="dxa"/>
              <w:start w:w="100" w:type="dxa"/>
              <w:bottom w:w="100" w:type="dxa"/>
              <w:end w:w="100" w:type="dxa"/>
            </w:tcMar>
          </w:tcPr>
          <w:p>
            <w:r>
              <w:rPr>
                <w:b/>
                <w:color w:val="FFFFFF"/>
                <w:sz w:val="14"/>
              </w:rPr>
              <w:t>Claim / proof</w:t>
            </w:r>
          </w:p>
        </w:tc>
        <w:tc>
          <w:tcPr>
            <w:tcW w:type="dxa" w:w="3096"/>
            <w:shd w:fill="173B56"/>
            <w:vAlign w:val="center"/>
            <w:tcMar>
              <w:top w:w="100" w:type="dxa"/>
              <w:start w:w="100" w:type="dxa"/>
              <w:bottom w:w="100" w:type="dxa"/>
              <w:end w:w="100" w:type="dxa"/>
            </w:tcMar>
          </w:tcPr>
          <w:p>
            <w:r>
              <w:rPr>
                <w:b/>
                <w:color w:val="FFFFFF"/>
                <w:sz w:val="14"/>
              </w:rPr>
              <w:t>Source status</w:t>
            </w:r>
          </w:p>
        </w:tc>
        <w:tc>
          <w:tcPr>
            <w:tcW w:type="dxa" w:w="3816"/>
            <w:shd w:fill="173B56"/>
            <w:vAlign w:val="center"/>
            <w:tcMar>
              <w:top w:w="100" w:type="dxa"/>
              <w:start w:w="100" w:type="dxa"/>
              <w:bottom w:w="100" w:type="dxa"/>
              <w:end w:w="100" w:type="dxa"/>
            </w:tcMar>
          </w:tcPr>
          <w:p>
            <w:r>
              <w:rPr>
                <w:b/>
                <w:color w:val="FFFFFF"/>
                <w:sz w:val="14"/>
              </w:rPr>
              <w:t>Publication treatment</w:t>
            </w:r>
          </w:p>
        </w:tc>
      </w:tr>
      <w:tr>
        <w:tc>
          <w:tcPr>
            <w:tcW w:type="dxa" w:w="2880"/>
            <w:vAlign w:val="center"/>
            <w:tcMar>
              <w:top w:w="95" w:type="dxa"/>
              <w:start w:w="95" w:type="dxa"/>
              <w:bottom w:w="95" w:type="dxa"/>
              <w:end w:w="95" w:type="dxa"/>
            </w:tcMar>
          </w:tcPr>
          <w:p>
            <w:pPr>
              <w:spacing w:after="0"/>
            </w:pPr>
            <w:r>
              <w:rPr>
                <w:rFonts w:ascii="Aptos" w:hAnsi="Aptos"/>
                <w:sz w:val="14"/>
              </w:rPr>
              <w:t>24+ years in business / training</w:t>
            </w:r>
          </w:p>
        </w:tc>
        <w:tc>
          <w:tcPr>
            <w:tcW w:type="dxa" w:w="3096"/>
            <w:vAlign w:val="center"/>
            <w:tcMar>
              <w:top w:w="95" w:type="dxa"/>
              <w:start w:w="95" w:type="dxa"/>
              <w:bottom w:w="95" w:type="dxa"/>
              <w:end w:w="95" w:type="dxa"/>
            </w:tcMar>
          </w:tcPr>
          <w:p>
            <w:pPr>
              <w:spacing w:after="0"/>
            </w:pPr>
            <w:r>
              <w:rPr>
                <w:rFonts w:ascii="Aptos" w:hAnsi="Aptos"/>
                <w:sz w:val="14"/>
              </w:rPr>
              <w:t>CLIENT-PROVIDED</w:t>
            </w:r>
          </w:p>
        </w:tc>
        <w:tc>
          <w:tcPr>
            <w:tcW w:type="dxa" w:w="3816"/>
            <w:vAlign w:val="center"/>
            <w:tcMar>
              <w:top w:w="95" w:type="dxa"/>
              <w:start w:w="95" w:type="dxa"/>
              <w:bottom w:w="95" w:type="dxa"/>
              <w:end w:w="95" w:type="dxa"/>
            </w:tcMar>
          </w:tcPr>
          <w:p>
            <w:pPr>
              <w:spacing w:after="0"/>
            </w:pPr>
            <w:r>
              <w:rPr>
                <w:rFonts w:ascii="Aptos" w:hAnsi="Aptos"/>
                <w:sz w:val="14"/>
              </w:rPr>
              <w:t>Use after confirming current date / founding reference.</w:t>
            </w:r>
          </w:p>
        </w:tc>
      </w:tr>
      <w:tr>
        <w:tc>
          <w:tcPr>
            <w:tcW w:type="dxa" w:w="2880"/>
            <w:vAlign w:val="center"/>
            <w:tcMar>
              <w:top w:w="95" w:type="dxa"/>
              <w:start w:w="95" w:type="dxa"/>
              <w:bottom w:w="95" w:type="dxa"/>
              <w:end w:w="95" w:type="dxa"/>
            </w:tcMar>
          </w:tcPr>
          <w:p>
            <w:pPr>
              <w:spacing w:after="0"/>
            </w:pPr>
            <w:r>
              <w:rPr>
                <w:rFonts w:ascii="Aptos" w:hAnsi="Aptos"/>
                <w:sz w:val="14"/>
              </w:rPr>
              <w:t>101+ ready-to-train workshops</w:t>
            </w:r>
          </w:p>
        </w:tc>
        <w:tc>
          <w:tcPr>
            <w:tcW w:type="dxa" w:w="3096"/>
            <w:vAlign w:val="center"/>
            <w:tcMar>
              <w:top w:w="95" w:type="dxa"/>
              <w:start w:w="95" w:type="dxa"/>
              <w:bottom w:w="95" w:type="dxa"/>
              <w:end w:w="95" w:type="dxa"/>
            </w:tcMar>
          </w:tcPr>
          <w:p>
            <w:pPr>
              <w:spacing w:after="0"/>
            </w:pPr>
            <w:r>
              <w:rPr>
                <w:rFonts w:ascii="Aptos" w:hAnsi="Aptos"/>
                <w:sz w:val="14"/>
              </w:rPr>
              <w:t>CLIENT-PROVIDED</w:t>
            </w:r>
          </w:p>
        </w:tc>
        <w:tc>
          <w:tcPr>
            <w:tcW w:type="dxa" w:w="3816"/>
            <w:vAlign w:val="center"/>
            <w:tcMar>
              <w:top w:w="95" w:type="dxa"/>
              <w:start w:w="95" w:type="dxa"/>
              <w:bottom w:w="95" w:type="dxa"/>
              <w:end w:w="95" w:type="dxa"/>
            </w:tcMar>
          </w:tcPr>
          <w:p>
            <w:pPr>
              <w:spacing w:after="0"/>
            </w:pPr>
            <w:r>
              <w:rPr>
                <w:rFonts w:ascii="Aptos" w:hAnsi="Aptos"/>
                <w:sz w:val="14"/>
              </w:rPr>
              <w:t>Use after confirming current inventory.</w:t>
            </w:r>
          </w:p>
        </w:tc>
      </w:tr>
      <w:tr>
        <w:tc>
          <w:tcPr>
            <w:tcW w:type="dxa" w:w="2880"/>
            <w:vAlign w:val="center"/>
            <w:tcMar>
              <w:top w:w="95" w:type="dxa"/>
              <w:start w:w="95" w:type="dxa"/>
              <w:bottom w:w="95" w:type="dxa"/>
              <w:end w:w="95" w:type="dxa"/>
            </w:tcMar>
          </w:tcPr>
          <w:p>
            <w:pPr>
              <w:spacing w:after="0"/>
            </w:pPr>
            <w:r>
              <w:rPr>
                <w:rFonts w:ascii="Aptos" w:hAnsi="Aptos"/>
                <w:sz w:val="14"/>
              </w:rPr>
              <w:t>$100K-per-rep guarantee structure</w:t>
            </w:r>
          </w:p>
        </w:tc>
        <w:tc>
          <w:tcPr>
            <w:tcW w:type="dxa" w:w="3096"/>
            <w:vAlign w:val="center"/>
            <w:tcMar>
              <w:top w:w="95" w:type="dxa"/>
              <w:start w:w="95" w:type="dxa"/>
              <w:bottom w:w="95" w:type="dxa"/>
              <w:end w:w="95" w:type="dxa"/>
            </w:tcMar>
          </w:tcPr>
          <w:p>
            <w:pPr>
              <w:spacing w:after="0"/>
            </w:pPr>
            <w:r>
              <w:rPr>
                <w:rFonts w:ascii="Aptos" w:hAnsi="Aptos"/>
                <w:sz w:val="14"/>
              </w:rPr>
              <w:t>CLIENT-PROVIDED</w:t>
            </w:r>
          </w:p>
        </w:tc>
        <w:tc>
          <w:tcPr>
            <w:tcW w:type="dxa" w:w="3816"/>
            <w:vAlign w:val="center"/>
            <w:tcMar>
              <w:top w:w="95" w:type="dxa"/>
              <w:start w:w="95" w:type="dxa"/>
              <w:bottom w:w="95" w:type="dxa"/>
              <w:end w:w="95" w:type="dxa"/>
            </w:tcMar>
          </w:tcPr>
          <w:p>
            <w:pPr>
              <w:spacing w:after="0"/>
            </w:pPr>
            <w:r>
              <w:rPr>
                <w:rFonts w:ascii="Aptos" w:hAnsi="Aptos"/>
                <w:sz w:val="14"/>
              </w:rPr>
              <w:t>Use only with current eligibility terms and approved guarantee documentation.</w:t>
            </w:r>
          </w:p>
        </w:tc>
      </w:tr>
      <w:tr>
        <w:tc>
          <w:tcPr>
            <w:tcW w:type="dxa" w:w="2880"/>
            <w:vAlign w:val="center"/>
            <w:tcMar>
              <w:top w:w="95" w:type="dxa"/>
              <w:start w:w="95" w:type="dxa"/>
              <w:bottom w:w="95" w:type="dxa"/>
              <w:end w:w="95" w:type="dxa"/>
            </w:tcMar>
          </w:tcPr>
          <w:p>
            <w:pPr>
              <w:spacing w:after="0"/>
            </w:pPr>
            <w:r>
              <w:rPr>
                <w:rFonts w:ascii="Aptos" w:hAnsi="Aptos"/>
                <w:sz w:val="14"/>
              </w:rPr>
              <w:t>1,000-rep annual limit</w:t>
            </w:r>
          </w:p>
        </w:tc>
        <w:tc>
          <w:tcPr>
            <w:tcW w:type="dxa" w:w="3096"/>
            <w:vAlign w:val="center"/>
            <w:tcMar>
              <w:top w:w="95" w:type="dxa"/>
              <w:start w:w="95" w:type="dxa"/>
              <w:bottom w:w="95" w:type="dxa"/>
              <w:end w:w="95" w:type="dxa"/>
            </w:tcMar>
          </w:tcPr>
          <w:p>
            <w:pPr>
              <w:spacing w:after="0"/>
            </w:pPr>
            <w:r>
              <w:rPr>
                <w:rFonts w:ascii="Aptos" w:hAnsi="Aptos"/>
                <w:sz w:val="14"/>
              </w:rPr>
              <w:t>CLIENT-PROVIDED</w:t>
            </w:r>
          </w:p>
        </w:tc>
        <w:tc>
          <w:tcPr>
            <w:tcW w:type="dxa" w:w="3816"/>
            <w:vAlign w:val="center"/>
            <w:tcMar>
              <w:top w:w="95" w:type="dxa"/>
              <w:start w:w="95" w:type="dxa"/>
              <w:bottom w:w="95" w:type="dxa"/>
              <w:end w:w="95" w:type="dxa"/>
            </w:tcMar>
          </w:tcPr>
          <w:p>
            <w:pPr>
              <w:spacing w:after="0"/>
            </w:pPr>
            <w:r>
              <w:rPr>
                <w:rFonts w:ascii="Aptos" w:hAnsi="Aptos"/>
                <w:sz w:val="14"/>
              </w:rPr>
              <w:t>Verify whether this is annual program capacity, scarcity language, or contract rule.</w:t>
            </w:r>
          </w:p>
        </w:tc>
      </w:tr>
      <w:tr>
        <w:tc>
          <w:tcPr>
            <w:tcW w:type="dxa" w:w="2880"/>
            <w:vAlign w:val="center"/>
            <w:tcMar>
              <w:top w:w="95" w:type="dxa"/>
              <w:start w:w="95" w:type="dxa"/>
              <w:bottom w:w="95" w:type="dxa"/>
              <w:end w:w="95" w:type="dxa"/>
            </w:tcMar>
          </w:tcPr>
          <w:p>
            <w:pPr>
              <w:spacing w:after="0"/>
            </w:pPr>
            <w:r>
              <w:rPr>
                <w:rFonts w:ascii="Aptos" w:hAnsi="Aptos"/>
                <w:sz w:val="14"/>
              </w:rPr>
              <w:t>$400K average increase for trained reps</w:t>
            </w:r>
          </w:p>
        </w:tc>
        <w:tc>
          <w:tcPr>
            <w:tcW w:type="dxa" w:w="3096"/>
            <w:vAlign w:val="center"/>
            <w:tcMar>
              <w:top w:w="95" w:type="dxa"/>
              <w:start w:w="95" w:type="dxa"/>
              <w:bottom w:w="95" w:type="dxa"/>
              <w:end w:w="95" w:type="dxa"/>
            </w:tcMar>
          </w:tcPr>
          <w:p>
            <w:pPr>
              <w:spacing w:after="0"/>
            </w:pPr>
            <w:r>
              <w:rPr>
                <w:rFonts w:ascii="Aptos" w:hAnsi="Aptos"/>
                <w:sz w:val="14"/>
              </w:rPr>
              <w:t>CLIENT-PROVIDED / ROI EVALUATION SOURCE EXPECTED</w:t>
            </w:r>
          </w:p>
        </w:tc>
        <w:tc>
          <w:tcPr>
            <w:tcW w:type="dxa" w:w="3816"/>
            <w:vAlign w:val="center"/>
            <w:tcMar>
              <w:top w:w="95" w:type="dxa"/>
              <w:start w:w="95" w:type="dxa"/>
              <w:bottom w:w="95" w:type="dxa"/>
              <w:end w:w="95" w:type="dxa"/>
            </w:tcMar>
          </w:tcPr>
          <w:p>
            <w:pPr>
              <w:spacing w:after="0"/>
            </w:pPr>
            <w:r>
              <w:rPr>
                <w:rFonts w:ascii="Aptos" w:hAnsi="Aptos"/>
                <w:sz w:val="14"/>
              </w:rPr>
              <w:t>Link to the supporting ROI Impact Evaluation before publication.</w:t>
            </w:r>
          </w:p>
        </w:tc>
      </w:tr>
      <w:tr>
        <w:tc>
          <w:tcPr>
            <w:tcW w:type="dxa" w:w="2880"/>
            <w:vAlign w:val="center"/>
            <w:tcMar>
              <w:top w:w="95" w:type="dxa"/>
              <w:start w:w="95" w:type="dxa"/>
              <w:bottom w:w="95" w:type="dxa"/>
              <w:end w:w="95" w:type="dxa"/>
            </w:tcMar>
          </w:tcPr>
          <w:p>
            <w:pPr>
              <w:spacing w:after="0"/>
            </w:pPr>
            <w:r>
              <w:rPr>
                <w:rFonts w:ascii="Aptos" w:hAnsi="Aptos"/>
                <w:sz w:val="14"/>
              </w:rPr>
              <w:t>Named client logos / case results</w:t>
            </w:r>
          </w:p>
        </w:tc>
        <w:tc>
          <w:tcPr>
            <w:tcW w:type="dxa" w:w="3096"/>
            <w:vAlign w:val="center"/>
            <w:tcMar>
              <w:top w:w="95" w:type="dxa"/>
              <w:start w:w="95" w:type="dxa"/>
              <w:bottom w:w="95" w:type="dxa"/>
              <w:end w:w="95" w:type="dxa"/>
            </w:tcMar>
          </w:tcPr>
          <w:p>
            <w:pPr>
              <w:spacing w:after="0"/>
            </w:pPr>
            <w:r>
              <w:rPr>
                <w:rFonts w:ascii="Aptos" w:hAnsi="Aptos"/>
                <w:sz w:val="14"/>
              </w:rPr>
              <w:t>CLIENT-PROVIDED / PERMISSION REQUIRED</w:t>
            </w:r>
          </w:p>
        </w:tc>
        <w:tc>
          <w:tcPr>
            <w:tcW w:type="dxa" w:w="3816"/>
            <w:vAlign w:val="center"/>
            <w:tcMar>
              <w:top w:w="95" w:type="dxa"/>
              <w:start w:w="95" w:type="dxa"/>
              <w:bottom w:w="95" w:type="dxa"/>
              <w:end w:w="95" w:type="dxa"/>
            </w:tcMar>
          </w:tcPr>
          <w:p>
            <w:pPr>
              <w:spacing w:after="0"/>
            </w:pPr>
            <w:r>
              <w:rPr>
                <w:rFonts w:ascii="Aptos" w:hAnsi="Aptos"/>
                <w:sz w:val="14"/>
              </w:rPr>
              <w:t>Confirm usage rights and exact result language.</w:t>
            </w:r>
          </w:p>
        </w:tc>
      </w:tr>
      <w:tr>
        <w:tc>
          <w:tcPr>
            <w:tcW w:type="dxa" w:w="2880"/>
            <w:vAlign w:val="center"/>
            <w:tcMar>
              <w:top w:w="95" w:type="dxa"/>
              <w:start w:w="95" w:type="dxa"/>
              <w:bottom w:w="95" w:type="dxa"/>
              <w:end w:w="95" w:type="dxa"/>
            </w:tcMar>
          </w:tcPr>
          <w:p>
            <w:pPr>
              <w:spacing w:after="0"/>
            </w:pPr>
            <w:r>
              <w:rPr>
                <w:rFonts w:ascii="Aptos" w:hAnsi="Aptos"/>
                <w:sz w:val="14"/>
              </w:rPr>
              <w:t>'Only' / 'best' / unique-category claims</w:t>
            </w:r>
          </w:p>
        </w:tc>
        <w:tc>
          <w:tcPr>
            <w:tcW w:type="dxa" w:w="3096"/>
            <w:vAlign w:val="center"/>
            <w:tcMar>
              <w:top w:w="95" w:type="dxa"/>
              <w:start w:w="95" w:type="dxa"/>
              <w:bottom w:w="95" w:type="dxa"/>
              <w:end w:w="95" w:type="dxa"/>
            </w:tcMar>
          </w:tcPr>
          <w:p>
            <w:pPr>
              <w:spacing w:after="0"/>
            </w:pPr>
            <w:r>
              <w:rPr>
                <w:rFonts w:ascii="Aptos" w:hAnsi="Aptos"/>
                <w:sz w:val="14"/>
              </w:rPr>
              <w:t>HIGH-RISK CLAIM</w:t>
            </w:r>
          </w:p>
        </w:tc>
        <w:tc>
          <w:tcPr>
            <w:tcW w:type="dxa" w:w="3816"/>
            <w:vAlign w:val="center"/>
            <w:tcMar>
              <w:top w:w="95" w:type="dxa"/>
              <w:start w:w="95" w:type="dxa"/>
              <w:bottom w:w="95" w:type="dxa"/>
              <w:end w:w="95" w:type="dxa"/>
            </w:tcMar>
          </w:tcPr>
          <w:p>
            <w:pPr>
              <w:spacing w:after="0"/>
            </w:pPr>
            <w:r>
              <w:rPr>
                <w:rFonts w:ascii="Aptos" w:hAnsi="Aptos"/>
                <w:sz w:val="14"/>
              </w:rPr>
              <w:t>Require explicit evidence or remove comparative exclusivity.</w:t>
            </w:r>
          </w:p>
        </w:tc>
      </w:tr>
      <w:tr>
        <w:tc>
          <w:tcPr>
            <w:tcW w:type="dxa" w:w="2880"/>
            <w:vAlign w:val="center"/>
            <w:tcMar>
              <w:top w:w="95" w:type="dxa"/>
              <w:start w:w="95" w:type="dxa"/>
              <w:bottom w:w="95" w:type="dxa"/>
              <w:end w:w="95" w:type="dxa"/>
            </w:tcMar>
          </w:tcPr>
          <w:p>
            <w:pPr>
              <w:spacing w:after="0"/>
            </w:pPr>
            <w:r>
              <w:rPr>
                <w:rFonts w:ascii="Aptos" w:hAnsi="Aptos"/>
                <w:sz w:val="14"/>
              </w:rPr>
              <w:t>99%+ company-funded seminar attendees</w:t>
            </w:r>
          </w:p>
        </w:tc>
        <w:tc>
          <w:tcPr>
            <w:tcW w:type="dxa" w:w="3096"/>
            <w:vAlign w:val="center"/>
            <w:tcMar>
              <w:top w:w="95" w:type="dxa"/>
              <w:start w:w="95" w:type="dxa"/>
              <w:bottom w:w="95" w:type="dxa"/>
              <w:end w:w="95" w:type="dxa"/>
            </w:tcMar>
          </w:tcPr>
          <w:p>
            <w:pPr>
              <w:spacing w:after="0"/>
            </w:pPr>
            <w:r>
              <w:rPr>
                <w:rFonts w:ascii="Aptos" w:hAnsi="Aptos"/>
                <w:sz w:val="14"/>
              </w:rPr>
              <w:t>CLIENT-PROVIDED</w:t>
            </w:r>
          </w:p>
        </w:tc>
        <w:tc>
          <w:tcPr>
            <w:tcW w:type="dxa" w:w="3816"/>
            <w:vAlign w:val="center"/>
            <w:tcMar>
              <w:top w:w="95" w:type="dxa"/>
              <w:start w:w="95" w:type="dxa"/>
              <w:bottom w:w="95" w:type="dxa"/>
              <w:end w:w="95" w:type="dxa"/>
            </w:tcMar>
          </w:tcPr>
          <w:p>
            <w:pPr>
              <w:spacing w:after="0"/>
            </w:pPr>
            <w:r>
              <w:rPr>
                <w:rFonts w:ascii="Aptos" w:hAnsi="Aptos"/>
                <w:sz w:val="14"/>
              </w:rPr>
              <w:t>Use only if the client can support the figure and period represented.</w:t>
            </w:r>
          </w:p>
        </w:tc>
      </w:tr>
    </w:tbl>
    <w:p>
      <w:pPr>
        <w:spacing w:after="20"/>
      </w:pPr>
    </w:p>
    <w:p>
      <w:pPr>
        <w:pStyle w:val="Heading1"/>
      </w:pPr>
      <w:r>
        <w:t>6. Site Architecture &amp; Content System</w:t>
      </w:r>
    </w:p>
    <w:tbl>
      <w:tblPr>
        <w:tblStyle w:val="TableGrid"/>
        <w:tblW w:type="auto" w:w="0"/>
        <w:jc w:val="center"/>
        <w:tblLook w:firstColumn="1" w:firstRow="1" w:lastColumn="0" w:lastRow="0" w:noHBand="0" w:noVBand="1" w:val="04A0"/>
      </w:tblPr>
      <w:tblGrid>
        <w:gridCol w:w="3456"/>
        <w:gridCol w:w="3456"/>
        <w:gridCol w:w="3456"/>
      </w:tblGrid>
      <w:tr>
        <w:tc>
          <w:tcPr>
            <w:tcW w:type="dxa" w:w="1944"/>
            <w:shd w:fill="173B56"/>
            <w:vAlign w:val="center"/>
            <w:tcMar>
              <w:top w:w="100" w:type="dxa"/>
              <w:start w:w="100" w:type="dxa"/>
              <w:bottom w:w="100" w:type="dxa"/>
              <w:end w:w="100" w:type="dxa"/>
            </w:tcMar>
          </w:tcPr>
          <w:p>
            <w:r>
              <w:rPr>
                <w:b/>
                <w:color w:val="FFFFFF"/>
                <w:sz w:val="14"/>
              </w:rPr>
              <w:t>Experience layer</w:t>
            </w:r>
          </w:p>
        </w:tc>
        <w:tc>
          <w:tcPr>
            <w:tcW w:type="dxa" w:w="3528"/>
            <w:shd w:fill="173B56"/>
            <w:vAlign w:val="center"/>
            <w:tcMar>
              <w:top w:w="100" w:type="dxa"/>
              <w:start w:w="100" w:type="dxa"/>
              <w:bottom w:w="100" w:type="dxa"/>
              <w:end w:w="100" w:type="dxa"/>
            </w:tcMar>
          </w:tcPr>
          <w:p>
            <w:r>
              <w:rPr>
                <w:b/>
                <w:color w:val="FFFFFF"/>
                <w:sz w:val="14"/>
              </w:rPr>
              <w:t>Strategic role</w:t>
            </w:r>
          </w:p>
        </w:tc>
        <w:tc>
          <w:tcPr>
            <w:tcW w:type="dxa" w:w="4320"/>
            <w:shd w:fill="173B56"/>
            <w:vAlign w:val="center"/>
            <w:tcMar>
              <w:top w:w="100" w:type="dxa"/>
              <w:start w:w="100" w:type="dxa"/>
              <w:bottom w:w="100" w:type="dxa"/>
              <w:end w:w="100" w:type="dxa"/>
            </w:tcMar>
          </w:tcPr>
          <w:p>
            <w:r>
              <w:rPr>
                <w:b/>
                <w:color w:val="FFFFFF"/>
                <w:sz w:val="14"/>
              </w:rPr>
              <w:t>Representative pages</w:t>
            </w:r>
          </w:p>
        </w:tc>
      </w:tr>
      <w:tr>
        <w:tc>
          <w:tcPr>
            <w:tcW w:type="dxa" w:w="1944"/>
            <w:vAlign w:val="center"/>
            <w:tcMar>
              <w:top w:w="95" w:type="dxa"/>
              <w:start w:w="95" w:type="dxa"/>
              <w:bottom w:w="95" w:type="dxa"/>
              <w:end w:w="95" w:type="dxa"/>
            </w:tcMar>
          </w:tcPr>
          <w:p>
            <w:pPr>
              <w:spacing w:after="0"/>
            </w:pPr>
            <w:r>
              <w:rPr>
                <w:rFonts w:ascii="Aptos" w:hAnsi="Aptos"/>
                <w:sz w:val="14"/>
              </w:rPr>
              <w:t>Audience entry</w:t>
            </w:r>
          </w:p>
        </w:tc>
        <w:tc>
          <w:tcPr>
            <w:tcW w:type="dxa" w:w="3528"/>
            <w:vAlign w:val="center"/>
            <w:tcMar>
              <w:top w:w="95" w:type="dxa"/>
              <w:start w:w="95" w:type="dxa"/>
              <w:bottom w:w="95" w:type="dxa"/>
              <w:end w:w="95" w:type="dxa"/>
            </w:tcMar>
          </w:tcPr>
          <w:p>
            <w:pPr>
              <w:spacing w:after="0"/>
            </w:pPr>
            <w:r>
              <w:rPr>
                <w:rFonts w:ascii="Aptos" w:hAnsi="Aptos"/>
                <w:sz w:val="14"/>
              </w:rPr>
              <w:t>Route visitors by who they are and what they need.</w:t>
            </w:r>
          </w:p>
        </w:tc>
        <w:tc>
          <w:tcPr>
            <w:tcW w:type="dxa" w:w="4320"/>
            <w:vAlign w:val="center"/>
            <w:tcMar>
              <w:top w:w="95" w:type="dxa"/>
              <w:start w:w="95" w:type="dxa"/>
              <w:bottom w:w="95" w:type="dxa"/>
              <w:end w:w="95" w:type="dxa"/>
            </w:tcMar>
          </w:tcPr>
          <w:p>
            <w:pPr>
              <w:spacing w:after="0"/>
            </w:pPr>
            <w:r>
              <w:rPr>
                <w:rFonts w:ascii="Aptos" w:hAnsi="Aptos"/>
                <w:sz w:val="14"/>
              </w:rPr>
              <w:t>Homepage, For My Team, For Myself</w:t>
            </w:r>
          </w:p>
        </w:tc>
      </w:tr>
      <w:tr>
        <w:tc>
          <w:tcPr>
            <w:tcW w:type="dxa" w:w="1944"/>
            <w:vAlign w:val="center"/>
            <w:tcMar>
              <w:top w:w="95" w:type="dxa"/>
              <w:start w:w="95" w:type="dxa"/>
              <w:bottom w:w="95" w:type="dxa"/>
              <w:end w:w="95" w:type="dxa"/>
            </w:tcMar>
          </w:tcPr>
          <w:p>
            <w:pPr>
              <w:spacing w:after="0"/>
            </w:pPr>
            <w:r>
              <w:rPr>
                <w:rFonts w:ascii="Aptos" w:hAnsi="Aptos"/>
                <w:sz w:val="14"/>
              </w:rPr>
              <w:t>Solution discovery</w:t>
            </w:r>
          </w:p>
        </w:tc>
        <w:tc>
          <w:tcPr>
            <w:tcW w:type="dxa" w:w="3528"/>
            <w:vAlign w:val="center"/>
            <w:tcMar>
              <w:top w:w="95" w:type="dxa"/>
              <w:start w:w="95" w:type="dxa"/>
              <w:bottom w:w="95" w:type="dxa"/>
              <w:end w:w="95" w:type="dxa"/>
            </w:tcMar>
          </w:tcPr>
          <w:p>
            <w:pPr>
              <w:spacing w:after="0"/>
            </w:pPr>
            <w:r>
              <w:rPr>
                <w:rFonts w:ascii="Aptos" w:hAnsi="Aptos"/>
                <w:sz w:val="14"/>
              </w:rPr>
              <w:t>Make the three-pillar breadth understandable.</w:t>
            </w:r>
          </w:p>
        </w:tc>
        <w:tc>
          <w:tcPr>
            <w:tcW w:type="dxa" w:w="4320"/>
            <w:vAlign w:val="center"/>
            <w:tcMar>
              <w:top w:w="95" w:type="dxa"/>
              <w:start w:w="95" w:type="dxa"/>
              <w:bottom w:w="95" w:type="dxa"/>
              <w:end w:w="95" w:type="dxa"/>
            </w:tcMar>
          </w:tcPr>
          <w:p>
            <w:pPr>
              <w:spacing w:after="0"/>
            </w:pPr>
            <w:r>
              <w:rPr>
                <w:rFonts w:ascii="Aptos" w:hAnsi="Aptos"/>
                <w:sz w:val="14"/>
              </w:rPr>
              <w:t>Curriculum, Sales Development, Leadership, Business Acumen</w:t>
            </w:r>
          </w:p>
        </w:tc>
      </w:tr>
      <w:tr>
        <w:tc>
          <w:tcPr>
            <w:tcW w:type="dxa" w:w="1944"/>
            <w:vAlign w:val="center"/>
            <w:tcMar>
              <w:top w:w="95" w:type="dxa"/>
              <w:start w:w="95" w:type="dxa"/>
              <w:bottom w:w="95" w:type="dxa"/>
              <w:end w:w="95" w:type="dxa"/>
            </w:tcMar>
          </w:tcPr>
          <w:p>
            <w:pPr>
              <w:spacing w:after="0"/>
            </w:pPr>
            <w:r>
              <w:rPr>
                <w:rFonts w:ascii="Aptos" w:hAnsi="Aptos"/>
                <w:sz w:val="14"/>
              </w:rPr>
              <w:t>Industry relevance</w:t>
            </w:r>
          </w:p>
        </w:tc>
        <w:tc>
          <w:tcPr>
            <w:tcW w:type="dxa" w:w="3528"/>
            <w:vAlign w:val="center"/>
            <w:tcMar>
              <w:top w:w="95" w:type="dxa"/>
              <w:start w:w="95" w:type="dxa"/>
              <w:bottom w:w="95" w:type="dxa"/>
              <w:end w:w="95" w:type="dxa"/>
            </w:tcMar>
          </w:tcPr>
          <w:p>
            <w:pPr>
              <w:spacing w:after="0"/>
            </w:pPr>
            <w:r>
              <w:rPr>
                <w:rFonts w:ascii="Aptos" w:hAnsi="Aptos"/>
                <w:sz w:val="14"/>
              </w:rPr>
              <w:t>Show that NuVue understands specific selling environments.</w:t>
            </w:r>
          </w:p>
        </w:tc>
        <w:tc>
          <w:tcPr>
            <w:tcW w:type="dxa" w:w="4320"/>
            <w:vAlign w:val="center"/>
            <w:tcMar>
              <w:top w:w="95" w:type="dxa"/>
              <w:start w:w="95" w:type="dxa"/>
              <w:bottom w:w="95" w:type="dxa"/>
              <w:end w:w="95" w:type="dxa"/>
            </w:tcMar>
          </w:tcPr>
          <w:p>
            <w:pPr>
              <w:spacing w:after="0"/>
            </w:pPr>
            <w:r>
              <w:rPr>
                <w:rFonts w:ascii="Aptos" w:hAnsi="Aptos"/>
                <w:sz w:val="14"/>
              </w:rPr>
              <w:t>Industries, Agriculture, Manufacturing, Insurance / Financial Services</w:t>
            </w:r>
          </w:p>
        </w:tc>
      </w:tr>
      <w:tr>
        <w:tc>
          <w:tcPr>
            <w:tcW w:type="dxa" w:w="1944"/>
            <w:vAlign w:val="center"/>
            <w:tcMar>
              <w:top w:w="95" w:type="dxa"/>
              <w:start w:w="95" w:type="dxa"/>
              <w:bottom w:w="95" w:type="dxa"/>
              <w:end w:w="95" w:type="dxa"/>
            </w:tcMar>
          </w:tcPr>
          <w:p>
            <w:pPr>
              <w:spacing w:after="0"/>
            </w:pPr>
            <w:r>
              <w:rPr>
                <w:rFonts w:ascii="Aptos" w:hAnsi="Aptos"/>
                <w:sz w:val="14"/>
              </w:rPr>
              <w:t>Offer depth</w:t>
            </w:r>
          </w:p>
        </w:tc>
        <w:tc>
          <w:tcPr>
            <w:tcW w:type="dxa" w:w="3528"/>
            <w:vAlign w:val="center"/>
            <w:tcMar>
              <w:top w:w="95" w:type="dxa"/>
              <w:start w:w="95" w:type="dxa"/>
              <w:bottom w:w="95" w:type="dxa"/>
              <w:end w:w="95" w:type="dxa"/>
            </w:tcMar>
          </w:tcPr>
          <w:p>
            <w:pPr>
              <w:spacing w:after="0"/>
            </w:pPr>
            <w:r>
              <w:rPr>
                <w:rFonts w:ascii="Aptos" w:hAnsi="Aptos"/>
                <w:sz w:val="14"/>
              </w:rPr>
              <w:t>Help buyers evaluate specific programs and enterprise offers.</w:t>
            </w:r>
          </w:p>
        </w:tc>
        <w:tc>
          <w:tcPr>
            <w:tcW w:type="dxa" w:w="4320"/>
            <w:vAlign w:val="center"/>
            <w:tcMar>
              <w:top w:w="95" w:type="dxa"/>
              <w:start w:w="95" w:type="dxa"/>
              <w:bottom w:w="95" w:type="dxa"/>
              <w:end w:w="95" w:type="dxa"/>
            </w:tcMar>
          </w:tcPr>
          <w:p>
            <w:pPr>
              <w:spacing w:after="0"/>
            </w:pPr>
            <w:r>
              <w:rPr>
                <w:rFonts w:ascii="Aptos" w:hAnsi="Aptos"/>
                <w:sz w:val="14"/>
              </w:rPr>
              <w:t>Counselor Salesperson™, Executive Coaching, Guarantee, Ag Onboarding</w:t>
            </w:r>
          </w:p>
        </w:tc>
      </w:tr>
      <w:tr>
        <w:tc>
          <w:tcPr>
            <w:tcW w:type="dxa" w:w="1944"/>
            <w:vAlign w:val="center"/>
            <w:tcMar>
              <w:top w:w="95" w:type="dxa"/>
              <w:start w:w="95" w:type="dxa"/>
              <w:bottom w:w="95" w:type="dxa"/>
              <w:end w:w="95" w:type="dxa"/>
            </w:tcMar>
          </w:tcPr>
          <w:p>
            <w:pPr>
              <w:spacing w:after="0"/>
            </w:pPr>
            <w:r>
              <w:rPr>
                <w:rFonts w:ascii="Aptos" w:hAnsi="Aptos"/>
                <w:sz w:val="14"/>
              </w:rPr>
              <w:t>Transactional path</w:t>
            </w:r>
          </w:p>
        </w:tc>
        <w:tc>
          <w:tcPr>
            <w:tcW w:type="dxa" w:w="3528"/>
            <w:vAlign w:val="center"/>
            <w:tcMar>
              <w:top w:w="95" w:type="dxa"/>
              <w:start w:w="95" w:type="dxa"/>
              <w:bottom w:w="95" w:type="dxa"/>
              <w:end w:w="95" w:type="dxa"/>
            </w:tcMar>
          </w:tcPr>
          <w:p>
            <w:pPr>
              <w:spacing w:after="0"/>
            </w:pPr>
            <w:r>
              <w:rPr>
                <w:rFonts w:ascii="Aptos" w:hAnsi="Aptos"/>
                <w:sz w:val="14"/>
              </w:rPr>
              <w:t>Convert individual / event demand directly.</w:t>
            </w:r>
          </w:p>
        </w:tc>
        <w:tc>
          <w:tcPr>
            <w:tcW w:type="dxa" w:w="4320"/>
            <w:vAlign w:val="center"/>
            <w:tcMar>
              <w:top w:w="95" w:type="dxa"/>
              <w:start w:w="95" w:type="dxa"/>
              <w:bottom w:w="95" w:type="dxa"/>
              <w:end w:w="95" w:type="dxa"/>
            </w:tcMar>
          </w:tcPr>
          <w:p>
            <w:pPr>
              <w:spacing w:after="0"/>
            </w:pPr>
            <w:r>
              <w:rPr>
                <w:rFonts w:ascii="Aptos" w:hAnsi="Aptos"/>
                <w:sz w:val="14"/>
              </w:rPr>
              <w:t>Public seminar pages, registration, store</w:t>
            </w:r>
          </w:p>
        </w:tc>
      </w:tr>
      <w:tr>
        <w:tc>
          <w:tcPr>
            <w:tcW w:type="dxa" w:w="1944"/>
            <w:vAlign w:val="center"/>
            <w:tcMar>
              <w:top w:w="95" w:type="dxa"/>
              <w:start w:w="95" w:type="dxa"/>
              <w:bottom w:w="95" w:type="dxa"/>
              <w:end w:w="95" w:type="dxa"/>
            </w:tcMar>
          </w:tcPr>
          <w:p>
            <w:pPr>
              <w:spacing w:after="0"/>
            </w:pPr>
            <w:r>
              <w:rPr>
                <w:rFonts w:ascii="Aptos" w:hAnsi="Aptos"/>
                <w:sz w:val="14"/>
              </w:rPr>
              <w:t>Authority / proof</w:t>
            </w:r>
          </w:p>
        </w:tc>
        <w:tc>
          <w:tcPr>
            <w:tcW w:type="dxa" w:w="3528"/>
            <w:vAlign w:val="center"/>
            <w:tcMar>
              <w:top w:w="95" w:type="dxa"/>
              <w:start w:w="95" w:type="dxa"/>
              <w:bottom w:w="95" w:type="dxa"/>
              <w:end w:w="95" w:type="dxa"/>
            </w:tcMar>
          </w:tcPr>
          <w:p>
            <w:pPr>
              <w:spacing w:after="0"/>
            </w:pPr>
            <w:r>
              <w:rPr>
                <w:rFonts w:ascii="Aptos" w:hAnsi="Aptos"/>
                <w:sz w:val="14"/>
              </w:rPr>
              <w:t>Support trust, discoverability, and evaluation.</w:t>
            </w:r>
          </w:p>
        </w:tc>
        <w:tc>
          <w:tcPr>
            <w:tcW w:type="dxa" w:w="4320"/>
            <w:vAlign w:val="center"/>
            <w:tcMar>
              <w:top w:w="95" w:type="dxa"/>
              <w:start w:w="95" w:type="dxa"/>
              <w:bottom w:w="95" w:type="dxa"/>
              <w:end w:w="95" w:type="dxa"/>
            </w:tcMar>
          </w:tcPr>
          <w:p>
            <w:pPr>
              <w:spacing w:after="0"/>
            </w:pPr>
            <w:r>
              <w:rPr>
                <w:rFonts w:ascii="Aptos" w:hAnsi="Aptos"/>
                <w:sz w:val="14"/>
              </w:rPr>
              <w:t>About, case studies, insights, resources, FAQs</w:t>
            </w:r>
          </w:p>
        </w:tc>
      </w:tr>
      <w:tr>
        <w:tc>
          <w:tcPr>
            <w:tcW w:type="dxa" w:w="1944"/>
            <w:vAlign w:val="center"/>
            <w:tcMar>
              <w:top w:w="95" w:type="dxa"/>
              <w:start w:w="95" w:type="dxa"/>
              <w:bottom w:w="95" w:type="dxa"/>
              <w:end w:w="95" w:type="dxa"/>
            </w:tcMar>
          </w:tcPr>
          <w:p>
            <w:pPr>
              <w:spacing w:after="0"/>
            </w:pPr>
            <w:r>
              <w:rPr>
                <w:rFonts w:ascii="Aptos" w:hAnsi="Aptos"/>
                <w:sz w:val="14"/>
              </w:rPr>
              <w:t>Measurement / conversion</w:t>
            </w:r>
          </w:p>
        </w:tc>
        <w:tc>
          <w:tcPr>
            <w:tcW w:type="dxa" w:w="3528"/>
            <w:vAlign w:val="center"/>
            <w:tcMar>
              <w:top w:w="95" w:type="dxa"/>
              <w:start w:w="95" w:type="dxa"/>
              <w:bottom w:w="95" w:type="dxa"/>
              <w:end w:w="95" w:type="dxa"/>
            </w:tcMar>
          </w:tcPr>
          <w:p>
            <w:pPr>
              <w:spacing w:after="0"/>
            </w:pPr>
            <w:r>
              <w:rPr>
                <w:rFonts w:ascii="Aptos" w:hAnsi="Aptos"/>
                <w:sz w:val="14"/>
              </w:rPr>
              <w:t>Connect meaningful actions to CRM and business outcomes.</w:t>
            </w:r>
          </w:p>
        </w:tc>
        <w:tc>
          <w:tcPr>
            <w:tcW w:type="dxa" w:w="4320"/>
            <w:vAlign w:val="center"/>
            <w:tcMar>
              <w:top w:w="95" w:type="dxa"/>
              <w:start w:w="95" w:type="dxa"/>
              <w:bottom w:w="95" w:type="dxa"/>
              <w:end w:w="95" w:type="dxa"/>
            </w:tcMar>
          </w:tcPr>
          <w:p>
            <w:pPr>
              <w:spacing w:after="0"/>
            </w:pPr>
            <w:r>
              <w:rPr>
                <w:rFonts w:ascii="Aptos" w:hAnsi="Aptos"/>
                <w:sz w:val="14"/>
              </w:rPr>
              <w:t>Consultation forms, guarantee applications, seminar registration, assessments</w:t>
            </w:r>
          </w:p>
        </w:tc>
      </w:tr>
    </w:tbl>
    <w:p>
      <w:pPr>
        <w:spacing w:after="20"/>
      </w:pPr>
    </w:p>
    <w:p>
      <w:pPr>
        <w:pStyle w:val="Heading1"/>
      </w:pPr>
      <w:r>
        <w:t>7. Standard Page Requirement Block</w:t>
      </w:r>
    </w:p>
    <w:p>
      <w:pPr>
        <w:spacing w:after="100"/>
      </w:pPr>
      <w:r>
        <w:t>Every material page should carry the following requirement block into copy, design, development, and QA.</w:t>
      </w:r>
    </w:p>
    <w:tbl>
      <w:tblPr>
        <w:tblStyle w:val="TableGrid"/>
        <w:tblW w:type="auto" w:w="0"/>
        <w:jc w:val="center"/>
        <w:tblLook w:firstColumn="1" w:firstRow="1" w:lastColumn="0" w:lastRow="0" w:noHBand="0" w:noVBand="1" w:val="04A0"/>
      </w:tblPr>
      <w:tblGrid>
        <w:gridCol w:w="5184"/>
        <w:gridCol w:w="5184"/>
      </w:tblGrid>
      <w:tr>
        <w:tc>
          <w:tcPr>
            <w:tcW w:type="dxa" w:w="2448"/>
            <w:shd w:fill="173B56"/>
            <w:vAlign w:val="center"/>
            <w:tcMar>
              <w:top w:w="100" w:type="dxa"/>
              <w:start w:w="100" w:type="dxa"/>
              <w:bottom w:w="100" w:type="dxa"/>
              <w:end w:w="100" w:type="dxa"/>
            </w:tcMar>
          </w:tcPr>
          <w:p>
            <w:r>
              <w:rPr>
                <w:b/>
                <w:color w:val="FFFFFF"/>
                <w:sz w:val="15"/>
              </w:rPr>
              <w:t>Field</w:t>
            </w:r>
          </w:p>
        </w:tc>
        <w:tc>
          <w:tcPr>
            <w:tcW w:type="dxa" w:w="7344"/>
            <w:shd w:fill="173B56"/>
            <w:vAlign w:val="center"/>
            <w:tcMar>
              <w:top w:w="100" w:type="dxa"/>
              <w:start w:w="100" w:type="dxa"/>
              <w:bottom w:w="100" w:type="dxa"/>
              <w:end w:w="100" w:type="dxa"/>
            </w:tcMar>
          </w:tcPr>
          <w:p>
            <w:r>
              <w:rPr>
                <w:b/>
                <w:color w:val="FFFFFF"/>
                <w:sz w:val="15"/>
              </w:rPr>
              <w:t>Requirement</w:t>
            </w:r>
          </w:p>
        </w:tc>
      </w:tr>
      <w:tr>
        <w:tc>
          <w:tcPr>
            <w:tcW w:type="dxa" w:w="2448"/>
            <w:vAlign w:val="center"/>
            <w:tcMar>
              <w:top w:w="95" w:type="dxa"/>
              <w:start w:w="95" w:type="dxa"/>
              <w:bottom w:w="95" w:type="dxa"/>
              <w:end w:w="95" w:type="dxa"/>
            </w:tcMar>
          </w:tcPr>
          <w:p>
            <w:pPr>
              <w:spacing w:after="0"/>
            </w:pPr>
            <w:r>
              <w:rPr>
                <w:rFonts w:ascii="Aptos" w:hAnsi="Aptos"/>
                <w:sz w:val="15"/>
              </w:rPr>
              <w:t>Page</w:t>
            </w:r>
          </w:p>
        </w:tc>
        <w:tc>
          <w:tcPr>
            <w:tcW w:type="dxa" w:w="7344"/>
            <w:vAlign w:val="center"/>
            <w:tcMar>
              <w:top w:w="95" w:type="dxa"/>
              <w:start w:w="95" w:type="dxa"/>
              <w:bottom w:w="95" w:type="dxa"/>
              <w:end w:w="95" w:type="dxa"/>
            </w:tcMar>
          </w:tcPr>
          <w:p>
            <w:pPr>
              <w:spacing w:after="0"/>
            </w:pPr>
            <w:r>
              <w:rPr>
                <w:rFonts w:ascii="Aptos" w:hAnsi="Aptos"/>
                <w:sz w:val="15"/>
              </w:rPr>
              <w:t>Canonical page / template name</w:t>
            </w:r>
          </w:p>
        </w:tc>
      </w:tr>
      <w:tr>
        <w:tc>
          <w:tcPr>
            <w:tcW w:type="dxa" w:w="2448"/>
            <w:vAlign w:val="center"/>
            <w:tcMar>
              <w:top w:w="95" w:type="dxa"/>
              <w:start w:w="95" w:type="dxa"/>
              <w:bottom w:w="95" w:type="dxa"/>
              <w:end w:w="95" w:type="dxa"/>
            </w:tcMar>
          </w:tcPr>
          <w:p>
            <w:pPr>
              <w:spacing w:after="0"/>
            </w:pPr>
            <w:r>
              <w:rPr>
                <w:rFonts w:ascii="Aptos" w:hAnsi="Aptos"/>
                <w:sz w:val="15"/>
              </w:rPr>
              <w:t>Strategic purpose</w:t>
            </w:r>
          </w:p>
        </w:tc>
        <w:tc>
          <w:tcPr>
            <w:tcW w:type="dxa" w:w="7344"/>
            <w:vAlign w:val="center"/>
            <w:tcMar>
              <w:top w:w="95" w:type="dxa"/>
              <w:start w:w="95" w:type="dxa"/>
              <w:bottom w:w="95" w:type="dxa"/>
              <w:end w:w="95" w:type="dxa"/>
            </w:tcMar>
          </w:tcPr>
          <w:p>
            <w:pPr>
              <w:spacing w:after="0"/>
            </w:pPr>
            <w:r>
              <w:rPr>
                <w:rFonts w:ascii="Aptos" w:hAnsi="Aptos"/>
                <w:sz w:val="15"/>
              </w:rPr>
              <w:t>Why this page exists</w:t>
            </w:r>
          </w:p>
        </w:tc>
      </w:tr>
      <w:tr>
        <w:tc>
          <w:tcPr>
            <w:tcW w:type="dxa" w:w="2448"/>
            <w:vAlign w:val="center"/>
            <w:tcMar>
              <w:top w:w="95" w:type="dxa"/>
              <w:start w:w="95" w:type="dxa"/>
              <w:bottom w:w="95" w:type="dxa"/>
              <w:end w:w="95" w:type="dxa"/>
            </w:tcMar>
          </w:tcPr>
          <w:p>
            <w:pPr>
              <w:spacing w:after="0"/>
            </w:pPr>
            <w:r>
              <w:rPr>
                <w:rFonts w:ascii="Aptos" w:hAnsi="Aptos"/>
                <w:sz w:val="15"/>
              </w:rPr>
              <w:t>Primary audience</w:t>
            </w:r>
          </w:p>
        </w:tc>
        <w:tc>
          <w:tcPr>
            <w:tcW w:type="dxa" w:w="7344"/>
            <w:vAlign w:val="center"/>
            <w:tcMar>
              <w:top w:w="95" w:type="dxa"/>
              <w:start w:w="95" w:type="dxa"/>
              <w:bottom w:w="95" w:type="dxa"/>
              <w:end w:w="95" w:type="dxa"/>
            </w:tcMar>
          </w:tcPr>
          <w:p>
            <w:pPr>
              <w:spacing w:after="0"/>
            </w:pPr>
            <w:r>
              <w:rPr>
                <w:rFonts w:ascii="Aptos" w:hAnsi="Aptos"/>
                <w:sz w:val="15"/>
              </w:rPr>
              <w:t>Who it serves first</w:t>
            </w:r>
          </w:p>
        </w:tc>
      </w:tr>
      <w:tr>
        <w:tc>
          <w:tcPr>
            <w:tcW w:type="dxa" w:w="2448"/>
            <w:vAlign w:val="center"/>
            <w:tcMar>
              <w:top w:w="95" w:type="dxa"/>
              <w:start w:w="95" w:type="dxa"/>
              <w:bottom w:w="95" w:type="dxa"/>
              <w:end w:w="95" w:type="dxa"/>
            </w:tcMar>
          </w:tcPr>
          <w:p>
            <w:pPr>
              <w:spacing w:after="0"/>
            </w:pPr>
            <w:r>
              <w:rPr>
                <w:rFonts w:ascii="Aptos" w:hAnsi="Aptos"/>
                <w:sz w:val="15"/>
              </w:rPr>
              <w:t>Primary buyer intent</w:t>
            </w:r>
          </w:p>
        </w:tc>
        <w:tc>
          <w:tcPr>
            <w:tcW w:type="dxa" w:w="7344"/>
            <w:vAlign w:val="center"/>
            <w:tcMar>
              <w:top w:w="95" w:type="dxa"/>
              <w:start w:w="95" w:type="dxa"/>
              <w:bottom w:w="95" w:type="dxa"/>
              <w:end w:w="95" w:type="dxa"/>
            </w:tcMar>
          </w:tcPr>
          <w:p>
            <w:pPr>
              <w:spacing w:after="0"/>
            </w:pPr>
            <w:r>
              <w:rPr>
                <w:rFonts w:ascii="Aptos" w:hAnsi="Aptos"/>
                <w:sz w:val="15"/>
              </w:rPr>
              <w:t>Primary intent level this page is designed to support</w:t>
            </w:r>
          </w:p>
        </w:tc>
      </w:tr>
      <w:tr>
        <w:tc>
          <w:tcPr>
            <w:tcW w:type="dxa" w:w="2448"/>
            <w:vAlign w:val="center"/>
            <w:tcMar>
              <w:top w:w="95" w:type="dxa"/>
              <w:start w:w="95" w:type="dxa"/>
              <w:bottom w:w="95" w:type="dxa"/>
              <w:end w:w="95" w:type="dxa"/>
            </w:tcMar>
          </w:tcPr>
          <w:p>
            <w:pPr>
              <w:spacing w:after="0"/>
            </w:pPr>
            <w:r>
              <w:rPr>
                <w:rFonts w:ascii="Aptos" w:hAnsi="Aptos"/>
                <w:sz w:val="15"/>
              </w:rPr>
              <w:t>Secondary buyer intent</w:t>
            </w:r>
          </w:p>
        </w:tc>
        <w:tc>
          <w:tcPr>
            <w:tcW w:type="dxa" w:w="7344"/>
            <w:vAlign w:val="center"/>
            <w:tcMar>
              <w:top w:w="95" w:type="dxa"/>
              <w:start w:w="95" w:type="dxa"/>
              <w:bottom w:w="95" w:type="dxa"/>
              <w:end w:w="95" w:type="dxa"/>
            </w:tcMar>
          </w:tcPr>
          <w:p>
            <w:pPr>
              <w:spacing w:after="0"/>
            </w:pPr>
            <w:r>
              <w:rPr>
                <w:rFonts w:ascii="Aptos" w:hAnsi="Aptos"/>
                <w:sz w:val="15"/>
              </w:rPr>
              <w:t>Adjacent intent level(s) the page may support, where applicable</w:t>
            </w:r>
          </w:p>
        </w:tc>
      </w:tr>
      <w:tr>
        <w:tc>
          <w:tcPr>
            <w:tcW w:type="dxa" w:w="2448"/>
            <w:vAlign w:val="center"/>
            <w:tcMar>
              <w:top w:w="95" w:type="dxa"/>
              <w:start w:w="95" w:type="dxa"/>
              <w:bottom w:w="95" w:type="dxa"/>
              <w:end w:w="95" w:type="dxa"/>
            </w:tcMar>
          </w:tcPr>
          <w:p>
            <w:pPr>
              <w:spacing w:after="0"/>
            </w:pPr>
            <w:r>
              <w:rPr>
                <w:rFonts w:ascii="Aptos" w:hAnsi="Aptos"/>
                <w:sz w:val="15"/>
              </w:rPr>
              <w:t>Buyer question</w:t>
            </w:r>
          </w:p>
        </w:tc>
        <w:tc>
          <w:tcPr>
            <w:tcW w:type="dxa" w:w="7344"/>
            <w:vAlign w:val="center"/>
            <w:tcMar>
              <w:top w:w="95" w:type="dxa"/>
              <w:start w:w="95" w:type="dxa"/>
              <w:bottom w:w="95" w:type="dxa"/>
              <w:end w:w="95" w:type="dxa"/>
            </w:tcMar>
          </w:tcPr>
          <w:p>
            <w:pPr>
              <w:spacing w:after="0"/>
            </w:pPr>
            <w:r>
              <w:rPr>
                <w:rFonts w:ascii="Aptos" w:hAnsi="Aptos"/>
                <w:sz w:val="15"/>
              </w:rPr>
              <w:t>What the visitor is trying to understand or decide at this stage</w:t>
            </w:r>
          </w:p>
        </w:tc>
      </w:tr>
      <w:tr>
        <w:tc>
          <w:tcPr>
            <w:tcW w:type="dxa" w:w="2448"/>
            <w:vAlign w:val="center"/>
            <w:tcMar>
              <w:top w:w="95" w:type="dxa"/>
              <w:start w:w="95" w:type="dxa"/>
              <w:bottom w:w="95" w:type="dxa"/>
              <w:end w:w="95" w:type="dxa"/>
            </w:tcMar>
          </w:tcPr>
          <w:p>
            <w:pPr>
              <w:spacing w:after="0"/>
            </w:pPr>
            <w:r>
              <w:rPr>
                <w:rFonts w:ascii="Aptos" w:hAnsi="Aptos"/>
                <w:sz w:val="15"/>
              </w:rPr>
              <w:t>Key message</w:t>
            </w:r>
          </w:p>
        </w:tc>
        <w:tc>
          <w:tcPr>
            <w:tcW w:type="dxa" w:w="7344"/>
            <w:vAlign w:val="center"/>
            <w:tcMar>
              <w:top w:w="95" w:type="dxa"/>
              <w:start w:w="95" w:type="dxa"/>
              <w:bottom w:w="95" w:type="dxa"/>
              <w:end w:w="95" w:type="dxa"/>
            </w:tcMar>
          </w:tcPr>
          <w:p>
            <w:pPr>
              <w:spacing w:after="0"/>
            </w:pPr>
            <w:r>
              <w:rPr>
                <w:rFonts w:ascii="Aptos" w:hAnsi="Aptos"/>
                <w:sz w:val="15"/>
              </w:rPr>
              <w:t>Approved message the page must communicate</w:t>
            </w:r>
          </w:p>
        </w:tc>
      </w:tr>
      <w:tr>
        <w:tc>
          <w:tcPr>
            <w:tcW w:type="dxa" w:w="2448"/>
            <w:vAlign w:val="center"/>
            <w:tcMar>
              <w:top w:w="95" w:type="dxa"/>
              <w:start w:w="95" w:type="dxa"/>
              <w:bottom w:w="95" w:type="dxa"/>
              <w:end w:w="95" w:type="dxa"/>
            </w:tcMar>
          </w:tcPr>
          <w:p>
            <w:pPr>
              <w:spacing w:after="0"/>
            </w:pPr>
            <w:r>
              <w:rPr>
                <w:rFonts w:ascii="Aptos" w:hAnsi="Aptos"/>
                <w:sz w:val="15"/>
              </w:rPr>
              <w:t>Required proof</w:t>
            </w:r>
          </w:p>
        </w:tc>
        <w:tc>
          <w:tcPr>
            <w:tcW w:type="dxa" w:w="7344"/>
            <w:vAlign w:val="center"/>
            <w:tcMar>
              <w:top w:w="95" w:type="dxa"/>
              <w:start w:w="95" w:type="dxa"/>
              <w:bottom w:w="95" w:type="dxa"/>
              <w:end w:w="95" w:type="dxa"/>
            </w:tcMar>
          </w:tcPr>
          <w:p>
            <w:pPr>
              <w:spacing w:after="0"/>
            </w:pPr>
            <w:r>
              <w:rPr>
                <w:rFonts w:ascii="Aptos" w:hAnsi="Aptos"/>
                <w:sz w:val="15"/>
              </w:rPr>
              <w:t>Evidence needed to make the message credible</w:t>
            </w:r>
          </w:p>
        </w:tc>
      </w:tr>
      <w:tr>
        <w:tc>
          <w:tcPr>
            <w:tcW w:type="dxa" w:w="2448"/>
            <w:vAlign w:val="center"/>
            <w:tcMar>
              <w:top w:w="95" w:type="dxa"/>
              <w:start w:w="95" w:type="dxa"/>
              <w:bottom w:w="95" w:type="dxa"/>
              <w:end w:w="95" w:type="dxa"/>
            </w:tcMar>
          </w:tcPr>
          <w:p>
            <w:pPr>
              <w:spacing w:after="0"/>
            </w:pPr>
            <w:r>
              <w:rPr>
                <w:rFonts w:ascii="Aptos" w:hAnsi="Aptos"/>
                <w:sz w:val="15"/>
              </w:rPr>
              <w:t>Primary CTA</w:t>
            </w:r>
          </w:p>
        </w:tc>
        <w:tc>
          <w:tcPr>
            <w:tcW w:type="dxa" w:w="7344"/>
            <w:vAlign w:val="center"/>
            <w:tcMar>
              <w:top w:w="95" w:type="dxa"/>
              <w:start w:w="95" w:type="dxa"/>
              <w:bottom w:w="95" w:type="dxa"/>
              <w:end w:w="95" w:type="dxa"/>
            </w:tcMar>
          </w:tcPr>
          <w:p>
            <w:pPr>
              <w:spacing w:after="0"/>
            </w:pPr>
            <w:r>
              <w:rPr>
                <w:rFonts w:ascii="Aptos" w:hAnsi="Aptos"/>
                <w:sz w:val="15"/>
              </w:rPr>
              <w:t>Main next action</w:t>
            </w:r>
          </w:p>
        </w:tc>
      </w:tr>
      <w:tr>
        <w:tc>
          <w:tcPr>
            <w:tcW w:type="dxa" w:w="2448"/>
            <w:vAlign w:val="center"/>
            <w:tcMar>
              <w:top w:w="95" w:type="dxa"/>
              <w:start w:w="95" w:type="dxa"/>
              <w:bottom w:w="95" w:type="dxa"/>
              <w:end w:w="95" w:type="dxa"/>
            </w:tcMar>
          </w:tcPr>
          <w:p>
            <w:pPr>
              <w:spacing w:after="0"/>
            </w:pPr>
            <w:r>
              <w:rPr>
                <w:rFonts w:ascii="Aptos" w:hAnsi="Aptos"/>
                <w:sz w:val="15"/>
              </w:rPr>
              <w:t>Secondary CTA</w:t>
            </w:r>
          </w:p>
        </w:tc>
        <w:tc>
          <w:tcPr>
            <w:tcW w:type="dxa" w:w="7344"/>
            <w:vAlign w:val="center"/>
            <w:tcMar>
              <w:top w:w="95" w:type="dxa"/>
              <w:start w:w="95" w:type="dxa"/>
              <w:bottom w:w="95" w:type="dxa"/>
              <w:end w:w="95" w:type="dxa"/>
            </w:tcMar>
          </w:tcPr>
          <w:p>
            <w:pPr>
              <w:spacing w:after="0"/>
            </w:pPr>
            <w:r>
              <w:rPr>
                <w:rFonts w:ascii="Aptos" w:hAnsi="Aptos"/>
                <w:sz w:val="15"/>
              </w:rPr>
              <w:t>Optional lower-friction next step</w:t>
            </w:r>
          </w:p>
        </w:tc>
      </w:tr>
      <w:tr>
        <w:tc>
          <w:tcPr>
            <w:tcW w:type="dxa" w:w="2448"/>
            <w:vAlign w:val="center"/>
            <w:tcMar>
              <w:top w:w="95" w:type="dxa"/>
              <w:start w:w="95" w:type="dxa"/>
              <w:bottom w:w="95" w:type="dxa"/>
              <w:end w:w="95" w:type="dxa"/>
            </w:tcMar>
          </w:tcPr>
          <w:p>
            <w:pPr>
              <w:spacing w:after="0"/>
            </w:pPr>
            <w:r>
              <w:rPr>
                <w:rFonts w:ascii="Aptos" w:hAnsi="Aptos"/>
                <w:sz w:val="15"/>
              </w:rPr>
              <w:t>Required sections</w:t>
            </w:r>
          </w:p>
        </w:tc>
        <w:tc>
          <w:tcPr>
            <w:tcW w:type="dxa" w:w="7344"/>
            <w:vAlign w:val="center"/>
            <w:tcMar>
              <w:top w:w="95" w:type="dxa"/>
              <w:start w:w="95" w:type="dxa"/>
              <w:bottom w:w="95" w:type="dxa"/>
              <w:end w:w="95" w:type="dxa"/>
            </w:tcMar>
          </w:tcPr>
          <w:p>
            <w:pPr>
              <w:spacing w:after="0"/>
            </w:pPr>
            <w:r>
              <w:rPr>
                <w:rFonts w:ascii="Aptos" w:hAnsi="Aptos"/>
                <w:sz w:val="15"/>
              </w:rPr>
              <w:t>What content / functionality must exist</w:t>
            </w:r>
          </w:p>
        </w:tc>
      </w:tr>
      <w:tr>
        <w:tc>
          <w:tcPr>
            <w:tcW w:type="dxa" w:w="2448"/>
            <w:vAlign w:val="center"/>
            <w:tcMar>
              <w:top w:w="95" w:type="dxa"/>
              <w:start w:w="95" w:type="dxa"/>
              <w:bottom w:w="95" w:type="dxa"/>
              <w:end w:w="95" w:type="dxa"/>
            </w:tcMar>
          </w:tcPr>
          <w:p>
            <w:pPr>
              <w:spacing w:after="0"/>
            </w:pPr>
            <w:r>
              <w:rPr>
                <w:rFonts w:ascii="Aptos" w:hAnsi="Aptos"/>
                <w:sz w:val="15"/>
              </w:rPr>
              <w:t>Discoverability</w:t>
            </w:r>
          </w:p>
        </w:tc>
        <w:tc>
          <w:tcPr>
            <w:tcW w:type="dxa" w:w="7344"/>
            <w:vAlign w:val="center"/>
            <w:tcMar>
              <w:top w:w="95" w:type="dxa"/>
              <w:start w:w="95" w:type="dxa"/>
              <w:bottom w:w="95" w:type="dxa"/>
              <w:end w:w="95" w:type="dxa"/>
            </w:tcMar>
          </w:tcPr>
          <w:p>
            <w:pPr>
              <w:spacing w:after="0"/>
            </w:pPr>
            <w:r>
              <w:rPr>
                <w:rFonts w:ascii="Aptos" w:hAnsi="Aptos"/>
                <w:sz w:val="15"/>
              </w:rPr>
              <w:t>Search / AI-research intent and content requirements</w:t>
            </w:r>
          </w:p>
        </w:tc>
      </w:tr>
      <w:tr>
        <w:tc>
          <w:tcPr>
            <w:tcW w:type="dxa" w:w="2448"/>
            <w:vAlign w:val="center"/>
            <w:tcMar>
              <w:top w:w="95" w:type="dxa"/>
              <w:start w:w="95" w:type="dxa"/>
              <w:bottom w:w="95" w:type="dxa"/>
              <w:end w:w="95" w:type="dxa"/>
            </w:tcMar>
          </w:tcPr>
          <w:p>
            <w:pPr>
              <w:spacing w:after="0"/>
            </w:pPr>
            <w:r>
              <w:rPr>
                <w:rFonts w:ascii="Aptos" w:hAnsi="Aptos"/>
                <w:sz w:val="15"/>
              </w:rPr>
              <w:t>Measurement</w:t>
            </w:r>
          </w:p>
        </w:tc>
        <w:tc>
          <w:tcPr>
            <w:tcW w:type="dxa" w:w="7344"/>
            <w:vAlign w:val="center"/>
            <w:tcMar>
              <w:top w:w="95" w:type="dxa"/>
              <w:start w:w="95" w:type="dxa"/>
              <w:bottom w:w="95" w:type="dxa"/>
              <w:end w:w="95" w:type="dxa"/>
            </w:tcMar>
          </w:tcPr>
          <w:p>
            <w:pPr>
              <w:spacing w:after="0"/>
            </w:pPr>
            <w:r>
              <w:rPr>
                <w:rFonts w:ascii="Aptos" w:hAnsi="Aptos"/>
                <w:sz w:val="15"/>
              </w:rPr>
              <w:t>Meaningful page events / conversions</w:t>
            </w:r>
          </w:p>
        </w:tc>
      </w:tr>
      <w:tr>
        <w:tc>
          <w:tcPr>
            <w:tcW w:type="dxa" w:w="2448"/>
            <w:vAlign w:val="center"/>
            <w:tcMar>
              <w:top w:w="95" w:type="dxa"/>
              <w:start w:w="95" w:type="dxa"/>
              <w:bottom w:w="95" w:type="dxa"/>
              <w:end w:w="95" w:type="dxa"/>
            </w:tcMar>
          </w:tcPr>
          <w:p>
            <w:pPr>
              <w:spacing w:after="0"/>
            </w:pPr>
            <w:r>
              <w:rPr>
                <w:rFonts w:ascii="Aptos" w:hAnsi="Aptos"/>
                <w:sz w:val="15"/>
              </w:rPr>
              <w:t>Dependencies</w:t>
            </w:r>
          </w:p>
        </w:tc>
        <w:tc>
          <w:tcPr>
            <w:tcW w:type="dxa" w:w="7344"/>
            <w:vAlign w:val="center"/>
            <w:tcMar>
              <w:top w:w="95" w:type="dxa"/>
              <w:start w:w="95" w:type="dxa"/>
              <w:bottom w:w="95" w:type="dxa"/>
              <w:end w:w="95" w:type="dxa"/>
            </w:tcMar>
          </w:tcPr>
          <w:p>
            <w:pPr>
              <w:spacing w:after="0"/>
            </w:pPr>
            <w:r>
              <w:rPr>
                <w:rFonts w:ascii="Aptos" w:hAnsi="Aptos"/>
                <w:sz w:val="15"/>
              </w:rPr>
              <w:t>Messaging, proof, CRM, functionality, taxonomy, content, etc.</w:t>
            </w:r>
          </w:p>
        </w:tc>
      </w:tr>
      <w:tr>
        <w:tc>
          <w:tcPr>
            <w:tcW w:type="dxa" w:w="2448"/>
            <w:vAlign w:val="center"/>
            <w:tcMar>
              <w:top w:w="95" w:type="dxa"/>
              <w:start w:w="95" w:type="dxa"/>
              <w:bottom w:w="95" w:type="dxa"/>
              <w:end w:w="95" w:type="dxa"/>
            </w:tcMar>
          </w:tcPr>
          <w:p>
            <w:pPr>
              <w:spacing w:after="0"/>
            </w:pPr>
            <w:r>
              <w:rPr>
                <w:rFonts w:ascii="Aptos" w:hAnsi="Aptos"/>
                <w:sz w:val="15"/>
              </w:rPr>
              <w:t>Claim restrictions</w:t>
            </w:r>
          </w:p>
        </w:tc>
        <w:tc>
          <w:tcPr>
            <w:tcW w:type="dxa" w:w="7344"/>
            <w:vAlign w:val="center"/>
            <w:tcMar>
              <w:top w:w="95" w:type="dxa"/>
              <w:start w:w="95" w:type="dxa"/>
              <w:bottom w:w="95" w:type="dxa"/>
              <w:end w:w="95" w:type="dxa"/>
            </w:tcMar>
          </w:tcPr>
          <w:p>
            <w:pPr>
              <w:spacing w:after="0"/>
            </w:pPr>
            <w:r>
              <w:rPr>
                <w:rFonts w:ascii="Aptos" w:hAnsi="Aptos"/>
                <w:sz w:val="15"/>
              </w:rPr>
              <w:t>Any claims requiring source or client approval</w:t>
            </w:r>
          </w:p>
        </w:tc>
      </w:tr>
      <w:tr>
        <w:tc>
          <w:tcPr>
            <w:tcW w:type="dxa" w:w="2448"/>
            <w:vAlign w:val="center"/>
            <w:tcMar>
              <w:top w:w="95" w:type="dxa"/>
              <w:start w:w="95" w:type="dxa"/>
              <w:bottom w:w="95" w:type="dxa"/>
              <w:end w:w="95" w:type="dxa"/>
            </w:tcMar>
          </w:tcPr>
          <w:p>
            <w:pPr>
              <w:spacing w:after="0"/>
            </w:pPr>
            <w:r>
              <w:rPr>
                <w:rFonts w:ascii="Aptos" w:hAnsi="Aptos"/>
                <w:sz w:val="15"/>
              </w:rPr>
              <w:t>Open decisions</w:t>
            </w:r>
          </w:p>
        </w:tc>
        <w:tc>
          <w:tcPr>
            <w:tcW w:type="dxa" w:w="7344"/>
            <w:vAlign w:val="center"/>
            <w:tcMar>
              <w:top w:w="95" w:type="dxa"/>
              <w:start w:w="95" w:type="dxa"/>
              <w:bottom w:w="95" w:type="dxa"/>
              <w:end w:w="95" w:type="dxa"/>
            </w:tcMar>
          </w:tcPr>
          <w:p>
            <w:pPr>
              <w:spacing w:after="0"/>
            </w:pPr>
            <w:r>
              <w:rPr>
                <w:rFonts w:ascii="Aptos" w:hAnsi="Aptos"/>
                <w:sz w:val="15"/>
              </w:rPr>
              <w:t>Unresolved choices that must remain visible</w:t>
            </w:r>
          </w:p>
        </w:tc>
      </w:tr>
      <w:tr>
        <w:tc>
          <w:tcPr>
            <w:tcW w:type="dxa" w:w="2448"/>
            <w:vAlign w:val="center"/>
            <w:tcMar>
              <w:top w:w="95" w:type="dxa"/>
              <w:start w:w="95" w:type="dxa"/>
              <w:bottom w:w="95" w:type="dxa"/>
              <w:end w:w="95" w:type="dxa"/>
            </w:tcMar>
          </w:tcPr>
          <w:p>
            <w:pPr>
              <w:spacing w:after="0"/>
            </w:pPr>
            <w:r>
              <w:rPr>
                <w:rFonts w:ascii="Aptos" w:hAnsi="Aptos"/>
                <w:sz w:val="15"/>
              </w:rPr>
              <w:t>Client approver</w:t>
            </w:r>
          </w:p>
        </w:tc>
        <w:tc>
          <w:tcPr>
            <w:tcW w:type="dxa" w:w="7344"/>
            <w:vAlign w:val="center"/>
            <w:tcMar>
              <w:top w:w="95" w:type="dxa"/>
              <w:start w:w="95" w:type="dxa"/>
              <w:bottom w:w="95" w:type="dxa"/>
              <w:end w:w="95" w:type="dxa"/>
            </w:tcMar>
          </w:tcPr>
          <w:p>
            <w:pPr>
              <w:spacing w:after="0"/>
            </w:pPr>
            <w:r>
              <w:rPr>
                <w:rFonts w:ascii="Aptos" w:hAnsi="Aptos"/>
                <w:sz w:val="15"/>
              </w:rPr>
              <w:t>Who approves the page</w:t>
            </w:r>
          </w:p>
        </w:tc>
      </w:tr>
    </w:tbl>
    <w:p>
      <w:pPr>
        <w:spacing w:after="20"/>
      </w:pPr>
    </w:p>
    <w:p>
      <w:pPr>
        <w:pStyle w:val="Callout"/>
        <w:spacing w:after="100"/>
      </w:pPr>
      <w:r>
        <w:t>BUYER_INTENT → PAGE_JOB → CONTENT_DEPTH → PROOF_NEED → CTA</w:t>
      </w:r>
    </w:p>
    <w:p>
      <w:pPr>
        <w:pStyle w:val="Heading2"/>
      </w:pPr>
      <w:r>
        <w:t>Buyer Intent Application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800"/>
            <w:shd w:fill="173B56"/>
            <w:vAlign w:val="center"/>
            <w:tcMar>
              <w:top w:w="100" w:type="dxa"/>
              <w:start w:w="100" w:type="dxa"/>
              <w:bottom w:w="100" w:type="dxa"/>
              <w:end w:w="100" w:type="dxa"/>
            </w:tcMar>
          </w:tcPr>
          <w:p>
            <w:r>
              <w:rPr>
                <w:b/>
                <w:color w:val="FFFFFF"/>
                <w:sz w:val="13"/>
              </w:rPr>
              <w:t>Page</w:t>
            </w:r>
          </w:p>
        </w:tc>
        <w:tc>
          <w:tcPr>
            <w:tcW w:type="dxa" w:w="1800"/>
            <w:shd w:fill="173B56"/>
            <w:vAlign w:val="center"/>
            <w:tcMar>
              <w:top w:w="100" w:type="dxa"/>
              <w:start w:w="100" w:type="dxa"/>
              <w:bottom w:w="100" w:type="dxa"/>
              <w:end w:w="100" w:type="dxa"/>
            </w:tcMar>
          </w:tcPr>
          <w:p>
            <w:r>
              <w:rPr>
                <w:b/>
                <w:color w:val="FFFFFF"/>
                <w:sz w:val="13"/>
              </w:rPr>
              <w:t>Primary buyer intent</w:t>
            </w:r>
          </w:p>
        </w:tc>
        <w:tc>
          <w:tcPr>
            <w:tcW w:type="dxa" w:w="2016"/>
            <w:shd w:fill="173B56"/>
            <w:vAlign w:val="center"/>
            <w:tcMar>
              <w:top w:w="100" w:type="dxa"/>
              <w:start w:w="100" w:type="dxa"/>
              <w:bottom w:w="100" w:type="dxa"/>
              <w:end w:w="100" w:type="dxa"/>
            </w:tcMar>
          </w:tcPr>
          <w:p>
            <w:r>
              <w:rPr>
                <w:b/>
                <w:color w:val="FFFFFF"/>
                <w:sz w:val="13"/>
              </w:rPr>
              <w:t>Secondary intent</w:t>
            </w:r>
          </w:p>
        </w:tc>
        <w:tc>
          <w:tcPr>
            <w:tcW w:type="dxa" w:w="3168"/>
            <w:shd w:fill="173B56"/>
            <w:vAlign w:val="center"/>
            <w:tcMar>
              <w:top w:w="100" w:type="dxa"/>
              <w:start w:w="100" w:type="dxa"/>
              <w:bottom w:w="100" w:type="dxa"/>
              <w:end w:w="100" w:type="dxa"/>
            </w:tcMar>
          </w:tcPr>
          <w:p>
            <w:r>
              <w:rPr>
                <w:b/>
                <w:color w:val="FFFFFF"/>
                <w:sz w:val="13"/>
              </w:rPr>
              <w:t>Primary job</w:t>
            </w:r>
          </w:p>
        </w:tc>
        <w:tc>
          <w:tcPr>
            <w:tcW w:type="dxa" w:w="2016"/>
            <w:shd w:fill="173B56"/>
            <w:vAlign w:val="center"/>
            <w:tcMar>
              <w:top w:w="100" w:type="dxa"/>
              <w:start w:w="100" w:type="dxa"/>
              <w:bottom w:w="100" w:type="dxa"/>
              <w:end w:w="100" w:type="dxa"/>
            </w:tcMar>
          </w:tcPr>
          <w:p>
            <w:r>
              <w:rPr>
                <w:b/>
                <w:color w:val="FFFFFF"/>
                <w:sz w:val="13"/>
              </w:rPr>
              <w:t>CTA logic</w:t>
            </w:r>
          </w:p>
        </w:tc>
      </w:tr>
      <w:tr>
        <w:tc>
          <w:tcPr>
            <w:tcW w:type="dxa" w:w="1800"/>
            <w:vAlign w:val="center"/>
            <w:tcMar>
              <w:top w:w="95" w:type="dxa"/>
              <w:start w:w="95" w:type="dxa"/>
              <w:bottom w:w="95" w:type="dxa"/>
              <w:end w:w="95" w:type="dxa"/>
            </w:tcMar>
          </w:tcPr>
          <w:p>
            <w:pPr>
              <w:spacing w:after="0"/>
            </w:pPr>
            <w:r>
              <w:rPr>
                <w:rFonts w:ascii="Aptos" w:hAnsi="Aptos"/>
                <w:sz w:val="13"/>
              </w:rPr>
              <w:t>Homepage</w:t>
            </w:r>
          </w:p>
        </w:tc>
        <w:tc>
          <w:tcPr>
            <w:tcW w:type="dxa" w:w="1800"/>
            <w:vAlign w:val="center"/>
            <w:tcMar>
              <w:top w:w="95" w:type="dxa"/>
              <w:start w:w="95" w:type="dxa"/>
              <w:bottom w:w="95" w:type="dxa"/>
              <w:end w:w="95" w:type="dxa"/>
            </w:tcMar>
          </w:tcPr>
          <w:p>
            <w:pPr>
              <w:spacing w:after="0"/>
            </w:pPr>
            <w:r>
              <w:rPr>
                <w:rFonts w:ascii="Aptos" w:hAnsi="Aptos"/>
                <w:sz w:val="13"/>
              </w:rPr>
              <w:t>Solution Aware</w:t>
            </w:r>
          </w:p>
        </w:tc>
        <w:tc>
          <w:tcPr>
            <w:tcW w:type="dxa" w:w="2016"/>
            <w:vAlign w:val="center"/>
            <w:tcMar>
              <w:top w:w="95" w:type="dxa"/>
              <w:start w:w="95" w:type="dxa"/>
              <w:bottom w:w="95" w:type="dxa"/>
              <w:end w:w="95" w:type="dxa"/>
            </w:tcMar>
          </w:tcPr>
          <w:p>
            <w:pPr>
              <w:spacing w:after="0"/>
            </w:pPr>
            <w:r>
              <w:rPr>
                <w:rFonts w:ascii="Aptos" w:hAnsi="Aptos"/>
                <w:sz w:val="13"/>
              </w:rPr>
              <w:t>Problem Aware / Product Aware</w:t>
            </w:r>
          </w:p>
        </w:tc>
        <w:tc>
          <w:tcPr>
            <w:tcW w:type="dxa" w:w="3168"/>
            <w:vAlign w:val="center"/>
            <w:tcMar>
              <w:top w:w="95" w:type="dxa"/>
              <w:start w:w="95" w:type="dxa"/>
              <w:bottom w:w="95" w:type="dxa"/>
              <w:end w:w="95" w:type="dxa"/>
            </w:tcMar>
          </w:tcPr>
          <w:p>
            <w:pPr>
              <w:spacing w:after="0"/>
            </w:pPr>
            <w:r>
              <w:rPr>
                <w:rFonts w:ascii="Aptos" w:hAnsi="Aptos"/>
                <w:sz w:val="13"/>
              </w:rPr>
              <w:t>Establish relevance, orient buyers, communicate the approach, and route to the appropriate journey.</w:t>
            </w:r>
          </w:p>
        </w:tc>
        <w:tc>
          <w:tcPr>
            <w:tcW w:type="dxa" w:w="2016"/>
            <w:vAlign w:val="center"/>
            <w:tcMar>
              <w:top w:w="95" w:type="dxa"/>
              <w:start w:w="95" w:type="dxa"/>
              <w:bottom w:w="95" w:type="dxa"/>
              <w:end w:w="95" w:type="dxa"/>
            </w:tcMar>
          </w:tcPr>
          <w:p>
            <w:pPr>
              <w:spacing w:after="0"/>
            </w:pPr>
            <w:r>
              <w:rPr>
                <w:rFonts w:ascii="Aptos" w:hAnsi="Aptos"/>
                <w:sz w:val="13"/>
              </w:rPr>
              <w:t>Offer next steps based on readiness rather than forcing consultation.</w:t>
            </w:r>
          </w:p>
        </w:tc>
      </w:tr>
      <w:tr>
        <w:tc>
          <w:tcPr>
            <w:tcW w:type="dxa" w:w="1800"/>
            <w:vAlign w:val="center"/>
            <w:tcMar>
              <w:top w:w="95" w:type="dxa"/>
              <w:start w:w="95" w:type="dxa"/>
              <w:bottom w:w="95" w:type="dxa"/>
              <w:end w:w="95" w:type="dxa"/>
            </w:tcMar>
          </w:tcPr>
          <w:p>
            <w:pPr>
              <w:spacing w:after="0"/>
            </w:pPr>
            <w:r>
              <w:rPr>
                <w:rFonts w:ascii="Aptos" w:hAnsi="Aptos"/>
                <w:sz w:val="13"/>
              </w:rPr>
              <w:t>For My Team</w:t>
            </w:r>
          </w:p>
        </w:tc>
        <w:tc>
          <w:tcPr>
            <w:tcW w:type="dxa" w:w="1800"/>
            <w:vAlign w:val="center"/>
            <w:tcMar>
              <w:top w:w="95" w:type="dxa"/>
              <w:start w:w="95" w:type="dxa"/>
              <w:bottom w:w="95" w:type="dxa"/>
              <w:end w:w="95" w:type="dxa"/>
            </w:tcMar>
          </w:tcPr>
          <w:p>
            <w:pPr>
              <w:spacing w:after="0"/>
            </w:pPr>
            <w:r>
              <w:rPr>
                <w:rFonts w:ascii="Aptos" w:hAnsi="Aptos"/>
                <w:sz w:val="13"/>
              </w:rPr>
              <w:t>Product Aware</w:t>
            </w:r>
          </w:p>
        </w:tc>
        <w:tc>
          <w:tcPr>
            <w:tcW w:type="dxa" w:w="2016"/>
            <w:vAlign w:val="center"/>
            <w:tcMar>
              <w:top w:w="95" w:type="dxa"/>
              <w:start w:w="95" w:type="dxa"/>
              <w:bottom w:w="95" w:type="dxa"/>
              <w:end w:w="95" w:type="dxa"/>
            </w:tcMar>
          </w:tcPr>
          <w:p>
            <w:pPr>
              <w:spacing w:after="0"/>
            </w:pPr>
            <w:r>
              <w:rPr>
                <w:rFonts w:ascii="Aptos" w:hAnsi="Aptos"/>
                <w:sz w:val="13"/>
              </w:rPr>
              <w:t>Solution Aware</w:t>
            </w:r>
          </w:p>
        </w:tc>
        <w:tc>
          <w:tcPr>
            <w:tcW w:type="dxa" w:w="3168"/>
            <w:vAlign w:val="center"/>
            <w:tcMar>
              <w:top w:w="95" w:type="dxa"/>
              <w:start w:w="95" w:type="dxa"/>
              <w:bottom w:w="95" w:type="dxa"/>
              <w:end w:w="95" w:type="dxa"/>
            </w:tcMar>
          </w:tcPr>
          <w:p>
            <w:pPr>
              <w:spacing w:after="0"/>
            </w:pPr>
            <w:r>
              <w:rPr>
                <w:rFonts w:ascii="Aptos" w:hAnsi="Aptos"/>
                <w:sz w:val="13"/>
              </w:rPr>
              <w:t>Differentiate NuVue as an enterprise development partner and provide proof for evaluation.</w:t>
            </w:r>
          </w:p>
        </w:tc>
        <w:tc>
          <w:tcPr>
            <w:tcW w:type="dxa" w:w="2016"/>
            <w:vAlign w:val="center"/>
            <w:tcMar>
              <w:top w:w="95" w:type="dxa"/>
              <w:start w:w="95" w:type="dxa"/>
              <w:bottom w:w="95" w:type="dxa"/>
              <w:end w:w="95" w:type="dxa"/>
            </w:tcMar>
          </w:tcPr>
          <w:p>
            <w:pPr>
              <w:spacing w:after="0"/>
            </w:pPr>
            <w:r>
              <w:rPr>
                <w:rFonts w:ascii="Aptos" w:hAnsi="Aptos"/>
                <w:sz w:val="13"/>
              </w:rPr>
              <w:t>Request Consultation, with lower-friction exploration where appropriate.</w:t>
            </w:r>
          </w:p>
        </w:tc>
      </w:tr>
      <w:tr>
        <w:tc>
          <w:tcPr>
            <w:tcW w:type="dxa" w:w="1800"/>
            <w:vAlign w:val="center"/>
            <w:tcMar>
              <w:top w:w="95" w:type="dxa"/>
              <w:start w:w="95" w:type="dxa"/>
              <w:bottom w:w="95" w:type="dxa"/>
              <w:end w:w="95" w:type="dxa"/>
            </w:tcMar>
          </w:tcPr>
          <w:p>
            <w:pPr>
              <w:spacing w:after="0"/>
            </w:pPr>
            <w:r>
              <w:rPr>
                <w:rFonts w:ascii="Aptos" w:hAnsi="Aptos"/>
                <w:sz w:val="13"/>
              </w:rPr>
              <w:t>For Myself</w:t>
            </w:r>
          </w:p>
        </w:tc>
        <w:tc>
          <w:tcPr>
            <w:tcW w:type="dxa" w:w="1800"/>
            <w:vAlign w:val="center"/>
            <w:tcMar>
              <w:top w:w="95" w:type="dxa"/>
              <w:start w:w="95" w:type="dxa"/>
              <w:bottom w:w="95" w:type="dxa"/>
              <w:end w:w="95" w:type="dxa"/>
            </w:tcMar>
          </w:tcPr>
          <w:p>
            <w:pPr>
              <w:spacing w:after="0"/>
            </w:pPr>
            <w:r>
              <w:rPr>
                <w:rFonts w:ascii="Aptos" w:hAnsi="Aptos"/>
                <w:sz w:val="13"/>
              </w:rPr>
              <w:t>Product Aware / Most Aware</w:t>
            </w:r>
          </w:p>
        </w:tc>
        <w:tc>
          <w:tcPr>
            <w:tcW w:type="dxa" w:w="2016"/>
            <w:vAlign w:val="center"/>
            <w:tcMar>
              <w:top w:w="95" w:type="dxa"/>
              <w:start w:w="95" w:type="dxa"/>
              <w:bottom w:w="95" w:type="dxa"/>
              <w:end w:w="95" w:type="dxa"/>
            </w:tcMar>
          </w:tcPr>
          <w:p>
            <w:pPr>
              <w:spacing w:after="0"/>
            </w:pPr>
            <w:r>
              <w:rPr>
                <w:rFonts w:ascii="Aptos" w:hAnsi="Aptos"/>
                <w:sz w:val="13"/>
              </w:rPr>
              <w:t>Solution Aware</w:t>
            </w:r>
          </w:p>
        </w:tc>
        <w:tc>
          <w:tcPr>
            <w:tcW w:type="dxa" w:w="3168"/>
            <w:vAlign w:val="center"/>
            <w:tcMar>
              <w:top w:w="95" w:type="dxa"/>
              <w:start w:w="95" w:type="dxa"/>
              <w:bottom w:w="95" w:type="dxa"/>
              <w:end w:w="95" w:type="dxa"/>
            </w:tcMar>
          </w:tcPr>
          <w:p>
            <w:pPr>
              <w:spacing w:after="0"/>
            </w:pPr>
            <w:r>
              <w:rPr>
                <w:rFonts w:ascii="Aptos" w:hAnsi="Aptos"/>
                <w:sz w:val="13"/>
              </w:rPr>
              <w:t>Help an individual evaluate the appropriate program and move toward registration.</w:t>
            </w:r>
          </w:p>
        </w:tc>
        <w:tc>
          <w:tcPr>
            <w:tcW w:type="dxa" w:w="2016"/>
            <w:vAlign w:val="center"/>
            <w:tcMar>
              <w:top w:w="95" w:type="dxa"/>
              <w:start w:w="95" w:type="dxa"/>
              <w:bottom w:w="95" w:type="dxa"/>
              <w:end w:w="95" w:type="dxa"/>
            </w:tcMar>
          </w:tcPr>
          <w:p>
            <w:pPr>
              <w:spacing w:after="0"/>
            </w:pPr>
            <w:r>
              <w:rPr>
                <w:rFonts w:ascii="Aptos" w:hAnsi="Aptos"/>
                <w:sz w:val="13"/>
              </w:rPr>
              <w:t>Explore seminars / Register.</w:t>
            </w:r>
          </w:p>
        </w:tc>
      </w:tr>
      <w:tr>
        <w:tc>
          <w:tcPr>
            <w:tcW w:type="dxa" w:w="1800"/>
            <w:vAlign w:val="center"/>
            <w:tcMar>
              <w:top w:w="95" w:type="dxa"/>
              <w:start w:w="95" w:type="dxa"/>
              <w:bottom w:w="95" w:type="dxa"/>
              <w:end w:w="95" w:type="dxa"/>
            </w:tcMar>
          </w:tcPr>
          <w:p>
            <w:pPr>
              <w:spacing w:after="0"/>
            </w:pPr>
            <w:r>
              <w:rPr>
                <w:rFonts w:ascii="Aptos" w:hAnsi="Aptos"/>
                <w:sz w:val="13"/>
              </w:rPr>
              <w:t>Curriculum Overview</w:t>
            </w:r>
          </w:p>
        </w:tc>
        <w:tc>
          <w:tcPr>
            <w:tcW w:type="dxa" w:w="1800"/>
            <w:vAlign w:val="center"/>
            <w:tcMar>
              <w:top w:w="95" w:type="dxa"/>
              <w:start w:w="95" w:type="dxa"/>
              <w:bottom w:w="95" w:type="dxa"/>
              <w:end w:w="95" w:type="dxa"/>
            </w:tcMar>
          </w:tcPr>
          <w:p>
            <w:pPr>
              <w:spacing w:after="0"/>
            </w:pPr>
            <w:r>
              <w:rPr>
                <w:rFonts w:ascii="Aptos" w:hAnsi="Aptos"/>
                <w:sz w:val="13"/>
              </w:rPr>
              <w:t>Solution Aware</w:t>
            </w:r>
          </w:p>
        </w:tc>
        <w:tc>
          <w:tcPr>
            <w:tcW w:type="dxa" w:w="2016"/>
            <w:vAlign w:val="center"/>
            <w:tcMar>
              <w:top w:w="95" w:type="dxa"/>
              <w:start w:w="95" w:type="dxa"/>
              <w:bottom w:w="95" w:type="dxa"/>
              <w:end w:w="95" w:type="dxa"/>
            </w:tcMar>
          </w:tcPr>
          <w:p>
            <w:pPr>
              <w:spacing w:after="0"/>
            </w:pPr>
            <w:r>
              <w:rPr>
                <w:rFonts w:ascii="Aptos" w:hAnsi="Aptos"/>
                <w:sz w:val="13"/>
              </w:rPr>
              <w:t>Product Aware</w:t>
            </w:r>
          </w:p>
        </w:tc>
        <w:tc>
          <w:tcPr>
            <w:tcW w:type="dxa" w:w="3168"/>
            <w:vAlign w:val="center"/>
            <w:tcMar>
              <w:top w:w="95" w:type="dxa"/>
              <w:start w:w="95" w:type="dxa"/>
              <w:bottom w:w="95" w:type="dxa"/>
              <w:end w:w="95" w:type="dxa"/>
            </w:tcMar>
          </w:tcPr>
          <w:p>
            <w:pPr>
              <w:spacing w:after="0"/>
            </w:pPr>
            <w:r>
              <w:rPr>
                <w:rFonts w:ascii="Aptos" w:hAnsi="Aptos"/>
                <w:sz w:val="13"/>
              </w:rPr>
              <w:t>Help buyers understand available approaches and find the appropriate solution area.</w:t>
            </w:r>
          </w:p>
        </w:tc>
        <w:tc>
          <w:tcPr>
            <w:tcW w:type="dxa" w:w="2016"/>
            <w:vAlign w:val="center"/>
            <w:tcMar>
              <w:top w:w="95" w:type="dxa"/>
              <w:start w:w="95" w:type="dxa"/>
              <w:bottom w:w="95" w:type="dxa"/>
              <w:end w:w="95" w:type="dxa"/>
            </w:tcMar>
          </w:tcPr>
          <w:p>
            <w:pPr>
              <w:spacing w:after="0"/>
            </w:pPr>
            <w:r>
              <w:rPr>
                <w:rFonts w:ascii="Aptos" w:hAnsi="Aptos"/>
                <w:sz w:val="13"/>
              </w:rPr>
              <w:t>Explore relevant pillar / program.</w:t>
            </w:r>
          </w:p>
        </w:tc>
      </w:tr>
      <w:tr>
        <w:tc>
          <w:tcPr>
            <w:tcW w:type="dxa" w:w="1800"/>
            <w:vAlign w:val="center"/>
            <w:tcMar>
              <w:top w:w="95" w:type="dxa"/>
              <w:start w:w="95" w:type="dxa"/>
              <w:bottom w:w="95" w:type="dxa"/>
              <w:end w:w="95" w:type="dxa"/>
            </w:tcMar>
          </w:tcPr>
          <w:p>
            <w:pPr>
              <w:spacing w:after="0"/>
            </w:pPr>
            <w:r>
              <w:rPr>
                <w:rFonts w:ascii="Aptos" w:hAnsi="Aptos"/>
                <w:sz w:val="13"/>
              </w:rPr>
              <w:t>CSP / Guarantee</w:t>
            </w:r>
          </w:p>
        </w:tc>
        <w:tc>
          <w:tcPr>
            <w:tcW w:type="dxa" w:w="1800"/>
            <w:vAlign w:val="center"/>
            <w:tcMar>
              <w:top w:w="95" w:type="dxa"/>
              <w:start w:w="95" w:type="dxa"/>
              <w:bottom w:w="95" w:type="dxa"/>
              <w:end w:w="95" w:type="dxa"/>
            </w:tcMar>
          </w:tcPr>
          <w:p>
            <w:pPr>
              <w:spacing w:after="0"/>
            </w:pPr>
            <w:r>
              <w:rPr>
                <w:rFonts w:ascii="Aptos" w:hAnsi="Aptos"/>
                <w:sz w:val="13"/>
              </w:rPr>
              <w:t>Product Aware</w:t>
            </w:r>
          </w:p>
        </w:tc>
        <w:tc>
          <w:tcPr>
            <w:tcW w:type="dxa" w:w="2016"/>
            <w:vAlign w:val="center"/>
            <w:tcMar>
              <w:top w:w="95" w:type="dxa"/>
              <w:start w:w="95" w:type="dxa"/>
              <w:bottom w:w="95" w:type="dxa"/>
              <w:end w:w="95" w:type="dxa"/>
            </w:tcMar>
          </w:tcPr>
          <w:p>
            <w:pPr>
              <w:spacing w:after="0"/>
            </w:pPr>
            <w:r>
              <w:rPr>
                <w:rFonts w:ascii="Aptos" w:hAnsi="Aptos"/>
                <w:sz w:val="13"/>
              </w:rPr>
              <w:t>Most Aware</w:t>
            </w:r>
          </w:p>
        </w:tc>
        <w:tc>
          <w:tcPr>
            <w:tcW w:type="dxa" w:w="3168"/>
            <w:vAlign w:val="center"/>
            <w:tcMar>
              <w:top w:w="95" w:type="dxa"/>
              <w:start w:w="95" w:type="dxa"/>
              <w:bottom w:w="95" w:type="dxa"/>
              <w:end w:w="95" w:type="dxa"/>
            </w:tcMar>
          </w:tcPr>
          <w:p>
            <w:pPr>
              <w:spacing w:after="0"/>
            </w:pPr>
            <w:r>
              <w:rPr>
                <w:rFonts w:ascii="Aptos" w:hAnsi="Aptos"/>
                <w:sz w:val="13"/>
              </w:rPr>
              <w:t>Establish fit, differentiate the offer, reduce risk, and explain qualification.</w:t>
            </w:r>
          </w:p>
        </w:tc>
        <w:tc>
          <w:tcPr>
            <w:tcW w:type="dxa" w:w="2016"/>
            <w:vAlign w:val="center"/>
            <w:tcMar>
              <w:top w:w="95" w:type="dxa"/>
              <w:start w:w="95" w:type="dxa"/>
              <w:bottom w:w="95" w:type="dxa"/>
              <w:end w:w="95" w:type="dxa"/>
            </w:tcMar>
          </w:tcPr>
          <w:p>
            <w:pPr>
              <w:spacing w:after="0"/>
            </w:pPr>
            <w:r>
              <w:rPr>
                <w:rFonts w:ascii="Aptos" w:hAnsi="Aptos"/>
                <w:sz w:val="13"/>
              </w:rPr>
              <w:t>Apply / request qualification conversation.</w:t>
            </w:r>
          </w:p>
        </w:tc>
      </w:tr>
      <w:tr>
        <w:tc>
          <w:tcPr>
            <w:tcW w:type="dxa" w:w="1800"/>
            <w:vAlign w:val="center"/>
            <w:tcMar>
              <w:top w:w="95" w:type="dxa"/>
              <w:start w:w="95" w:type="dxa"/>
              <w:bottom w:w="95" w:type="dxa"/>
              <w:end w:w="95" w:type="dxa"/>
            </w:tcMar>
          </w:tcPr>
          <w:p>
            <w:pPr>
              <w:spacing w:after="0"/>
            </w:pPr>
            <w:r>
              <w:rPr>
                <w:rFonts w:ascii="Aptos" w:hAnsi="Aptos"/>
                <w:sz w:val="13"/>
              </w:rPr>
              <w:t>Industry Page</w:t>
            </w:r>
          </w:p>
        </w:tc>
        <w:tc>
          <w:tcPr>
            <w:tcW w:type="dxa" w:w="1800"/>
            <w:vAlign w:val="center"/>
            <w:tcMar>
              <w:top w:w="95" w:type="dxa"/>
              <w:start w:w="95" w:type="dxa"/>
              <w:bottom w:w="95" w:type="dxa"/>
              <w:end w:w="95" w:type="dxa"/>
            </w:tcMar>
          </w:tcPr>
          <w:p>
            <w:pPr>
              <w:spacing w:after="0"/>
            </w:pPr>
            <w:r>
              <w:rPr>
                <w:rFonts w:ascii="Aptos" w:hAnsi="Aptos"/>
                <w:sz w:val="13"/>
              </w:rPr>
              <w:t>Solution Aware</w:t>
            </w:r>
          </w:p>
        </w:tc>
        <w:tc>
          <w:tcPr>
            <w:tcW w:type="dxa" w:w="2016"/>
            <w:vAlign w:val="center"/>
            <w:tcMar>
              <w:top w:w="95" w:type="dxa"/>
              <w:start w:w="95" w:type="dxa"/>
              <w:bottom w:w="95" w:type="dxa"/>
              <w:end w:w="95" w:type="dxa"/>
            </w:tcMar>
          </w:tcPr>
          <w:p>
            <w:pPr>
              <w:spacing w:after="0"/>
            </w:pPr>
            <w:r>
              <w:rPr>
                <w:rFonts w:ascii="Aptos" w:hAnsi="Aptos"/>
                <w:sz w:val="13"/>
              </w:rPr>
              <w:t>Product Aware</w:t>
            </w:r>
          </w:p>
        </w:tc>
        <w:tc>
          <w:tcPr>
            <w:tcW w:type="dxa" w:w="3168"/>
            <w:vAlign w:val="center"/>
            <w:tcMar>
              <w:top w:w="95" w:type="dxa"/>
              <w:start w:w="95" w:type="dxa"/>
              <w:bottom w:w="95" w:type="dxa"/>
              <w:end w:w="95" w:type="dxa"/>
            </w:tcMar>
          </w:tcPr>
          <w:p>
            <w:pPr>
              <w:spacing w:after="0"/>
            </w:pPr>
            <w:r>
              <w:rPr>
                <w:rFonts w:ascii="Aptos" w:hAnsi="Aptos"/>
                <w:sz w:val="13"/>
              </w:rPr>
              <w:t>Establish industry relevance and connect the buyer to appropriate solutions and proof.</w:t>
            </w:r>
          </w:p>
        </w:tc>
        <w:tc>
          <w:tcPr>
            <w:tcW w:type="dxa" w:w="2016"/>
            <w:vAlign w:val="center"/>
            <w:tcMar>
              <w:top w:w="95" w:type="dxa"/>
              <w:start w:w="95" w:type="dxa"/>
              <w:bottom w:w="95" w:type="dxa"/>
              <w:end w:w="95" w:type="dxa"/>
            </w:tcMar>
          </w:tcPr>
          <w:p>
            <w:pPr>
              <w:spacing w:after="0"/>
            </w:pPr>
            <w:r>
              <w:rPr>
                <w:rFonts w:ascii="Aptos" w:hAnsi="Aptos"/>
                <w:sz w:val="13"/>
              </w:rPr>
              <w:t>Explore relevant solution / Request Consultation when ready.</w:t>
            </w:r>
          </w:p>
        </w:tc>
      </w:tr>
    </w:tbl>
    <w:p>
      <w:pPr>
        <w:spacing w:after="20"/>
      </w:pPr>
    </w:p>
    <w:p>
      <w:pPr>
        <w:spacing w:after="100"/>
      </w:pPr>
      <w:r>
        <w:t>Buyer intent is a planning input, not a rigid page taxonomy. A page may support adjacent intent levels, but its primary job and CTA should remain coherent.</w:t>
      </w:r>
    </w:p>
    <w:p>
      <w:pPr>
        <w:pStyle w:val="Heading1"/>
      </w:pPr>
      <w:r>
        <w:t>8. Homepage Page Blueprint</w:t>
      </w:r>
    </w:p>
    <w:tbl>
      <w:tblPr>
        <w:tblStyle w:val="TableGrid"/>
        <w:tblW w:type="auto" w:w="0"/>
        <w:jc w:val="center"/>
        <w:tblLook w:firstColumn="1" w:firstRow="1" w:lastColumn="0" w:lastRow="0" w:noHBand="0" w:noVBand="1" w:val="04A0"/>
      </w:tblPr>
      <w:tblGrid>
        <w:gridCol w:w="5184"/>
        <w:gridCol w:w="5184"/>
      </w:tblGrid>
      <w:tr>
        <w:tc>
          <w:tcPr>
            <w:tcW w:type="dxa" w:w="2304"/>
            <w:shd w:fill="173B56"/>
            <w:vAlign w:val="center"/>
            <w:tcMar>
              <w:top w:w="100" w:type="dxa"/>
              <w:start w:w="100" w:type="dxa"/>
              <w:bottom w:w="100" w:type="dxa"/>
              <w:end w:w="100" w:type="dxa"/>
            </w:tcMar>
          </w:tcPr>
          <w:p>
            <w:r>
              <w:rPr>
                <w:b/>
                <w:color w:val="FFFFFF"/>
                <w:sz w:val="15"/>
              </w:rPr>
              <w:t>Requirement</w:t>
            </w:r>
          </w:p>
        </w:tc>
        <w:tc>
          <w:tcPr>
            <w:tcW w:type="dxa" w:w="7488"/>
            <w:shd w:fill="173B56"/>
            <w:vAlign w:val="center"/>
            <w:tcMar>
              <w:top w:w="100" w:type="dxa"/>
              <w:start w:w="100" w:type="dxa"/>
              <w:bottom w:w="100" w:type="dxa"/>
              <w:end w:w="100" w:type="dxa"/>
            </w:tcMar>
          </w:tcPr>
          <w:p>
            <w:r>
              <w:rPr>
                <w:b/>
                <w:color w:val="FFFFFF"/>
                <w:sz w:val="15"/>
              </w:rPr>
              <w:t>NuVue homepage</w:t>
            </w:r>
          </w:p>
        </w:tc>
      </w:tr>
      <w:tr>
        <w:tc>
          <w:tcPr>
            <w:tcW w:type="dxa" w:w="2304"/>
            <w:vAlign w:val="center"/>
            <w:tcMar>
              <w:top w:w="95" w:type="dxa"/>
              <w:start w:w="95" w:type="dxa"/>
              <w:bottom w:w="95" w:type="dxa"/>
              <w:end w:w="95" w:type="dxa"/>
            </w:tcMar>
          </w:tcPr>
          <w:p>
            <w:pPr>
              <w:spacing w:after="0"/>
            </w:pPr>
            <w:r>
              <w:rPr>
                <w:rFonts w:ascii="Aptos" w:hAnsi="Aptos"/>
                <w:sz w:val="15"/>
              </w:rPr>
              <w:t>Strategic purpose</w:t>
            </w:r>
          </w:p>
        </w:tc>
        <w:tc>
          <w:tcPr>
            <w:tcW w:type="dxa" w:w="7488"/>
            <w:vAlign w:val="center"/>
            <w:tcMar>
              <w:top w:w="95" w:type="dxa"/>
              <w:start w:w="95" w:type="dxa"/>
              <w:bottom w:w="95" w:type="dxa"/>
              <w:end w:w="95" w:type="dxa"/>
            </w:tcMar>
          </w:tcPr>
          <w:p>
            <w:pPr>
              <w:spacing w:after="0"/>
            </w:pPr>
            <w:r>
              <w:rPr>
                <w:rFonts w:ascii="Aptos" w:hAnsi="Aptos"/>
                <w:sz w:val="15"/>
              </w:rPr>
              <w:t>Establish relevance quickly, make the corporate growth path primary, preserve a clear individual path, surface the three-pillar breadth, and drive a meaningful next action.</w:t>
            </w:r>
          </w:p>
        </w:tc>
      </w:tr>
      <w:tr>
        <w:tc>
          <w:tcPr>
            <w:tcW w:type="dxa" w:w="2304"/>
            <w:vAlign w:val="center"/>
            <w:tcMar>
              <w:top w:w="95" w:type="dxa"/>
              <w:start w:w="95" w:type="dxa"/>
              <w:bottom w:w="95" w:type="dxa"/>
              <w:end w:w="95" w:type="dxa"/>
            </w:tcMar>
          </w:tcPr>
          <w:p>
            <w:pPr>
              <w:spacing w:after="0"/>
            </w:pPr>
            <w:r>
              <w:rPr>
                <w:rFonts w:ascii="Aptos" w:hAnsi="Aptos"/>
                <w:sz w:val="15"/>
              </w:rPr>
              <w:t>Primary audience</w:t>
            </w:r>
          </w:p>
        </w:tc>
        <w:tc>
          <w:tcPr>
            <w:tcW w:type="dxa" w:w="7488"/>
            <w:vAlign w:val="center"/>
            <w:tcMar>
              <w:top w:w="95" w:type="dxa"/>
              <w:start w:w="95" w:type="dxa"/>
              <w:bottom w:w="95" w:type="dxa"/>
              <w:end w:w="95" w:type="dxa"/>
            </w:tcMar>
          </w:tcPr>
          <w:p>
            <w:pPr>
              <w:spacing w:after="0"/>
            </w:pPr>
            <w:r>
              <w:rPr>
                <w:rFonts w:ascii="Aptos" w:hAnsi="Aptos"/>
                <w:sz w:val="15"/>
              </w:rPr>
              <w:t>Corporate buyer, with an explicit secondary path for individual professionals.</w:t>
            </w:r>
          </w:p>
        </w:tc>
      </w:tr>
      <w:tr>
        <w:tc>
          <w:tcPr>
            <w:tcW w:type="dxa" w:w="2304"/>
            <w:vAlign w:val="center"/>
            <w:tcMar>
              <w:top w:w="95" w:type="dxa"/>
              <w:start w:w="95" w:type="dxa"/>
              <w:bottom w:w="95" w:type="dxa"/>
              <w:end w:w="95" w:type="dxa"/>
            </w:tcMar>
          </w:tcPr>
          <w:p>
            <w:pPr>
              <w:spacing w:after="0"/>
            </w:pPr>
            <w:r>
              <w:rPr>
                <w:rFonts w:ascii="Aptos" w:hAnsi="Aptos"/>
                <w:sz w:val="15"/>
              </w:rPr>
              <w:t>Primary buyer intent</w:t>
            </w:r>
          </w:p>
        </w:tc>
        <w:tc>
          <w:tcPr>
            <w:tcW w:type="dxa" w:w="7488"/>
            <w:vAlign w:val="center"/>
            <w:tcMar>
              <w:top w:w="95" w:type="dxa"/>
              <w:start w:w="95" w:type="dxa"/>
              <w:bottom w:w="95" w:type="dxa"/>
              <w:end w:w="95" w:type="dxa"/>
            </w:tcMar>
          </w:tcPr>
          <w:p>
            <w:pPr>
              <w:spacing w:after="0"/>
            </w:pPr>
            <w:r>
              <w:rPr>
                <w:rFonts w:ascii="Aptos" w:hAnsi="Aptos"/>
                <w:sz w:val="15"/>
              </w:rPr>
              <w:t>Solution Aware.</w:t>
            </w:r>
          </w:p>
        </w:tc>
      </w:tr>
      <w:tr>
        <w:tc>
          <w:tcPr>
            <w:tcW w:type="dxa" w:w="2304"/>
            <w:vAlign w:val="center"/>
            <w:tcMar>
              <w:top w:w="95" w:type="dxa"/>
              <w:start w:w="95" w:type="dxa"/>
              <w:bottom w:w="95" w:type="dxa"/>
              <w:end w:w="95" w:type="dxa"/>
            </w:tcMar>
          </w:tcPr>
          <w:p>
            <w:pPr>
              <w:spacing w:after="0"/>
            </w:pPr>
            <w:r>
              <w:rPr>
                <w:rFonts w:ascii="Aptos" w:hAnsi="Aptos"/>
                <w:sz w:val="15"/>
              </w:rPr>
              <w:t>Secondary buyer intent</w:t>
            </w:r>
          </w:p>
        </w:tc>
        <w:tc>
          <w:tcPr>
            <w:tcW w:type="dxa" w:w="7488"/>
            <w:vAlign w:val="center"/>
            <w:tcMar>
              <w:top w:w="95" w:type="dxa"/>
              <w:start w:w="95" w:type="dxa"/>
              <w:bottom w:w="95" w:type="dxa"/>
              <w:end w:w="95" w:type="dxa"/>
            </w:tcMar>
          </w:tcPr>
          <w:p>
            <w:pPr>
              <w:spacing w:after="0"/>
            </w:pPr>
            <w:r>
              <w:rPr>
                <w:rFonts w:ascii="Aptos" w:hAnsi="Aptos"/>
                <w:sz w:val="15"/>
              </w:rPr>
              <w:t>Problem Aware / Product Aware.</w:t>
            </w:r>
          </w:p>
        </w:tc>
      </w:tr>
      <w:tr>
        <w:tc>
          <w:tcPr>
            <w:tcW w:type="dxa" w:w="2304"/>
            <w:vAlign w:val="center"/>
            <w:tcMar>
              <w:top w:w="95" w:type="dxa"/>
              <w:start w:w="95" w:type="dxa"/>
              <w:bottom w:w="95" w:type="dxa"/>
              <w:end w:w="95" w:type="dxa"/>
            </w:tcMar>
          </w:tcPr>
          <w:p>
            <w:pPr>
              <w:spacing w:after="0"/>
            </w:pPr>
            <w:r>
              <w:rPr>
                <w:rFonts w:ascii="Aptos" w:hAnsi="Aptos"/>
                <w:sz w:val="15"/>
              </w:rPr>
              <w:t>Buyer question</w:t>
            </w:r>
          </w:p>
        </w:tc>
        <w:tc>
          <w:tcPr>
            <w:tcW w:type="dxa" w:w="7488"/>
            <w:vAlign w:val="center"/>
            <w:tcMar>
              <w:top w:w="95" w:type="dxa"/>
              <w:start w:w="95" w:type="dxa"/>
              <w:bottom w:w="95" w:type="dxa"/>
              <w:end w:w="95" w:type="dxa"/>
            </w:tcMar>
          </w:tcPr>
          <w:p>
            <w:pPr>
              <w:spacing w:after="0"/>
            </w:pPr>
            <w:r>
              <w:rPr>
                <w:rFonts w:ascii="Aptos" w:hAnsi="Aptos"/>
                <w:sz w:val="15"/>
              </w:rPr>
              <w:t>What does NuVue do, is it relevant to me, why should I trust it, and what should I do next?</w:t>
            </w:r>
          </w:p>
        </w:tc>
      </w:tr>
      <w:tr>
        <w:tc>
          <w:tcPr>
            <w:tcW w:type="dxa" w:w="2304"/>
            <w:vAlign w:val="center"/>
            <w:tcMar>
              <w:top w:w="95" w:type="dxa"/>
              <w:start w:w="95" w:type="dxa"/>
              <w:bottom w:w="95" w:type="dxa"/>
              <w:end w:w="95" w:type="dxa"/>
            </w:tcMar>
          </w:tcPr>
          <w:p>
            <w:pPr>
              <w:spacing w:after="0"/>
            </w:pPr>
            <w:r>
              <w:rPr>
                <w:rFonts w:ascii="Aptos" w:hAnsi="Aptos"/>
                <w:sz w:val="15"/>
              </w:rPr>
              <w:t>Key message</w:t>
            </w:r>
          </w:p>
        </w:tc>
        <w:tc>
          <w:tcPr>
            <w:tcW w:type="dxa" w:w="7488"/>
            <w:vAlign w:val="center"/>
            <w:tcMar>
              <w:top w:w="95" w:type="dxa"/>
              <w:start w:w="95" w:type="dxa"/>
              <w:bottom w:w="95" w:type="dxa"/>
              <w:end w:w="95" w:type="dxa"/>
            </w:tcMar>
          </w:tcPr>
          <w:p>
            <w:pPr>
              <w:spacing w:after="0"/>
            </w:pPr>
            <w:r>
              <w:rPr>
                <w:rFonts w:ascii="Aptos" w:hAnsi="Aptos"/>
                <w:sz w:val="15"/>
              </w:rPr>
              <w:t>NuVue helps organizations improve sales, leadership, and business acumen through learning systems designed to create lasting, measurable performance improvement.</w:t>
            </w:r>
          </w:p>
        </w:tc>
      </w:tr>
      <w:tr>
        <w:tc>
          <w:tcPr>
            <w:tcW w:type="dxa" w:w="2304"/>
            <w:vAlign w:val="center"/>
            <w:tcMar>
              <w:top w:w="95" w:type="dxa"/>
              <w:start w:w="95" w:type="dxa"/>
              <w:bottom w:w="95" w:type="dxa"/>
              <w:end w:w="95" w:type="dxa"/>
            </w:tcMar>
          </w:tcPr>
          <w:p>
            <w:pPr>
              <w:spacing w:after="0"/>
            </w:pPr>
            <w:r>
              <w:rPr>
                <w:rFonts w:ascii="Aptos" w:hAnsi="Aptos"/>
                <w:sz w:val="15"/>
              </w:rPr>
              <w:t>Required proof</w:t>
            </w:r>
          </w:p>
        </w:tc>
        <w:tc>
          <w:tcPr>
            <w:tcW w:type="dxa" w:w="7488"/>
            <w:vAlign w:val="center"/>
            <w:tcMar>
              <w:top w:w="95" w:type="dxa"/>
              <w:start w:w="95" w:type="dxa"/>
              <w:bottom w:w="95" w:type="dxa"/>
              <w:end w:w="95" w:type="dxa"/>
            </w:tcMar>
          </w:tcPr>
          <w:p>
            <w:pPr>
              <w:spacing w:after="0"/>
            </w:pPr>
            <w:r>
              <w:rPr>
                <w:rFonts w:ascii="Aptos" w:hAnsi="Aptos"/>
                <w:sz w:val="15"/>
              </w:rPr>
              <w:t>24+ years, 101+ workshops, enterprise logos where approved, ROI evidence where supported, Learning That Never Stops®, guarantee teaser with qualification.</w:t>
            </w:r>
          </w:p>
        </w:tc>
      </w:tr>
      <w:tr>
        <w:tc>
          <w:tcPr>
            <w:tcW w:type="dxa" w:w="2304"/>
            <w:vAlign w:val="center"/>
            <w:tcMar>
              <w:top w:w="95" w:type="dxa"/>
              <w:start w:w="95" w:type="dxa"/>
              <w:bottom w:w="95" w:type="dxa"/>
              <w:end w:w="95" w:type="dxa"/>
            </w:tcMar>
          </w:tcPr>
          <w:p>
            <w:pPr>
              <w:spacing w:after="0"/>
            </w:pPr>
            <w:r>
              <w:rPr>
                <w:rFonts w:ascii="Aptos" w:hAnsi="Aptos"/>
                <w:sz w:val="15"/>
              </w:rPr>
              <w:t>Primary CTA</w:t>
            </w:r>
          </w:p>
        </w:tc>
        <w:tc>
          <w:tcPr>
            <w:tcW w:type="dxa" w:w="7488"/>
            <w:vAlign w:val="center"/>
            <w:tcMar>
              <w:top w:w="95" w:type="dxa"/>
              <w:start w:w="95" w:type="dxa"/>
              <w:bottom w:w="95" w:type="dxa"/>
              <w:end w:w="95" w:type="dxa"/>
            </w:tcMar>
          </w:tcPr>
          <w:p>
            <w:pPr>
              <w:spacing w:after="0"/>
            </w:pPr>
            <w:r>
              <w:rPr>
                <w:rFonts w:ascii="Aptos" w:hAnsi="Aptos"/>
                <w:sz w:val="15"/>
              </w:rPr>
              <w:t>Request Consultation.</w:t>
            </w:r>
          </w:p>
        </w:tc>
      </w:tr>
      <w:tr>
        <w:tc>
          <w:tcPr>
            <w:tcW w:type="dxa" w:w="2304"/>
            <w:vAlign w:val="center"/>
            <w:tcMar>
              <w:top w:w="95" w:type="dxa"/>
              <w:start w:w="95" w:type="dxa"/>
              <w:bottom w:w="95" w:type="dxa"/>
              <w:end w:w="95" w:type="dxa"/>
            </w:tcMar>
          </w:tcPr>
          <w:p>
            <w:pPr>
              <w:spacing w:after="0"/>
            </w:pPr>
            <w:r>
              <w:rPr>
                <w:rFonts w:ascii="Aptos" w:hAnsi="Aptos"/>
                <w:sz w:val="15"/>
              </w:rPr>
              <w:t>Secondary CTA</w:t>
            </w:r>
          </w:p>
        </w:tc>
        <w:tc>
          <w:tcPr>
            <w:tcW w:type="dxa" w:w="7488"/>
            <w:vAlign w:val="center"/>
            <w:tcMar>
              <w:top w:w="95" w:type="dxa"/>
              <w:start w:w="95" w:type="dxa"/>
              <w:bottom w:w="95" w:type="dxa"/>
              <w:end w:w="95" w:type="dxa"/>
            </w:tcMar>
          </w:tcPr>
          <w:p>
            <w:pPr>
              <w:spacing w:after="0"/>
            </w:pPr>
            <w:r>
              <w:rPr>
                <w:rFonts w:ascii="Aptos" w:hAnsi="Aptos"/>
                <w:sz w:val="15"/>
              </w:rPr>
              <w:t>Take the self-assessment / For Myself path.</w:t>
            </w:r>
          </w:p>
        </w:tc>
      </w:tr>
      <w:tr>
        <w:tc>
          <w:tcPr>
            <w:tcW w:type="dxa" w:w="2304"/>
            <w:vAlign w:val="center"/>
            <w:tcMar>
              <w:top w:w="95" w:type="dxa"/>
              <w:start w:w="95" w:type="dxa"/>
              <w:bottom w:w="95" w:type="dxa"/>
              <w:end w:w="95" w:type="dxa"/>
            </w:tcMar>
          </w:tcPr>
          <w:p>
            <w:pPr>
              <w:spacing w:after="0"/>
            </w:pPr>
            <w:r>
              <w:rPr>
                <w:rFonts w:ascii="Aptos" w:hAnsi="Aptos"/>
                <w:sz w:val="15"/>
              </w:rPr>
              <w:t>Measurement</w:t>
            </w:r>
          </w:p>
        </w:tc>
        <w:tc>
          <w:tcPr>
            <w:tcW w:type="dxa" w:w="7488"/>
            <w:vAlign w:val="center"/>
            <w:tcMar>
              <w:top w:w="95" w:type="dxa"/>
              <w:start w:w="95" w:type="dxa"/>
              <w:bottom w:w="95" w:type="dxa"/>
              <w:end w:w="95" w:type="dxa"/>
            </w:tcMar>
          </w:tcPr>
          <w:p>
            <w:pPr>
              <w:spacing w:after="0"/>
            </w:pPr>
            <w:r>
              <w:rPr>
                <w:rFonts w:ascii="Aptos" w:hAnsi="Aptos"/>
                <w:sz w:val="15"/>
              </w:rPr>
              <w:t>Buyer-path clicks, consultation starts/completions, assessment starts/completions, seminar-path clicks.</w:t>
            </w:r>
          </w:p>
        </w:tc>
      </w:tr>
      <w:tr>
        <w:tc>
          <w:tcPr>
            <w:tcW w:type="dxa" w:w="2304"/>
            <w:vAlign w:val="center"/>
            <w:tcMar>
              <w:top w:w="95" w:type="dxa"/>
              <w:start w:w="95" w:type="dxa"/>
              <w:bottom w:w="95" w:type="dxa"/>
              <w:end w:w="95" w:type="dxa"/>
            </w:tcMar>
          </w:tcPr>
          <w:p>
            <w:pPr>
              <w:spacing w:after="0"/>
            </w:pPr>
            <w:r>
              <w:rPr>
                <w:rFonts w:ascii="Aptos" w:hAnsi="Aptos"/>
                <w:sz w:val="15"/>
              </w:rPr>
              <w:t>Dependencies</w:t>
            </w:r>
          </w:p>
        </w:tc>
        <w:tc>
          <w:tcPr>
            <w:tcW w:type="dxa" w:w="7488"/>
            <w:vAlign w:val="center"/>
            <w:tcMar>
              <w:top w:w="95" w:type="dxa"/>
              <w:start w:w="95" w:type="dxa"/>
              <w:bottom w:w="95" w:type="dxa"/>
              <w:end w:w="95" w:type="dxa"/>
            </w:tcMar>
          </w:tcPr>
          <w:p>
            <w:pPr>
              <w:spacing w:after="0"/>
            </w:pPr>
            <w:r>
              <w:rPr>
                <w:rFonts w:ascii="Aptos" w:hAnsi="Aptos"/>
                <w:sz w:val="15"/>
              </w:rPr>
              <w:t>Approved proof, final buyer-path hierarchy, form strategy, CRM fields, approved guarantee wording.</w:t>
            </w:r>
          </w:p>
        </w:tc>
      </w:tr>
    </w:tbl>
    <w:p>
      <w:pPr>
        <w:spacing w:after="20"/>
      </w:pPr>
    </w:p>
    <w:p>
      <w:pPr>
        <w:pStyle w:val="Heading2"/>
      </w:pPr>
      <w:r>
        <w:t>Homepage Section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1800"/>
            <w:shd w:fill="173B56"/>
            <w:vAlign w:val="center"/>
            <w:tcMar>
              <w:top w:w="100" w:type="dxa"/>
              <w:start w:w="100" w:type="dxa"/>
              <w:bottom w:w="100" w:type="dxa"/>
              <w:end w:w="100" w:type="dxa"/>
            </w:tcMar>
          </w:tcPr>
          <w:p>
            <w:r>
              <w:rPr>
                <w:b/>
                <w:color w:val="FFFFFF"/>
                <w:sz w:val="14"/>
              </w:rPr>
              <w:t>Section</w:t>
            </w:r>
          </w:p>
        </w:tc>
        <w:tc>
          <w:tcPr>
            <w:tcW w:type="dxa" w:w="3672"/>
            <w:shd w:fill="173B56"/>
            <w:vAlign w:val="center"/>
            <w:tcMar>
              <w:top w:w="100" w:type="dxa"/>
              <w:start w:w="100" w:type="dxa"/>
              <w:bottom w:w="100" w:type="dxa"/>
              <w:end w:w="100" w:type="dxa"/>
            </w:tcMar>
          </w:tcPr>
          <w:p>
            <w:r>
              <w:rPr>
                <w:b/>
                <w:color w:val="FFFFFF"/>
                <w:sz w:val="14"/>
              </w:rPr>
              <w:t>Strategic job</w:t>
            </w:r>
          </w:p>
        </w:tc>
        <w:tc>
          <w:tcPr>
            <w:tcW w:type="dxa" w:w="4320"/>
            <w:shd w:fill="173B56"/>
            <w:vAlign w:val="center"/>
            <w:tcMar>
              <w:top w:w="100" w:type="dxa"/>
              <w:start w:w="100" w:type="dxa"/>
              <w:bottom w:w="100" w:type="dxa"/>
              <w:end w:w="100" w:type="dxa"/>
            </w:tcMar>
          </w:tcPr>
          <w:p>
            <w:r>
              <w:rPr>
                <w:b/>
                <w:color w:val="FFFFFF"/>
                <w:sz w:val="14"/>
              </w:rPr>
              <w:t>Illustrative direction</w:t>
            </w:r>
          </w:p>
        </w:tc>
      </w:tr>
      <w:tr>
        <w:tc>
          <w:tcPr>
            <w:tcW w:type="dxa" w:w="1800"/>
            <w:vAlign w:val="center"/>
            <w:tcMar>
              <w:top w:w="95" w:type="dxa"/>
              <w:start w:w="95" w:type="dxa"/>
              <w:bottom w:w="95" w:type="dxa"/>
              <w:end w:w="95" w:type="dxa"/>
            </w:tcMar>
          </w:tcPr>
          <w:p>
            <w:pPr>
              <w:spacing w:after="0"/>
            </w:pPr>
            <w:r>
              <w:rPr>
                <w:rFonts w:ascii="Aptos" w:hAnsi="Aptos"/>
                <w:sz w:val="14"/>
              </w:rPr>
              <w:t>Navigation</w:t>
            </w:r>
          </w:p>
        </w:tc>
        <w:tc>
          <w:tcPr>
            <w:tcW w:type="dxa" w:w="3672"/>
            <w:vAlign w:val="center"/>
            <w:tcMar>
              <w:top w:w="95" w:type="dxa"/>
              <w:start w:w="95" w:type="dxa"/>
              <w:bottom w:w="95" w:type="dxa"/>
              <w:end w:w="95" w:type="dxa"/>
            </w:tcMar>
          </w:tcPr>
          <w:p>
            <w:pPr>
              <w:spacing w:after="0"/>
            </w:pPr>
            <w:r>
              <w:rPr>
                <w:rFonts w:ascii="Aptos" w:hAnsi="Aptos"/>
                <w:sz w:val="14"/>
              </w:rPr>
              <w:t>Route by audience and preserve access to curriculum / industry depth.</w:t>
            </w:r>
          </w:p>
        </w:tc>
        <w:tc>
          <w:tcPr>
            <w:tcW w:type="dxa" w:w="4320"/>
            <w:vAlign w:val="center"/>
            <w:tcMar>
              <w:top w:w="95" w:type="dxa"/>
              <w:start w:w="95" w:type="dxa"/>
              <w:bottom w:w="95" w:type="dxa"/>
              <w:end w:w="95" w:type="dxa"/>
            </w:tcMar>
          </w:tcPr>
          <w:p>
            <w:pPr>
              <w:spacing w:after="0"/>
            </w:pPr>
            <w:r>
              <w:rPr>
                <w:rFonts w:ascii="Aptos" w:hAnsi="Aptos"/>
                <w:sz w:val="14"/>
              </w:rPr>
              <w:t>For My Team | For Myself | Industry Solutions | Contact | Search / menu.</w:t>
            </w:r>
          </w:p>
        </w:tc>
      </w:tr>
      <w:tr>
        <w:tc>
          <w:tcPr>
            <w:tcW w:type="dxa" w:w="1800"/>
            <w:vAlign w:val="center"/>
            <w:tcMar>
              <w:top w:w="95" w:type="dxa"/>
              <w:start w:w="95" w:type="dxa"/>
              <w:bottom w:w="95" w:type="dxa"/>
              <w:end w:w="95" w:type="dxa"/>
            </w:tcMar>
          </w:tcPr>
          <w:p>
            <w:pPr>
              <w:spacing w:after="0"/>
            </w:pPr>
            <w:r>
              <w:rPr>
                <w:rFonts w:ascii="Aptos" w:hAnsi="Aptos"/>
                <w:sz w:val="14"/>
              </w:rPr>
              <w:t>Hero</w:t>
            </w:r>
          </w:p>
        </w:tc>
        <w:tc>
          <w:tcPr>
            <w:tcW w:type="dxa" w:w="3672"/>
            <w:vAlign w:val="center"/>
            <w:tcMar>
              <w:top w:w="95" w:type="dxa"/>
              <w:start w:w="95" w:type="dxa"/>
              <w:bottom w:w="95" w:type="dxa"/>
              <w:end w:w="95" w:type="dxa"/>
            </w:tcMar>
          </w:tcPr>
          <w:p>
            <w:pPr>
              <w:spacing w:after="0"/>
            </w:pPr>
            <w:r>
              <w:rPr>
                <w:rFonts w:ascii="Aptos" w:hAnsi="Aptos"/>
                <w:sz w:val="14"/>
              </w:rPr>
              <w:t>Make value and next step obvious.</w:t>
            </w:r>
          </w:p>
        </w:tc>
        <w:tc>
          <w:tcPr>
            <w:tcW w:type="dxa" w:w="4320"/>
            <w:vAlign w:val="center"/>
            <w:tcMar>
              <w:top w:w="95" w:type="dxa"/>
              <w:start w:w="95" w:type="dxa"/>
              <w:bottom w:w="95" w:type="dxa"/>
              <w:end w:w="95" w:type="dxa"/>
            </w:tcMar>
          </w:tcPr>
          <w:p>
            <w:pPr>
              <w:spacing w:after="0"/>
            </w:pPr>
            <w:r>
              <w:rPr>
                <w:rFonts w:ascii="Aptos" w:hAnsi="Aptos"/>
                <w:sz w:val="14"/>
              </w:rPr>
              <w:t>Illustrative: Make people your competitive advantage with learning systems that stick.</w:t>
            </w:r>
          </w:p>
        </w:tc>
      </w:tr>
      <w:tr>
        <w:tc>
          <w:tcPr>
            <w:tcW w:type="dxa" w:w="1800"/>
            <w:vAlign w:val="center"/>
            <w:tcMar>
              <w:top w:w="95" w:type="dxa"/>
              <w:start w:w="95" w:type="dxa"/>
              <w:bottom w:w="95" w:type="dxa"/>
              <w:end w:w="95" w:type="dxa"/>
            </w:tcMar>
          </w:tcPr>
          <w:p>
            <w:pPr>
              <w:spacing w:after="0"/>
            </w:pPr>
            <w:r>
              <w:rPr>
                <w:rFonts w:ascii="Aptos" w:hAnsi="Aptos"/>
                <w:sz w:val="14"/>
              </w:rPr>
              <w:t>Credibility</w:t>
            </w:r>
          </w:p>
        </w:tc>
        <w:tc>
          <w:tcPr>
            <w:tcW w:type="dxa" w:w="3672"/>
            <w:vAlign w:val="center"/>
            <w:tcMar>
              <w:top w:w="95" w:type="dxa"/>
              <w:start w:w="95" w:type="dxa"/>
              <w:bottom w:w="95" w:type="dxa"/>
              <w:end w:w="95" w:type="dxa"/>
            </w:tcMar>
          </w:tcPr>
          <w:p>
            <w:pPr>
              <w:spacing w:after="0"/>
            </w:pPr>
            <w:r>
              <w:rPr>
                <w:rFonts w:ascii="Aptos" w:hAnsi="Aptos"/>
                <w:sz w:val="14"/>
              </w:rPr>
              <w:t>Move proof forward early.</w:t>
            </w:r>
          </w:p>
        </w:tc>
        <w:tc>
          <w:tcPr>
            <w:tcW w:type="dxa" w:w="4320"/>
            <w:vAlign w:val="center"/>
            <w:tcMar>
              <w:top w:w="95" w:type="dxa"/>
              <w:start w:w="95" w:type="dxa"/>
              <w:bottom w:w="95" w:type="dxa"/>
              <w:end w:w="95" w:type="dxa"/>
            </w:tcMar>
          </w:tcPr>
          <w:p>
            <w:pPr>
              <w:spacing w:after="0"/>
            </w:pPr>
            <w:r>
              <w:rPr>
                <w:rFonts w:ascii="Aptos" w:hAnsi="Aptos"/>
                <w:sz w:val="14"/>
              </w:rPr>
              <w:t>24+ years, 101+ programs, approved ROI / enterprise evidence.</w:t>
            </w:r>
          </w:p>
        </w:tc>
      </w:tr>
      <w:tr>
        <w:tc>
          <w:tcPr>
            <w:tcW w:type="dxa" w:w="1800"/>
            <w:vAlign w:val="center"/>
            <w:tcMar>
              <w:top w:w="95" w:type="dxa"/>
              <w:start w:w="95" w:type="dxa"/>
              <w:bottom w:w="95" w:type="dxa"/>
              <w:end w:w="95" w:type="dxa"/>
            </w:tcMar>
          </w:tcPr>
          <w:p>
            <w:pPr>
              <w:spacing w:after="0"/>
            </w:pPr>
            <w:r>
              <w:rPr>
                <w:rFonts w:ascii="Aptos" w:hAnsi="Aptos"/>
                <w:sz w:val="14"/>
              </w:rPr>
              <w:t>Three pillars</w:t>
            </w:r>
          </w:p>
        </w:tc>
        <w:tc>
          <w:tcPr>
            <w:tcW w:type="dxa" w:w="3672"/>
            <w:vAlign w:val="center"/>
            <w:tcMar>
              <w:top w:w="95" w:type="dxa"/>
              <w:start w:w="95" w:type="dxa"/>
              <w:bottom w:w="95" w:type="dxa"/>
              <w:end w:w="95" w:type="dxa"/>
            </w:tcMar>
          </w:tcPr>
          <w:p>
            <w:pPr>
              <w:spacing w:after="0"/>
            </w:pPr>
            <w:r>
              <w:rPr>
                <w:rFonts w:ascii="Aptos" w:hAnsi="Aptos"/>
                <w:sz w:val="14"/>
              </w:rPr>
              <w:t>Show breadth without forcing the buyer into a giant program catalog.</w:t>
            </w:r>
          </w:p>
        </w:tc>
        <w:tc>
          <w:tcPr>
            <w:tcW w:type="dxa" w:w="4320"/>
            <w:vAlign w:val="center"/>
            <w:tcMar>
              <w:top w:w="95" w:type="dxa"/>
              <w:start w:w="95" w:type="dxa"/>
              <w:bottom w:w="95" w:type="dxa"/>
              <w:end w:w="95" w:type="dxa"/>
            </w:tcMar>
          </w:tcPr>
          <w:p>
            <w:pPr>
              <w:spacing w:after="0"/>
            </w:pPr>
            <w:r>
              <w:rPr>
                <w:rFonts w:ascii="Aptos" w:hAnsi="Aptos"/>
                <w:sz w:val="14"/>
              </w:rPr>
              <w:t>Sales Development | Leadership &amp; Executive Coaching | Business Acumen.</w:t>
            </w:r>
          </w:p>
        </w:tc>
      </w:tr>
      <w:tr>
        <w:tc>
          <w:tcPr>
            <w:tcW w:type="dxa" w:w="1800"/>
            <w:vAlign w:val="center"/>
            <w:tcMar>
              <w:top w:w="95" w:type="dxa"/>
              <w:start w:w="95" w:type="dxa"/>
              <w:bottom w:w="95" w:type="dxa"/>
              <w:end w:w="95" w:type="dxa"/>
            </w:tcMar>
          </w:tcPr>
          <w:p>
            <w:pPr>
              <w:spacing w:after="0"/>
            </w:pPr>
            <w:r>
              <w:rPr>
                <w:rFonts w:ascii="Aptos" w:hAnsi="Aptos"/>
                <w:sz w:val="14"/>
              </w:rPr>
              <w:t>How it works</w:t>
            </w:r>
          </w:p>
        </w:tc>
        <w:tc>
          <w:tcPr>
            <w:tcW w:type="dxa" w:w="3672"/>
            <w:vAlign w:val="center"/>
            <w:tcMar>
              <w:top w:w="95" w:type="dxa"/>
              <w:start w:w="95" w:type="dxa"/>
              <w:bottom w:w="95" w:type="dxa"/>
              <w:end w:w="95" w:type="dxa"/>
            </w:tcMar>
          </w:tcPr>
          <w:p>
            <w:pPr>
              <w:spacing w:after="0"/>
            </w:pPr>
            <w:r>
              <w:rPr>
                <w:rFonts w:ascii="Aptos" w:hAnsi="Aptos"/>
                <w:sz w:val="14"/>
              </w:rPr>
              <w:t>Reduce friction and make the process understandable.</w:t>
            </w:r>
          </w:p>
        </w:tc>
        <w:tc>
          <w:tcPr>
            <w:tcW w:type="dxa" w:w="4320"/>
            <w:vAlign w:val="center"/>
            <w:tcMar>
              <w:top w:w="95" w:type="dxa"/>
              <w:start w:w="95" w:type="dxa"/>
              <w:bottom w:w="95" w:type="dxa"/>
              <w:end w:w="95" w:type="dxa"/>
            </w:tcMar>
          </w:tcPr>
          <w:p>
            <w:pPr>
              <w:spacing w:after="0"/>
            </w:pPr>
            <w:r>
              <w:rPr>
                <w:rFonts w:ascii="Aptos" w:hAnsi="Aptos"/>
                <w:sz w:val="14"/>
              </w:rPr>
              <w:t>Tell us your challenge → build the learning journey → reinforce and measure.</w:t>
            </w:r>
          </w:p>
        </w:tc>
      </w:tr>
      <w:tr>
        <w:tc>
          <w:tcPr>
            <w:tcW w:type="dxa" w:w="1800"/>
            <w:vAlign w:val="center"/>
            <w:tcMar>
              <w:top w:w="95" w:type="dxa"/>
              <w:start w:w="95" w:type="dxa"/>
              <w:bottom w:w="95" w:type="dxa"/>
              <w:end w:w="95" w:type="dxa"/>
            </w:tcMar>
          </w:tcPr>
          <w:p>
            <w:pPr>
              <w:spacing w:after="0"/>
            </w:pPr>
            <w:r>
              <w:rPr>
                <w:rFonts w:ascii="Aptos" w:hAnsi="Aptos"/>
                <w:sz w:val="14"/>
              </w:rPr>
              <w:t>Proof</w:t>
            </w:r>
          </w:p>
        </w:tc>
        <w:tc>
          <w:tcPr>
            <w:tcW w:type="dxa" w:w="3672"/>
            <w:vAlign w:val="center"/>
            <w:tcMar>
              <w:top w:w="95" w:type="dxa"/>
              <w:start w:w="95" w:type="dxa"/>
              <w:bottom w:w="95" w:type="dxa"/>
              <w:end w:w="95" w:type="dxa"/>
            </w:tcMar>
          </w:tcPr>
          <w:p>
            <w:pPr>
              <w:spacing w:after="0"/>
            </w:pPr>
            <w:r>
              <w:rPr>
                <w:rFonts w:ascii="Aptos" w:hAnsi="Aptos"/>
                <w:sz w:val="14"/>
              </w:rPr>
              <w:t>Show real evidence, not anonymous generic praise.</w:t>
            </w:r>
          </w:p>
        </w:tc>
        <w:tc>
          <w:tcPr>
            <w:tcW w:type="dxa" w:w="4320"/>
            <w:vAlign w:val="center"/>
            <w:tcMar>
              <w:top w:w="95" w:type="dxa"/>
              <w:start w:w="95" w:type="dxa"/>
              <w:bottom w:w="95" w:type="dxa"/>
              <w:end w:w="95" w:type="dxa"/>
            </w:tcMar>
          </w:tcPr>
          <w:p>
            <w:pPr>
              <w:spacing w:after="0"/>
            </w:pPr>
            <w:r>
              <w:rPr>
                <w:rFonts w:ascii="Aptos" w:hAnsi="Aptos"/>
                <w:sz w:val="14"/>
              </w:rPr>
              <w:t>Named testimonials, case evidence, ROI data where approved.</w:t>
            </w:r>
          </w:p>
        </w:tc>
      </w:tr>
      <w:tr>
        <w:tc>
          <w:tcPr>
            <w:tcW w:type="dxa" w:w="1800"/>
            <w:vAlign w:val="center"/>
            <w:tcMar>
              <w:top w:w="95" w:type="dxa"/>
              <w:start w:w="95" w:type="dxa"/>
              <w:bottom w:w="95" w:type="dxa"/>
              <w:end w:w="95" w:type="dxa"/>
            </w:tcMar>
          </w:tcPr>
          <w:p>
            <w:pPr>
              <w:spacing w:after="0"/>
            </w:pPr>
            <w:r>
              <w:rPr>
                <w:rFonts w:ascii="Aptos" w:hAnsi="Aptos"/>
                <w:sz w:val="14"/>
              </w:rPr>
              <w:t>Secondary conversion</w:t>
            </w:r>
          </w:p>
        </w:tc>
        <w:tc>
          <w:tcPr>
            <w:tcW w:type="dxa" w:w="3672"/>
            <w:vAlign w:val="center"/>
            <w:tcMar>
              <w:top w:w="95" w:type="dxa"/>
              <w:start w:w="95" w:type="dxa"/>
              <w:bottom w:w="95" w:type="dxa"/>
              <w:end w:w="95" w:type="dxa"/>
            </w:tcMar>
          </w:tcPr>
          <w:p>
            <w:pPr>
              <w:spacing w:after="0"/>
            </w:pPr>
            <w:r>
              <w:rPr>
                <w:rFonts w:ascii="Aptos" w:hAnsi="Aptos"/>
                <w:sz w:val="14"/>
              </w:rPr>
              <w:t>Capture buyers who are not ready for a consultation.</w:t>
            </w:r>
          </w:p>
        </w:tc>
        <w:tc>
          <w:tcPr>
            <w:tcW w:type="dxa" w:w="4320"/>
            <w:vAlign w:val="center"/>
            <w:tcMar>
              <w:top w:w="95" w:type="dxa"/>
              <w:start w:w="95" w:type="dxa"/>
              <w:bottom w:w="95" w:type="dxa"/>
              <w:end w:w="95" w:type="dxa"/>
            </w:tcMar>
          </w:tcPr>
          <w:p>
            <w:pPr>
              <w:spacing w:after="0"/>
            </w:pPr>
            <w:r>
              <w:rPr>
                <w:rFonts w:ascii="Aptos" w:hAnsi="Aptos"/>
                <w:sz w:val="14"/>
              </w:rPr>
              <w:t>Self-assessment.</w:t>
            </w:r>
          </w:p>
        </w:tc>
      </w:tr>
      <w:tr>
        <w:tc>
          <w:tcPr>
            <w:tcW w:type="dxa" w:w="1800"/>
            <w:vAlign w:val="center"/>
            <w:tcMar>
              <w:top w:w="95" w:type="dxa"/>
              <w:start w:w="95" w:type="dxa"/>
              <w:bottom w:w="95" w:type="dxa"/>
              <w:end w:w="95" w:type="dxa"/>
            </w:tcMar>
          </w:tcPr>
          <w:p>
            <w:pPr>
              <w:spacing w:after="0"/>
            </w:pPr>
            <w:r>
              <w:rPr>
                <w:rFonts w:ascii="Aptos" w:hAnsi="Aptos"/>
                <w:sz w:val="14"/>
              </w:rPr>
              <w:t>Insights</w:t>
            </w:r>
          </w:p>
        </w:tc>
        <w:tc>
          <w:tcPr>
            <w:tcW w:type="dxa" w:w="3672"/>
            <w:vAlign w:val="center"/>
            <w:tcMar>
              <w:top w:w="95" w:type="dxa"/>
              <w:start w:w="95" w:type="dxa"/>
              <w:bottom w:w="95" w:type="dxa"/>
              <w:end w:w="95" w:type="dxa"/>
            </w:tcMar>
          </w:tcPr>
          <w:p>
            <w:pPr>
              <w:spacing w:after="0"/>
            </w:pPr>
            <w:r>
              <w:rPr>
                <w:rFonts w:ascii="Aptos" w:hAnsi="Aptos"/>
                <w:sz w:val="14"/>
              </w:rPr>
              <w:t>Support authority and discovery.</w:t>
            </w:r>
          </w:p>
        </w:tc>
        <w:tc>
          <w:tcPr>
            <w:tcW w:type="dxa" w:w="4320"/>
            <w:vAlign w:val="center"/>
            <w:tcMar>
              <w:top w:w="95" w:type="dxa"/>
              <w:start w:w="95" w:type="dxa"/>
              <w:bottom w:w="95" w:type="dxa"/>
              <w:end w:w="95" w:type="dxa"/>
            </w:tcMar>
          </w:tcPr>
          <w:p>
            <w:pPr>
              <w:spacing w:after="0"/>
            </w:pPr>
            <w:r>
              <w:rPr>
                <w:rFonts w:ascii="Aptos" w:hAnsi="Aptos"/>
                <w:sz w:val="14"/>
              </w:rPr>
              <w:t>Current useful content, not a generic blog feed.</w:t>
            </w:r>
          </w:p>
        </w:tc>
      </w:tr>
    </w:tbl>
    <w:p>
      <w:pPr>
        <w:spacing w:after="20"/>
      </w:pPr>
    </w:p>
    <w:p>
      <w:pPr>
        <w:pStyle w:val="Heading1"/>
      </w:pPr>
      <w:r>
        <w:t>9. For My Team Page Blueprint</w:t>
      </w:r>
    </w:p>
    <w:tbl>
      <w:tblPr>
        <w:tblStyle w:val="TableGrid"/>
        <w:tblW w:type="auto" w:w="0"/>
        <w:jc w:val="center"/>
        <w:tblLook w:firstColumn="1" w:firstRow="1" w:lastColumn="0" w:lastRow="0" w:noHBand="0" w:noVBand="1" w:val="04A0"/>
      </w:tblPr>
      <w:tblGrid>
        <w:gridCol w:w="5184"/>
        <w:gridCol w:w="5184"/>
      </w:tblGrid>
      <w:tr>
        <w:tc>
          <w:tcPr>
            <w:tcW w:type="dxa" w:w="2304"/>
            <w:shd w:fill="173B56"/>
            <w:vAlign w:val="center"/>
            <w:tcMar>
              <w:top w:w="100" w:type="dxa"/>
              <w:start w:w="100" w:type="dxa"/>
              <w:bottom w:w="100" w:type="dxa"/>
              <w:end w:w="100" w:type="dxa"/>
            </w:tcMar>
          </w:tcPr>
          <w:p>
            <w:r>
              <w:rPr>
                <w:b/>
                <w:color w:val="FFFFFF"/>
                <w:sz w:val="15"/>
              </w:rPr>
              <w:t>Requirement</w:t>
            </w:r>
          </w:p>
        </w:tc>
        <w:tc>
          <w:tcPr>
            <w:tcW w:type="dxa" w:w="7488"/>
            <w:shd w:fill="173B56"/>
            <w:vAlign w:val="center"/>
            <w:tcMar>
              <w:top w:w="100" w:type="dxa"/>
              <w:start w:w="100" w:type="dxa"/>
              <w:bottom w:w="100" w:type="dxa"/>
              <w:end w:w="100" w:type="dxa"/>
            </w:tcMar>
          </w:tcPr>
          <w:p>
            <w:r>
              <w:rPr>
                <w:b/>
                <w:color w:val="FFFFFF"/>
                <w:sz w:val="15"/>
              </w:rPr>
              <w:t>Direction</w:t>
            </w:r>
          </w:p>
        </w:tc>
      </w:tr>
      <w:tr>
        <w:tc>
          <w:tcPr>
            <w:tcW w:type="dxa" w:w="2304"/>
            <w:vAlign w:val="center"/>
            <w:tcMar>
              <w:top w:w="95" w:type="dxa"/>
              <w:start w:w="95" w:type="dxa"/>
              <w:bottom w:w="95" w:type="dxa"/>
              <w:end w:w="95" w:type="dxa"/>
            </w:tcMar>
          </w:tcPr>
          <w:p>
            <w:pPr>
              <w:spacing w:after="0"/>
            </w:pPr>
            <w:r>
              <w:rPr>
                <w:rFonts w:ascii="Aptos" w:hAnsi="Aptos"/>
                <w:sz w:val="15"/>
              </w:rPr>
              <w:t>Strategic purpose</w:t>
            </w:r>
          </w:p>
        </w:tc>
        <w:tc>
          <w:tcPr>
            <w:tcW w:type="dxa" w:w="7488"/>
            <w:vAlign w:val="center"/>
            <w:tcMar>
              <w:top w:w="95" w:type="dxa"/>
              <w:start w:w="95" w:type="dxa"/>
              <w:bottom w:w="95" w:type="dxa"/>
              <w:end w:w="95" w:type="dxa"/>
            </w:tcMar>
          </w:tcPr>
          <w:p>
            <w:pPr>
              <w:spacing w:after="0"/>
            </w:pPr>
            <w:r>
              <w:rPr>
                <w:rFonts w:ascii="Aptos" w:hAnsi="Aptos"/>
                <w:sz w:val="15"/>
              </w:rPr>
              <w:t>Primary enterprise conversion page for corporate buyers evaluating NuVue as a development partner.</w:t>
            </w:r>
          </w:p>
        </w:tc>
      </w:tr>
      <w:tr>
        <w:tc>
          <w:tcPr>
            <w:tcW w:type="dxa" w:w="2304"/>
            <w:vAlign w:val="center"/>
            <w:tcMar>
              <w:top w:w="95" w:type="dxa"/>
              <w:start w:w="95" w:type="dxa"/>
              <w:bottom w:w="95" w:type="dxa"/>
              <w:end w:w="95" w:type="dxa"/>
            </w:tcMar>
          </w:tcPr>
          <w:p>
            <w:pPr>
              <w:spacing w:after="0"/>
            </w:pPr>
            <w:r>
              <w:rPr>
                <w:rFonts w:ascii="Aptos" w:hAnsi="Aptos"/>
                <w:sz w:val="15"/>
              </w:rPr>
              <w:t>Primary audience</w:t>
            </w:r>
          </w:p>
        </w:tc>
        <w:tc>
          <w:tcPr>
            <w:tcW w:type="dxa" w:w="7488"/>
            <w:vAlign w:val="center"/>
            <w:tcMar>
              <w:top w:w="95" w:type="dxa"/>
              <w:start w:w="95" w:type="dxa"/>
              <w:bottom w:w="95" w:type="dxa"/>
              <w:end w:w="95" w:type="dxa"/>
            </w:tcMar>
          </w:tcPr>
          <w:p>
            <w:pPr>
              <w:spacing w:after="0"/>
            </w:pPr>
            <w:r>
              <w:rPr>
                <w:rFonts w:ascii="Aptos" w:hAnsi="Aptos"/>
                <w:sz w:val="15"/>
              </w:rPr>
              <w:t>VP Sales, L&amp;D / HR, CSO, business-unit leaders, and related buying committee.</w:t>
            </w:r>
          </w:p>
        </w:tc>
      </w:tr>
      <w:tr>
        <w:tc>
          <w:tcPr>
            <w:tcW w:type="dxa" w:w="2304"/>
            <w:vAlign w:val="center"/>
            <w:tcMar>
              <w:top w:w="95" w:type="dxa"/>
              <w:start w:w="95" w:type="dxa"/>
              <w:bottom w:w="95" w:type="dxa"/>
              <w:end w:w="95" w:type="dxa"/>
            </w:tcMar>
          </w:tcPr>
          <w:p>
            <w:pPr>
              <w:spacing w:after="0"/>
            </w:pPr>
            <w:r>
              <w:rPr>
                <w:rFonts w:ascii="Aptos" w:hAnsi="Aptos"/>
                <w:sz w:val="15"/>
              </w:rPr>
              <w:t>Primary buyer intent</w:t>
            </w:r>
          </w:p>
        </w:tc>
        <w:tc>
          <w:tcPr>
            <w:tcW w:type="dxa" w:w="7488"/>
            <w:vAlign w:val="center"/>
            <w:tcMar>
              <w:top w:w="95" w:type="dxa"/>
              <w:start w:w="95" w:type="dxa"/>
              <w:bottom w:w="95" w:type="dxa"/>
              <w:end w:w="95" w:type="dxa"/>
            </w:tcMar>
          </w:tcPr>
          <w:p>
            <w:pPr>
              <w:spacing w:after="0"/>
            </w:pPr>
            <w:r>
              <w:rPr>
                <w:rFonts w:ascii="Aptos" w:hAnsi="Aptos"/>
                <w:sz w:val="15"/>
              </w:rPr>
              <w:t>Product Aware.</w:t>
            </w:r>
          </w:p>
        </w:tc>
      </w:tr>
      <w:tr>
        <w:tc>
          <w:tcPr>
            <w:tcW w:type="dxa" w:w="2304"/>
            <w:vAlign w:val="center"/>
            <w:tcMar>
              <w:top w:w="95" w:type="dxa"/>
              <w:start w:w="95" w:type="dxa"/>
              <w:bottom w:w="95" w:type="dxa"/>
              <w:end w:w="95" w:type="dxa"/>
            </w:tcMar>
          </w:tcPr>
          <w:p>
            <w:pPr>
              <w:spacing w:after="0"/>
            </w:pPr>
            <w:r>
              <w:rPr>
                <w:rFonts w:ascii="Aptos" w:hAnsi="Aptos"/>
                <w:sz w:val="15"/>
              </w:rPr>
              <w:t>Secondary buyer intent</w:t>
            </w:r>
          </w:p>
        </w:tc>
        <w:tc>
          <w:tcPr>
            <w:tcW w:type="dxa" w:w="7488"/>
            <w:vAlign w:val="center"/>
            <w:tcMar>
              <w:top w:w="95" w:type="dxa"/>
              <w:start w:w="95" w:type="dxa"/>
              <w:bottom w:w="95" w:type="dxa"/>
              <w:end w:w="95" w:type="dxa"/>
            </w:tcMar>
          </w:tcPr>
          <w:p>
            <w:pPr>
              <w:spacing w:after="0"/>
            </w:pPr>
            <w:r>
              <w:rPr>
                <w:rFonts w:ascii="Aptos" w:hAnsi="Aptos"/>
                <w:sz w:val="15"/>
              </w:rPr>
              <w:t>Solution Aware.</w:t>
            </w:r>
          </w:p>
        </w:tc>
      </w:tr>
      <w:tr>
        <w:tc>
          <w:tcPr>
            <w:tcW w:type="dxa" w:w="2304"/>
            <w:vAlign w:val="center"/>
            <w:tcMar>
              <w:top w:w="95" w:type="dxa"/>
              <w:start w:w="95" w:type="dxa"/>
              <w:bottom w:w="95" w:type="dxa"/>
              <w:end w:w="95" w:type="dxa"/>
            </w:tcMar>
          </w:tcPr>
          <w:p>
            <w:pPr>
              <w:spacing w:after="0"/>
            </w:pPr>
            <w:r>
              <w:rPr>
                <w:rFonts w:ascii="Aptos" w:hAnsi="Aptos"/>
                <w:sz w:val="15"/>
              </w:rPr>
              <w:t>Key message</w:t>
            </w:r>
          </w:p>
        </w:tc>
        <w:tc>
          <w:tcPr>
            <w:tcW w:type="dxa" w:w="7488"/>
            <w:vAlign w:val="center"/>
            <w:tcMar>
              <w:top w:w="95" w:type="dxa"/>
              <w:start w:w="95" w:type="dxa"/>
              <w:bottom w:w="95" w:type="dxa"/>
              <w:end w:w="95" w:type="dxa"/>
            </w:tcMar>
          </w:tcPr>
          <w:p>
            <w:pPr>
              <w:spacing w:after="0"/>
            </w:pPr>
            <w:r>
              <w:rPr>
                <w:rFonts w:ascii="Aptos" w:hAnsi="Aptos"/>
                <w:sz w:val="15"/>
              </w:rPr>
              <w:t>NuVue can help build a durable multi-year development path across Sales, Leadership, and Business Acumen.</w:t>
            </w:r>
          </w:p>
        </w:tc>
      </w:tr>
      <w:tr>
        <w:tc>
          <w:tcPr>
            <w:tcW w:type="dxa" w:w="2304"/>
            <w:vAlign w:val="center"/>
            <w:tcMar>
              <w:top w:w="95" w:type="dxa"/>
              <w:start w:w="95" w:type="dxa"/>
              <w:bottom w:w="95" w:type="dxa"/>
              <w:end w:w="95" w:type="dxa"/>
            </w:tcMar>
          </w:tcPr>
          <w:p>
            <w:pPr>
              <w:spacing w:after="0"/>
            </w:pPr>
            <w:r>
              <w:rPr>
                <w:rFonts w:ascii="Aptos" w:hAnsi="Aptos"/>
                <w:sz w:val="15"/>
              </w:rPr>
              <w:t>Primary CTA</w:t>
            </w:r>
          </w:p>
        </w:tc>
        <w:tc>
          <w:tcPr>
            <w:tcW w:type="dxa" w:w="7488"/>
            <w:vAlign w:val="center"/>
            <w:tcMar>
              <w:top w:w="95" w:type="dxa"/>
              <w:start w:w="95" w:type="dxa"/>
              <w:bottom w:w="95" w:type="dxa"/>
              <w:end w:w="95" w:type="dxa"/>
            </w:tcMar>
          </w:tcPr>
          <w:p>
            <w:pPr>
              <w:spacing w:after="0"/>
            </w:pPr>
            <w:r>
              <w:rPr>
                <w:rFonts w:ascii="Aptos" w:hAnsi="Aptos"/>
                <w:sz w:val="15"/>
              </w:rPr>
              <w:t>Request a Consultation / Tell Us Your Challenge.</w:t>
            </w:r>
          </w:p>
        </w:tc>
      </w:tr>
      <w:tr>
        <w:tc>
          <w:tcPr>
            <w:tcW w:type="dxa" w:w="2304"/>
            <w:vAlign w:val="center"/>
            <w:tcMar>
              <w:top w:w="95" w:type="dxa"/>
              <w:start w:w="95" w:type="dxa"/>
              <w:bottom w:w="95" w:type="dxa"/>
              <w:end w:w="95" w:type="dxa"/>
            </w:tcMar>
          </w:tcPr>
          <w:p>
            <w:pPr>
              <w:spacing w:after="0"/>
            </w:pPr>
            <w:r>
              <w:rPr>
                <w:rFonts w:ascii="Aptos" w:hAnsi="Aptos"/>
                <w:sz w:val="15"/>
              </w:rPr>
              <w:t>Critical sections</w:t>
            </w:r>
          </w:p>
        </w:tc>
        <w:tc>
          <w:tcPr>
            <w:tcW w:type="dxa" w:w="7488"/>
            <w:vAlign w:val="center"/>
            <w:tcMar>
              <w:top w:w="95" w:type="dxa"/>
              <w:start w:w="95" w:type="dxa"/>
              <w:bottom w:w="95" w:type="dxa"/>
              <w:end w:w="95" w:type="dxa"/>
            </w:tcMar>
          </w:tcPr>
          <w:p>
            <w:pPr>
              <w:spacing w:after="0"/>
            </w:pPr>
            <w:r>
              <w:rPr>
                <w:rFonts w:ascii="Aptos" w:hAnsi="Aptos"/>
                <w:sz w:val="15"/>
              </w:rPr>
              <w:t>Three pillars, multi-year curriculum, 12-week learning journey, delivery flexibility, industry expertise, guarantee teaser, enterprise proof, process, FAQ.</w:t>
            </w:r>
          </w:p>
        </w:tc>
      </w:tr>
      <w:tr>
        <w:tc>
          <w:tcPr>
            <w:tcW w:type="dxa" w:w="2304"/>
            <w:vAlign w:val="center"/>
            <w:tcMar>
              <w:top w:w="95" w:type="dxa"/>
              <w:start w:w="95" w:type="dxa"/>
              <w:bottom w:w="95" w:type="dxa"/>
              <w:end w:w="95" w:type="dxa"/>
            </w:tcMar>
          </w:tcPr>
          <w:p>
            <w:pPr>
              <w:spacing w:after="0"/>
            </w:pPr>
            <w:r>
              <w:rPr>
                <w:rFonts w:ascii="Aptos" w:hAnsi="Aptos"/>
                <w:sz w:val="15"/>
              </w:rPr>
              <w:t>Proof requirement</w:t>
            </w:r>
          </w:p>
        </w:tc>
        <w:tc>
          <w:tcPr>
            <w:tcW w:type="dxa" w:w="7488"/>
            <w:vAlign w:val="center"/>
            <w:tcMar>
              <w:top w:w="95" w:type="dxa"/>
              <w:start w:w="95" w:type="dxa"/>
              <w:bottom w:w="95" w:type="dxa"/>
              <w:end w:w="95" w:type="dxa"/>
            </w:tcMar>
          </w:tcPr>
          <w:p>
            <w:pPr>
              <w:spacing w:after="0"/>
            </w:pPr>
            <w:r>
              <w:rPr>
                <w:rFonts w:ascii="Aptos" w:hAnsi="Aptos"/>
                <w:sz w:val="15"/>
              </w:rPr>
              <w:t>Client-approved case studies, ROI Impact Evaluations, approved logos, guarantee documentation.</w:t>
            </w:r>
          </w:p>
        </w:tc>
      </w:tr>
      <w:tr>
        <w:tc>
          <w:tcPr>
            <w:tcW w:type="dxa" w:w="2304"/>
            <w:vAlign w:val="center"/>
            <w:tcMar>
              <w:top w:w="95" w:type="dxa"/>
              <w:start w:w="95" w:type="dxa"/>
              <w:bottom w:w="95" w:type="dxa"/>
              <w:end w:w="95" w:type="dxa"/>
            </w:tcMar>
          </w:tcPr>
          <w:p>
            <w:pPr>
              <w:spacing w:after="0"/>
            </w:pPr>
            <w:r>
              <w:rPr>
                <w:rFonts w:ascii="Aptos" w:hAnsi="Aptos"/>
                <w:sz w:val="15"/>
              </w:rPr>
              <w:t>Measurement</w:t>
            </w:r>
          </w:p>
        </w:tc>
        <w:tc>
          <w:tcPr>
            <w:tcW w:type="dxa" w:w="7488"/>
            <w:vAlign w:val="center"/>
            <w:tcMar>
              <w:top w:w="95" w:type="dxa"/>
              <w:start w:w="95" w:type="dxa"/>
              <w:bottom w:w="95" w:type="dxa"/>
              <w:end w:w="95" w:type="dxa"/>
            </w:tcMar>
          </w:tcPr>
          <w:p>
            <w:pPr>
              <w:spacing w:after="0"/>
            </w:pPr>
            <w:r>
              <w:rPr>
                <w:rFonts w:ascii="Aptos" w:hAnsi="Aptos"/>
                <w:sz w:val="15"/>
              </w:rPr>
              <w:t>Consultation starts/completions, guarantee clicks, pillar-page clicks, assessment activity, key proof engagement.</w:t>
            </w:r>
          </w:p>
        </w:tc>
      </w:tr>
      <w:tr>
        <w:tc>
          <w:tcPr>
            <w:tcW w:type="dxa" w:w="2304"/>
            <w:vAlign w:val="center"/>
            <w:tcMar>
              <w:top w:w="95" w:type="dxa"/>
              <w:start w:w="95" w:type="dxa"/>
              <w:bottom w:w="95" w:type="dxa"/>
              <w:end w:w="95" w:type="dxa"/>
            </w:tcMar>
          </w:tcPr>
          <w:p>
            <w:pPr>
              <w:spacing w:after="0"/>
            </w:pPr>
            <w:r>
              <w:rPr>
                <w:rFonts w:ascii="Aptos" w:hAnsi="Aptos"/>
                <w:sz w:val="15"/>
              </w:rPr>
              <w:t>Open decision</w:t>
            </w:r>
          </w:p>
        </w:tc>
        <w:tc>
          <w:tcPr>
            <w:tcW w:type="dxa" w:w="7488"/>
            <w:vAlign w:val="center"/>
            <w:tcMar>
              <w:top w:w="95" w:type="dxa"/>
              <w:start w:w="95" w:type="dxa"/>
              <w:bottom w:w="95" w:type="dxa"/>
              <w:end w:w="95" w:type="dxa"/>
            </w:tcMar>
          </w:tcPr>
          <w:p>
            <w:pPr>
              <w:spacing w:after="0"/>
            </w:pPr>
            <w:r>
              <w:rPr>
                <w:rFonts w:ascii="Aptos" w:hAnsi="Aptos"/>
                <w:sz w:val="15"/>
              </w:rPr>
              <w:t>Final guarantee threshold and exact qualification language.</w:t>
            </w:r>
          </w:p>
        </w:tc>
      </w:tr>
    </w:tbl>
    <w:p>
      <w:pPr>
        <w:spacing w:after="20"/>
      </w:pPr>
    </w:p>
    <w:p>
      <w:pPr>
        <w:pStyle w:val="Heading2"/>
      </w:pPr>
      <w:r>
        <w:t>Illustrative Copy Direction</w:t>
      </w:r>
    </w:p>
    <w:p>
      <w:pPr>
        <w:spacing w:after="100"/>
      </w:pPr>
      <w:r>
        <w:t>Headline territory: Build a sales and leadership development system your team can keep growing into.</w:t>
      </w:r>
    </w:p>
    <w:p>
      <w:pPr>
        <w:spacing w:after="100"/>
      </w:pPr>
      <w:r>
        <w:t>Supporting direction: Position multi-year partnership and measurable learning without implying an unverified causal revenue promise.</w:t>
      </w:r>
    </w:p>
    <w:p>
      <w:pPr>
        <w:spacing w:after="100"/>
      </w:pPr>
      <w:r>
        <w:t>Proof direction: Use the client-approved $400K / guarantee / enterprise evidence only where the underlying source is attached to the claim.</w:t>
      </w:r>
    </w:p>
    <w:p>
      <w:pPr>
        <w:pStyle w:val="Heading1"/>
      </w:pPr>
      <w:r>
        <w:t>10. For Myself Page Blueprint</w:t>
      </w:r>
    </w:p>
    <w:tbl>
      <w:tblPr>
        <w:tblStyle w:val="TableGrid"/>
        <w:tblW w:type="auto" w:w="0"/>
        <w:jc w:val="center"/>
        <w:tblLook w:firstColumn="1" w:firstRow="1" w:lastColumn="0" w:lastRow="0" w:noHBand="0" w:noVBand="1" w:val="04A0"/>
      </w:tblPr>
      <w:tblGrid>
        <w:gridCol w:w="5184"/>
        <w:gridCol w:w="5184"/>
      </w:tblGrid>
      <w:tr>
        <w:tc>
          <w:tcPr>
            <w:tcW w:type="dxa" w:w="2304"/>
            <w:shd w:fill="173B56"/>
            <w:vAlign w:val="center"/>
            <w:tcMar>
              <w:top w:w="100" w:type="dxa"/>
              <w:start w:w="100" w:type="dxa"/>
              <w:bottom w:w="100" w:type="dxa"/>
              <w:end w:w="100" w:type="dxa"/>
            </w:tcMar>
          </w:tcPr>
          <w:p>
            <w:r>
              <w:rPr>
                <w:b/>
                <w:color w:val="FFFFFF"/>
                <w:sz w:val="15"/>
              </w:rPr>
              <w:t>Requirement</w:t>
            </w:r>
          </w:p>
        </w:tc>
        <w:tc>
          <w:tcPr>
            <w:tcW w:type="dxa" w:w="7488"/>
            <w:shd w:fill="173B56"/>
            <w:vAlign w:val="center"/>
            <w:tcMar>
              <w:top w:w="100" w:type="dxa"/>
              <w:start w:w="100" w:type="dxa"/>
              <w:bottom w:w="100" w:type="dxa"/>
              <w:end w:w="100" w:type="dxa"/>
            </w:tcMar>
          </w:tcPr>
          <w:p>
            <w:r>
              <w:rPr>
                <w:b/>
                <w:color w:val="FFFFFF"/>
                <w:sz w:val="15"/>
              </w:rPr>
              <w:t>Direction</w:t>
            </w:r>
          </w:p>
        </w:tc>
      </w:tr>
      <w:tr>
        <w:tc>
          <w:tcPr>
            <w:tcW w:type="dxa" w:w="2304"/>
            <w:vAlign w:val="center"/>
            <w:tcMar>
              <w:top w:w="95" w:type="dxa"/>
              <w:start w:w="95" w:type="dxa"/>
              <w:bottom w:w="95" w:type="dxa"/>
              <w:end w:w="95" w:type="dxa"/>
            </w:tcMar>
          </w:tcPr>
          <w:p>
            <w:pPr>
              <w:spacing w:after="0"/>
            </w:pPr>
            <w:r>
              <w:rPr>
                <w:rFonts w:ascii="Aptos" w:hAnsi="Aptos"/>
                <w:sz w:val="15"/>
              </w:rPr>
              <w:t>Strategic purpose</w:t>
            </w:r>
          </w:p>
        </w:tc>
        <w:tc>
          <w:tcPr>
            <w:tcW w:type="dxa" w:w="7488"/>
            <w:vAlign w:val="center"/>
            <w:tcMar>
              <w:top w:w="95" w:type="dxa"/>
              <w:start w:w="95" w:type="dxa"/>
              <w:bottom w:w="95" w:type="dxa"/>
              <w:end w:w="95" w:type="dxa"/>
            </w:tcMar>
          </w:tcPr>
          <w:p>
            <w:pPr>
              <w:spacing w:after="0"/>
            </w:pPr>
            <w:r>
              <w:rPr>
                <w:rFonts w:ascii="Aptos" w:hAnsi="Aptos"/>
                <w:sz w:val="15"/>
              </w:rPr>
              <w:t>Convert individual professionals and company-directed attendees into the appropriate seminar / program path while capturing corporate context.</w:t>
            </w:r>
          </w:p>
        </w:tc>
      </w:tr>
      <w:tr>
        <w:tc>
          <w:tcPr>
            <w:tcW w:type="dxa" w:w="2304"/>
            <w:vAlign w:val="center"/>
            <w:tcMar>
              <w:top w:w="95" w:type="dxa"/>
              <w:start w:w="95" w:type="dxa"/>
              <w:bottom w:w="95" w:type="dxa"/>
              <w:end w:w="95" w:type="dxa"/>
            </w:tcMar>
          </w:tcPr>
          <w:p>
            <w:pPr>
              <w:spacing w:after="0"/>
            </w:pPr>
            <w:r>
              <w:rPr>
                <w:rFonts w:ascii="Aptos" w:hAnsi="Aptos"/>
                <w:sz w:val="15"/>
              </w:rPr>
              <w:t>Primary audience</w:t>
            </w:r>
          </w:p>
        </w:tc>
        <w:tc>
          <w:tcPr>
            <w:tcW w:type="dxa" w:w="7488"/>
            <w:vAlign w:val="center"/>
            <w:tcMar>
              <w:top w:w="95" w:type="dxa"/>
              <w:start w:w="95" w:type="dxa"/>
              <w:bottom w:w="95" w:type="dxa"/>
              <w:end w:w="95" w:type="dxa"/>
            </w:tcMar>
          </w:tcPr>
          <w:p>
            <w:pPr>
              <w:spacing w:after="0"/>
            </w:pPr>
            <w:r>
              <w:rPr>
                <w:rFonts w:ascii="Aptos" w:hAnsi="Aptos"/>
                <w:sz w:val="15"/>
              </w:rPr>
              <w:t>Self-directed sales professionals and company-directed attendees.</w:t>
            </w:r>
          </w:p>
        </w:tc>
      </w:tr>
      <w:tr>
        <w:tc>
          <w:tcPr>
            <w:tcW w:type="dxa" w:w="2304"/>
            <w:vAlign w:val="center"/>
            <w:tcMar>
              <w:top w:w="95" w:type="dxa"/>
              <w:start w:w="95" w:type="dxa"/>
              <w:bottom w:w="95" w:type="dxa"/>
              <w:end w:w="95" w:type="dxa"/>
            </w:tcMar>
          </w:tcPr>
          <w:p>
            <w:pPr>
              <w:spacing w:after="0"/>
            </w:pPr>
            <w:r>
              <w:rPr>
                <w:rFonts w:ascii="Aptos" w:hAnsi="Aptos"/>
                <w:sz w:val="15"/>
              </w:rPr>
              <w:t>Primary buyer intent</w:t>
            </w:r>
          </w:p>
        </w:tc>
        <w:tc>
          <w:tcPr>
            <w:tcW w:type="dxa" w:w="7488"/>
            <w:vAlign w:val="center"/>
            <w:tcMar>
              <w:top w:w="95" w:type="dxa"/>
              <w:start w:w="95" w:type="dxa"/>
              <w:bottom w:w="95" w:type="dxa"/>
              <w:end w:w="95" w:type="dxa"/>
            </w:tcMar>
          </w:tcPr>
          <w:p>
            <w:pPr>
              <w:spacing w:after="0"/>
            </w:pPr>
            <w:r>
              <w:rPr>
                <w:rFonts w:ascii="Aptos" w:hAnsi="Aptos"/>
                <w:sz w:val="15"/>
              </w:rPr>
              <w:t>Product Aware / Most Aware.</w:t>
            </w:r>
          </w:p>
        </w:tc>
      </w:tr>
      <w:tr>
        <w:tc>
          <w:tcPr>
            <w:tcW w:type="dxa" w:w="2304"/>
            <w:vAlign w:val="center"/>
            <w:tcMar>
              <w:top w:w="95" w:type="dxa"/>
              <w:start w:w="95" w:type="dxa"/>
              <w:bottom w:w="95" w:type="dxa"/>
              <w:end w:w="95" w:type="dxa"/>
            </w:tcMar>
          </w:tcPr>
          <w:p>
            <w:pPr>
              <w:spacing w:after="0"/>
            </w:pPr>
            <w:r>
              <w:rPr>
                <w:rFonts w:ascii="Aptos" w:hAnsi="Aptos"/>
                <w:sz w:val="15"/>
              </w:rPr>
              <w:t>Secondary buyer intent</w:t>
            </w:r>
          </w:p>
        </w:tc>
        <w:tc>
          <w:tcPr>
            <w:tcW w:type="dxa" w:w="7488"/>
            <w:vAlign w:val="center"/>
            <w:tcMar>
              <w:top w:w="95" w:type="dxa"/>
              <w:start w:w="95" w:type="dxa"/>
              <w:bottom w:w="95" w:type="dxa"/>
              <w:end w:w="95" w:type="dxa"/>
            </w:tcMar>
          </w:tcPr>
          <w:p>
            <w:pPr>
              <w:spacing w:after="0"/>
            </w:pPr>
            <w:r>
              <w:rPr>
                <w:rFonts w:ascii="Aptos" w:hAnsi="Aptos"/>
                <w:sz w:val="15"/>
              </w:rPr>
              <w:t>Solution Aware.</w:t>
            </w:r>
          </w:p>
        </w:tc>
      </w:tr>
      <w:tr>
        <w:tc>
          <w:tcPr>
            <w:tcW w:type="dxa" w:w="2304"/>
            <w:vAlign w:val="center"/>
            <w:tcMar>
              <w:top w:w="95" w:type="dxa"/>
              <w:start w:w="95" w:type="dxa"/>
              <w:bottom w:w="95" w:type="dxa"/>
              <w:end w:w="95" w:type="dxa"/>
            </w:tcMar>
          </w:tcPr>
          <w:p>
            <w:pPr>
              <w:spacing w:after="0"/>
            </w:pPr>
            <w:r>
              <w:rPr>
                <w:rFonts w:ascii="Aptos" w:hAnsi="Aptos"/>
                <w:sz w:val="15"/>
              </w:rPr>
              <w:t>Primary CTA</w:t>
            </w:r>
          </w:p>
        </w:tc>
        <w:tc>
          <w:tcPr>
            <w:tcW w:type="dxa" w:w="7488"/>
            <w:vAlign w:val="center"/>
            <w:tcMar>
              <w:top w:w="95" w:type="dxa"/>
              <w:start w:w="95" w:type="dxa"/>
              <w:bottom w:w="95" w:type="dxa"/>
              <w:end w:w="95" w:type="dxa"/>
            </w:tcMar>
          </w:tcPr>
          <w:p>
            <w:pPr>
              <w:spacing w:after="0"/>
            </w:pPr>
            <w:r>
              <w:rPr>
                <w:rFonts w:ascii="Aptos" w:hAnsi="Aptos"/>
                <w:sz w:val="15"/>
              </w:rPr>
              <w:t>Explore / register for public seminars.</w:t>
            </w:r>
          </w:p>
        </w:tc>
      </w:tr>
      <w:tr>
        <w:tc>
          <w:tcPr>
            <w:tcW w:type="dxa" w:w="2304"/>
            <w:vAlign w:val="center"/>
            <w:tcMar>
              <w:top w:w="95" w:type="dxa"/>
              <w:start w:w="95" w:type="dxa"/>
              <w:bottom w:w="95" w:type="dxa"/>
              <w:end w:w="95" w:type="dxa"/>
            </w:tcMar>
          </w:tcPr>
          <w:p>
            <w:pPr>
              <w:spacing w:after="0"/>
            </w:pPr>
            <w:r>
              <w:rPr>
                <w:rFonts w:ascii="Aptos" w:hAnsi="Aptos"/>
                <w:sz w:val="15"/>
              </w:rPr>
              <w:t>Secondary CTA</w:t>
            </w:r>
          </w:p>
        </w:tc>
        <w:tc>
          <w:tcPr>
            <w:tcW w:type="dxa" w:w="7488"/>
            <w:vAlign w:val="center"/>
            <w:tcMar>
              <w:top w:w="95" w:type="dxa"/>
              <w:start w:w="95" w:type="dxa"/>
              <w:bottom w:w="95" w:type="dxa"/>
              <w:end w:w="95" w:type="dxa"/>
            </w:tcMar>
          </w:tcPr>
          <w:p>
            <w:pPr>
              <w:spacing w:after="0"/>
            </w:pPr>
            <w:r>
              <w:rPr>
                <w:rFonts w:ascii="Aptos" w:hAnsi="Aptos"/>
                <w:sz w:val="15"/>
              </w:rPr>
              <w:t>Self-assessment; manager-summary download where appropriate.</w:t>
            </w:r>
          </w:p>
        </w:tc>
      </w:tr>
      <w:tr>
        <w:tc>
          <w:tcPr>
            <w:tcW w:type="dxa" w:w="2304"/>
            <w:vAlign w:val="center"/>
            <w:tcMar>
              <w:top w:w="95" w:type="dxa"/>
              <w:start w:w="95" w:type="dxa"/>
              <w:bottom w:w="95" w:type="dxa"/>
              <w:end w:w="95" w:type="dxa"/>
            </w:tcMar>
          </w:tcPr>
          <w:p>
            <w:pPr>
              <w:spacing w:after="0"/>
            </w:pPr>
            <w:r>
              <w:rPr>
                <w:rFonts w:ascii="Aptos" w:hAnsi="Aptos"/>
                <w:sz w:val="15"/>
              </w:rPr>
              <w:t>Critical sections</w:t>
            </w:r>
          </w:p>
        </w:tc>
        <w:tc>
          <w:tcPr>
            <w:tcW w:type="dxa" w:w="7488"/>
            <w:vAlign w:val="center"/>
            <w:tcMar>
              <w:top w:w="95" w:type="dxa"/>
              <w:start w:w="95" w:type="dxa"/>
              <w:bottom w:w="95" w:type="dxa"/>
              <w:end w:w="95" w:type="dxa"/>
            </w:tcMar>
          </w:tcPr>
          <w:p>
            <w:pPr>
              <w:spacing w:after="0"/>
            </w:pPr>
            <w:r>
              <w:rPr>
                <w:rFonts w:ascii="Aptos" w:hAnsi="Aptos"/>
                <w:sz w:val="15"/>
              </w:rPr>
              <w:t>Seminar overview, career outcomes, program logistics, LTNS, manager-approval support, testimonials, FAQ.</w:t>
            </w:r>
          </w:p>
        </w:tc>
      </w:tr>
      <w:tr>
        <w:tc>
          <w:tcPr>
            <w:tcW w:type="dxa" w:w="2304"/>
            <w:vAlign w:val="center"/>
            <w:tcMar>
              <w:top w:w="95" w:type="dxa"/>
              <w:start w:w="95" w:type="dxa"/>
              <w:bottom w:w="95" w:type="dxa"/>
              <w:end w:w="95" w:type="dxa"/>
            </w:tcMar>
          </w:tcPr>
          <w:p>
            <w:pPr>
              <w:spacing w:after="0"/>
            </w:pPr>
            <w:r>
              <w:rPr>
                <w:rFonts w:ascii="Aptos" w:hAnsi="Aptos"/>
                <w:sz w:val="15"/>
              </w:rPr>
              <w:t>Measurement</w:t>
            </w:r>
          </w:p>
        </w:tc>
        <w:tc>
          <w:tcPr>
            <w:tcW w:type="dxa" w:w="7488"/>
            <w:vAlign w:val="center"/>
            <w:tcMar>
              <w:top w:w="95" w:type="dxa"/>
              <w:start w:w="95" w:type="dxa"/>
              <w:bottom w:w="95" w:type="dxa"/>
              <w:end w:w="95" w:type="dxa"/>
            </w:tcMar>
          </w:tcPr>
          <w:p>
            <w:pPr>
              <w:spacing w:after="0"/>
            </w:pPr>
            <w:r>
              <w:rPr>
                <w:rFonts w:ascii="Aptos" w:hAnsi="Aptos"/>
                <w:sz w:val="15"/>
              </w:rPr>
              <w:t>Seminar-page views, registration starts/completions, manager-summary download, assessment completion, company-field capture.</w:t>
            </w:r>
          </w:p>
        </w:tc>
      </w:tr>
      <w:tr>
        <w:tc>
          <w:tcPr>
            <w:tcW w:type="dxa" w:w="2304"/>
            <w:vAlign w:val="center"/>
            <w:tcMar>
              <w:top w:w="95" w:type="dxa"/>
              <w:start w:w="95" w:type="dxa"/>
              <w:bottom w:w="95" w:type="dxa"/>
              <w:end w:w="95" w:type="dxa"/>
            </w:tcMar>
          </w:tcPr>
          <w:p>
            <w:pPr>
              <w:spacing w:after="0"/>
            </w:pPr>
            <w:r>
              <w:rPr>
                <w:rFonts w:ascii="Aptos" w:hAnsi="Aptos"/>
                <w:sz w:val="15"/>
              </w:rPr>
              <w:t>CRM requirement</w:t>
            </w:r>
          </w:p>
        </w:tc>
        <w:tc>
          <w:tcPr>
            <w:tcW w:type="dxa" w:w="7488"/>
            <w:vAlign w:val="center"/>
            <w:tcMar>
              <w:top w:w="95" w:type="dxa"/>
              <w:start w:w="95" w:type="dxa"/>
              <w:bottom w:w="95" w:type="dxa"/>
              <w:end w:w="95" w:type="dxa"/>
            </w:tcMar>
          </w:tcPr>
          <w:p>
            <w:pPr>
              <w:spacing w:after="0"/>
            </w:pPr>
            <w:r>
              <w:rPr>
                <w:rFonts w:ascii="Aptos" w:hAnsi="Aptos"/>
                <w:sz w:val="15"/>
              </w:rPr>
              <w:t>Registration should preserve company name and relevant company context to identify corporate pipeline opportunities where appropriate.</w:t>
            </w:r>
          </w:p>
        </w:tc>
      </w:tr>
    </w:tbl>
    <w:p>
      <w:pPr>
        <w:spacing w:after="20"/>
      </w:pPr>
    </w:p>
    <w:p>
      <w:pPr>
        <w:pStyle w:val="Heading1"/>
      </w:pPr>
      <w:r>
        <w:t>11. Curriculum &amp; Pillar Page Blueprint</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173B56"/>
            <w:vAlign w:val="center"/>
            <w:tcMar>
              <w:top w:w="100" w:type="dxa"/>
              <w:start w:w="100" w:type="dxa"/>
              <w:bottom w:w="100" w:type="dxa"/>
              <w:end w:w="100" w:type="dxa"/>
            </w:tcMar>
          </w:tcPr>
          <w:p>
            <w:r>
              <w:rPr>
                <w:b/>
                <w:color w:val="FFFFFF"/>
                <w:sz w:val="14"/>
              </w:rPr>
              <w:t>Page type</w:t>
            </w:r>
          </w:p>
        </w:tc>
        <w:tc>
          <w:tcPr>
            <w:tcW w:type="dxa" w:w="3600"/>
            <w:shd w:fill="173B56"/>
            <w:vAlign w:val="center"/>
            <w:tcMar>
              <w:top w:w="100" w:type="dxa"/>
              <w:start w:w="100" w:type="dxa"/>
              <w:bottom w:w="100" w:type="dxa"/>
              <w:end w:w="100" w:type="dxa"/>
            </w:tcMar>
          </w:tcPr>
          <w:p>
            <w:r>
              <w:rPr>
                <w:b/>
                <w:color w:val="FFFFFF"/>
                <w:sz w:val="14"/>
              </w:rPr>
              <w:t>Strategic job</w:t>
            </w:r>
          </w:p>
        </w:tc>
        <w:tc>
          <w:tcPr>
            <w:tcW w:type="dxa" w:w="4176"/>
            <w:shd w:fill="173B56"/>
            <w:vAlign w:val="center"/>
            <w:tcMar>
              <w:top w:w="100" w:type="dxa"/>
              <w:start w:w="100" w:type="dxa"/>
              <w:bottom w:w="100" w:type="dxa"/>
              <w:end w:w="100" w:type="dxa"/>
            </w:tcMar>
          </w:tcPr>
          <w:p>
            <w:r>
              <w:rPr>
                <w:b/>
                <w:color w:val="FFFFFF"/>
                <w:sz w:val="14"/>
              </w:rPr>
              <w:t>Required elements</w:t>
            </w:r>
          </w:p>
        </w:tc>
      </w:tr>
      <w:tr>
        <w:tc>
          <w:tcPr>
            <w:tcW w:type="dxa" w:w="2016"/>
            <w:vAlign w:val="center"/>
            <w:tcMar>
              <w:top w:w="95" w:type="dxa"/>
              <w:start w:w="95" w:type="dxa"/>
              <w:bottom w:w="95" w:type="dxa"/>
              <w:end w:w="95" w:type="dxa"/>
            </w:tcMar>
          </w:tcPr>
          <w:p>
            <w:pPr>
              <w:spacing w:after="0"/>
            </w:pPr>
            <w:r>
              <w:rPr>
                <w:rFonts w:ascii="Aptos" w:hAnsi="Aptos"/>
                <w:sz w:val="14"/>
              </w:rPr>
              <w:t>Curriculum overview</w:t>
            </w:r>
          </w:p>
        </w:tc>
        <w:tc>
          <w:tcPr>
            <w:tcW w:type="dxa" w:w="3600"/>
            <w:vAlign w:val="center"/>
            <w:tcMar>
              <w:top w:w="95" w:type="dxa"/>
              <w:start w:w="95" w:type="dxa"/>
              <w:bottom w:w="95" w:type="dxa"/>
              <w:end w:w="95" w:type="dxa"/>
            </w:tcMar>
          </w:tcPr>
          <w:p>
            <w:pPr>
              <w:spacing w:after="0"/>
            </w:pPr>
            <w:r>
              <w:rPr>
                <w:rFonts w:ascii="Aptos" w:hAnsi="Aptos"/>
                <w:sz w:val="14"/>
              </w:rPr>
              <w:t>Make 101+ programs navigable and understandable.</w:t>
            </w:r>
          </w:p>
        </w:tc>
        <w:tc>
          <w:tcPr>
            <w:tcW w:type="dxa" w:w="4176"/>
            <w:vAlign w:val="center"/>
            <w:tcMar>
              <w:top w:w="95" w:type="dxa"/>
              <w:start w:w="95" w:type="dxa"/>
              <w:bottom w:w="95" w:type="dxa"/>
              <w:end w:w="95" w:type="dxa"/>
            </w:tcMar>
          </w:tcPr>
          <w:p>
            <w:pPr>
              <w:spacing w:after="0"/>
            </w:pPr>
            <w:r>
              <w:rPr>
                <w:rFonts w:ascii="Aptos" w:hAnsi="Aptos"/>
                <w:sz w:val="14"/>
              </w:rPr>
              <w:t>Three pillars, filter / taxonomy, audience paths, FAQ, proof, CTA.</w:t>
            </w:r>
          </w:p>
        </w:tc>
      </w:tr>
      <w:tr>
        <w:tc>
          <w:tcPr>
            <w:tcW w:type="dxa" w:w="2016"/>
            <w:vAlign w:val="center"/>
            <w:tcMar>
              <w:top w:w="95" w:type="dxa"/>
              <w:start w:w="95" w:type="dxa"/>
              <w:bottom w:w="95" w:type="dxa"/>
              <w:end w:w="95" w:type="dxa"/>
            </w:tcMar>
          </w:tcPr>
          <w:p>
            <w:pPr>
              <w:spacing w:after="0"/>
            </w:pPr>
            <w:r>
              <w:rPr>
                <w:rFonts w:ascii="Aptos" w:hAnsi="Aptos"/>
                <w:sz w:val="14"/>
              </w:rPr>
              <w:t>Sales Development</w:t>
            </w:r>
          </w:p>
        </w:tc>
        <w:tc>
          <w:tcPr>
            <w:tcW w:type="dxa" w:w="3600"/>
            <w:vAlign w:val="center"/>
            <w:tcMar>
              <w:top w:w="95" w:type="dxa"/>
              <w:start w:w="95" w:type="dxa"/>
              <w:bottom w:w="95" w:type="dxa"/>
              <w:end w:w="95" w:type="dxa"/>
            </w:tcMar>
          </w:tcPr>
          <w:p>
            <w:pPr>
              <w:spacing w:after="0"/>
            </w:pPr>
            <w:r>
              <w:rPr>
                <w:rFonts w:ascii="Aptos" w:hAnsi="Aptos"/>
                <w:sz w:val="14"/>
              </w:rPr>
              <w:t>Own the flagship sales-development story.</w:t>
            </w:r>
          </w:p>
        </w:tc>
        <w:tc>
          <w:tcPr>
            <w:tcW w:type="dxa" w:w="4176"/>
            <w:vAlign w:val="center"/>
            <w:tcMar>
              <w:top w:w="95" w:type="dxa"/>
              <w:start w:w="95" w:type="dxa"/>
              <w:bottom w:w="95" w:type="dxa"/>
              <w:end w:w="95" w:type="dxa"/>
            </w:tcMar>
          </w:tcPr>
          <w:p>
            <w:pPr>
              <w:spacing w:after="0"/>
            </w:pPr>
            <w:r>
              <w:rPr>
                <w:rFonts w:ascii="Aptos" w:hAnsi="Aptos"/>
                <w:sz w:val="14"/>
              </w:rPr>
              <w:t>Consultative selling, CSP, proof, curriculum depth, multi-year path, corporate + individual CTA split.</w:t>
            </w:r>
          </w:p>
        </w:tc>
      </w:tr>
      <w:tr>
        <w:tc>
          <w:tcPr>
            <w:tcW w:type="dxa" w:w="2016"/>
            <w:vAlign w:val="center"/>
            <w:tcMar>
              <w:top w:w="95" w:type="dxa"/>
              <w:start w:w="95" w:type="dxa"/>
              <w:bottom w:w="95" w:type="dxa"/>
              <w:end w:w="95" w:type="dxa"/>
            </w:tcMar>
          </w:tcPr>
          <w:p>
            <w:pPr>
              <w:spacing w:after="0"/>
            </w:pPr>
            <w:r>
              <w:rPr>
                <w:rFonts w:ascii="Aptos" w:hAnsi="Aptos"/>
                <w:sz w:val="14"/>
              </w:rPr>
              <w:t>Leadership</w:t>
            </w:r>
          </w:p>
        </w:tc>
        <w:tc>
          <w:tcPr>
            <w:tcW w:type="dxa" w:w="3600"/>
            <w:vAlign w:val="center"/>
            <w:tcMar>
              <w:top w:w="95" w:type="dxa"/>
              <w:start w:w="95" w:type="dxa"/>
              <w:bottom w:w="95" w:type="dxa"/>
              <w:end w:w="95" w:type="dxa"/>
            </w:tcMar>
          </w:tcPr>
          <w:p>
            <w:pPr>
              <w:spacing w:after="0"/>
            </w:pPr>
            <w:r>
              <w:rPr>
                <w:rFonts w:ascii="Aptos" w:hAnsi="Aptos"/>
                <w:sz w:val="14"/>
              </w:rPr>
              <w:t>Make the underrepresented leadership capability visible.</w:t>
            </w:r>
          </w:p>
        </w:tc>
        <w:tc>
          <w:tcPr>
            <w:tcW w:type="dxa" w:w="4176"/>
            <w:vAlign w:val="center"/>
            <w:tcMar>
              <w:top w:w="95" w:type="dxa"/>
              <w:start w:w="95" w:type="dxa"/>
              <w:bottom w:w="95" w:type="dxa"/>
              <w:end w:w="95" w:type="dxa"/>
            </w:tcMar>
          </w:tcPr>
          <w:p>
            <w:pPr>
              <w:spacing w:after="0"/>
            </w:pPr>
            <w:r>
              <w:rPr>
                <w:rFonts w:ascii="Aptos" w:hAnsi="Aptos"/>
                <w:sz w:val="14"/>
              </w:rPr>
              <w:t>Leadership curriculum, coaching, manager development, proof, methodology, CTA.</w:t>
            </w:r>
          </w:p>
        </w:tc>
      </w:tr>
      <w:tr>
        <w:tc>
          <w:tcPr>
            <w:tcW w:type="dxa" w:w="2016"/>
            <w:vAlign w:val="center"/>
            <w:tcMar>
              <w:top w:w="95" w:type="dxa"/>
              <w:start w:w="95" w:type="dxa"/>
              <w:bottom w:w="95" w:type="dxa"/>
              <w:end w:w="95" w:type="dxa"/>
            </w:tcMar>
          </w:tcPr>
          <w:p>
            <w:pPr>
              <w:spacing w:after="0"/>
            </w:pPr>
            <w:r>
              <w:rPr>
                <w:rFonts w:ascii="Aptos" w:hAnsi="Aptos"/>
                <w:sz w:val="14"/>
              </w:rPr>
              <w:t>Business Acumen</w:t>
            </w:r>
          </w:p>
        </w:tc>
        <w:tc>
          <w:tcPr>
            <w:tcW w:type="dxa" w:w="3600"/>
            <w:vAlign w:val="center"/>
            <w:tcMar>
              <w:top w:w="95" w:type="dxa"/>
              <w:start w:w="95" w:type="dxa"/>
              <w:bottom w:w="95" w:type="dxa"/>
              <w:end w:w="95" w:type="dxa"/>
            </w:tcMar>
          </w:tcPr>
          <w:p>
            <w:pPr>
              <w:spacing w:after="0"/>
            </w:pPr>
            <w:r>
              <w:rPr>
                <w:rFonts w:ascii="Aptos" w:hAnsi="Aptos"/>
                <w:sz w:val="14"/>
              </w:rPr>
              <w:t>Differentiate through financial / business simulations.</w:t>
            </w:r>
          </w:p>
        </w:tc>
        <w:tc>
          <w:tcPr>
            <w:tcW w:type="dxa" w:w="4176"/>
            <w:vAlign w:val="center"/>
            <w:tcMar>
              <w:top w:w="95" w:type="dxa"/>
              <w:start w:w="95" w:type="dxa"/>
              <w:bottom w:w="95" w:type="dxa"/>
              <w:end w:w="95" w:type="dxa"/>
            </w:tcMar>
          </w:tcPr>
          <w:p>
            <w:pPr>
              <w:spacing w:after="0"/>
            </w:pPr>
            <w:r>
              <w:rPr>
                <w:rFonts w:ascii="Aptos" w:hAnsi="Aptos"/>
                <w:sz w:val="14"/>
              </w:rPr>
              <w:t>Buyer business understanding, Income|Outcome, outcomes, use cases, CTA.</w:t>
            </w:r>
          </w:p>
        </w:tc>
      </w:tr>
    </w:tbl>
    <w:p>
      <w:pPr>
        <w:spacing w:after="20"/>
      </w:pPr>
    </w:p>
    <w:p>
      <w:pPr>
        <w:pStyle w:val="Heading1"/>
      </w:pPr>
      <w:r>
        <w:t>12. CSP / Guarantee Content Blueprint</w:t>
      </w:r>
    </w:p>
    <w:tbl>
      <w:tblPr>
        <w:tblStyle w:val="TableGrid"/>
        <w:tblW w:type="auto" w:w="0"/>
        <w:jc w:val="center"/>
        <w:tblLook w:firstColumn="1" w:firstRow="1" w:lastColumn="0" w:lastRow="0" w:noHBand="0" w:noVBand="1" w:val="04A0"/>
      </w:tblPr>
      <w:tblGrid>
        <w:gridCol w:w="5184"/>
        <w:gridCol w:w="5184"/>
      </w:tblGrid>
      <w:tr>
        <w:tc>
          <w:tcPr>
            <w:tcW w:type="dxa" w:w="2232"/>
            <w:shd w:fill="173B56"/>
            <w:vAlign w:val="center"/>
            <w:tcMar>
              <w:top w:w="100" w:type="dxa"/>
              <w:start w:w="100" w:type="dxa"/>
              <w:bottom w:w="100" w:type="dxa"/>
              <w:end w:w="100" w:type="dxa"/>
            </w:tcMar>
          </w:tcPr>
          <w:p>
            <w:r>
              <w:rPr>
                <w:b/>
                <w:color w:val="FFFFFF"/>
                <w:sz w:val="15"/>
              </w:rPr>
              <w:t>Area</w:t>
            </w:r>
          </w:p>
        </w:tc>
        <w:tc>
          <w:tcPr>
            <w:tcW w:type="dxa" w:w="7560"/>
            <w:shd w:fill="173B56"/>
            <w:vAlign w:val="center"/>
            <w:tcMar>
              <w:top w:w="100" w:type="dxa"/>
              <w:start w:w="100" w:type="dxa"/>
              <w:bottom w:w="100" w:type="dxa"/>
              <w:end w:w="100" w:type="dxa"/>
            </w:tcMar>
          </w:tcPr>
          <w:p>
            <w:r>
              <w:rPr>
                <w:b/>
                <w:color w:val="FFFFFF"/>
                <w:sz w:val="15"/>
              </w:rPr>
              <w:t>Requirement</w:t>
            </w:r>
          </w:p>
        </w:tc>
      </w:tr>
      <w:tr>
        <w:tc>
          <w:tcPr>
            <w:tcW w:type="dxa" w:w="2232"/>
            <w:vAlign w:val="center"/>
            <w:tcMar>
              <w:top w:w="95" w:type="dxa"/>
              <w:start w:w="95" w:type="dxa"/>
              <w:bottom w:w="95" w:type="dxa"/>
              <w:end w:w="95" w:type="dxa"/>
            </w:tcMar>
          </w:tcPr>
          <w:p>
            <w:pPr>
              <w:spacing w:after="0"/>
            </w:pPr>
            <w:r>
              <w:rPr>
                <w:rFonts w:ascii="Aptos" w:hAnsi="Aptos"/>
                <w:sz w:val="15"/>
              </w:rPr>
              <w:t>CSP page</w:t>
            </w:r>
          </w:p>
        </w:tc>
        <w:tc>
          <w:tcPr>
            <w:tcW w:type="dxa" w:w="7560"/>
            <w:vAlign w:val="center"/>
            <w:tcMar>
              <w:top w:w="95" w:type="dxa"/>
              <w:start w:w="95" w:type="dxa"/>
              <w:bottom w:w="95" w:type="dxa"/>
              <w:end w:w="95" w:type="dxa"/>
            </w:tcMar>
          </w:tcPr>
          <w:p>
            <w:pPr>
              <w:spacing w:after="0"/>
            </w:pPr>
            <w:r>
              <w:rPr>
                <w:rFonts w:ascii="Aptos" w:hAnsi="Aptos"/>
                <w:sz w:val="15"/>
              </w:rPr>
              <w:t>Explain methodology, audience, business problems, learning approach, proof, program details, FAQ, corporate / individual path.</w:t>
            </w:r>
          </w:p>
        </w:tc>
      </w:tr>
      <w:tr>
        <w:tc>
          <w:tcPr>
            <w:tcW w:type="dxa" w:w="2232"/>
            <w:vAlign w:val="center"/>
            <w:tcMar>
              <w:top w:w="95" w:type="dxa"/>
              <w:start w:w="95" w:type="dxa"/>
              <w:bottom w:w="95" w:type="dxa"/>
              <w:end w:w="95" w:type="dxa"/>
            </w:tcMar>
          </w:tcPr>
          <w:p>
            <w:pPr>
              <w:spacing w:after="0"/>
            </w:pPr>
            <w:r>
              <w:rPr>
                <w:rFonts w:ascii="Aptos" w:hAnsi="Aptos"/>
                <w:sz w:val="15"/>
              </w:rPr>
              <w:t>Guarantee page</w:t>
            </w:r>
          </w:p>
        </w:tc>
        <w:tc>
          <w:tcPr>
            <w:tcW w:type="dxa" w:w="7560"/>
            <w:vAlign w:val="center"/>
            <w:tcMar>
              <w:top w:w="95" w:type="dxa"/>
              <w:start w:w="95" w:type="dxa"/>
              <w:bottom w:w="95" w:type="dxa"/>
              <w:end w:w="95" w:type="dxa"/>
            </w:tcMar>
          </w:tcPr>
          <w:p>
            <w:pPr>
              <w:spacing w:after="0"/>
            </w:pPr>
            <w:r>
              <w:rPr>
                <w:rFonts w:ascii="Aptos" w:hAnsi="Aptos"/>
                <w:sz w:val="15"/>
              </w:rPr>
              <w:t>Explain promise, eligibility, process, evidence, exclusions / terms, application flow, and qualification.</w:t>
            </w:r>
          </w:p>
        </w:tc>
      </w:tr>
      <w:tr>
        <w:tc>
          <w:tcPr>
            <w:tcW w:type="dxa" w:w="2232"/>
            <w:vAlign w:val="center"/>
            <w:tcMar>
              <w:top w:w="95" w:type="dxa"/>
              <w:start w:w="95" w:type="dxa"/>
              <w:bottom w:w="95" w:type="dxa"/>
              <w:end w:w="95" w:type="dxa"/>
            </w:tcMar>
          </w:tcPr>
          <w:p>
            <w:pPr>
              <w:spacing w:after="0"/>
            </w:pPr>
            <w:r>
              <w:rPr>
                <w:rFonts w:ascii="Aptos" w:hAnsi="Aptos"/>
                <w:sz w:val="15"/>
              </w:rPr>
              <w:t>Claim control</w:t>
            </w:r>
          </w:p>
        </w:tc>
        <w:tc>
          <w:tcPr>
            <w:tcW w:type="dxa" w:w="7560"/>
            <w:vAlign w:val="center"/>
            <w:tcMar>
              <w:top w:w="95" w:type="dxa"/>
              <w:start w:w="95" w:type="dxa"/>
              <w:bottom w:w="95" w:type="dxa"/>
              <w:end w:w="95" w:type="dxa"/>
            </w:tcMar>
          </w:tcPr>
          <w:p>
            <w:pPr>
              <w:spacing w:after="0"/>
            </w:pPr>
            <w:r>
              <w:rPr>
                <w:rFonts w:ascii="Aptos" w:hAnsi="Aptos"/>
                <w:sz w:val="15"/>
              </w:rPr>
              <w:t>Guarantee and ROI language must map to current client-approved source material. If source changes, page language must be reviewed.</w:t>
            </w:r>
          </w:p>
        </w:tc>
      </w:tr>
      <w:tr>
        <w:tc>
          <w:tcPr>
            <w:tcW w:type="dxa" w:w="2232"/>
            <w:vAlign w:val="center"/>
            <w:tcMar>
              <w:top w:w="95" w:type="dxa"/>
              <w:start w:w="95" w:type="dxa"/>
              <w:bottom w:w="95" w:type="dxa"/>
              <w:end w:w="95" w:type="dxa"/>
            </w:tcMar>
          </w:tcPr>
          <w:p>
            <w:pPr>
              <w:spacing w:after="0"/>
            </w:pPr>
            <w:r>
              <w:rPr>
                <w:rFonts w:ascii="Aptos" w:hAnsi="Aptos"/>
                <w:sz w:val="15"/>
              </w:rPr>
              <w:t>Primary enterprise CTA</w:t>
            </w:r>
          </w:p>
        </w:tc>
        <w:tc>
          <w:tcPr>
            <w:tcW w:type="dxa" w:w="7560"/>
            <w:vAlign w:val="center"/>
            <w:tcMar>
              <w:top w:w="95" w:type="dxa"/>
              <w:start w:w="95" w:type="dxa"/>
              <w:bottom w:w="95" w:type="dxa"/>
              <w:end w:w="95" w:type="dxa"/>
            </w:tcMar>
          </w:tcPr>
          <w:p>
            <w:pPr>
              <w:spacing w:after="0"/>
            </w:pPr>
            <w:r>
              <w:rPr>
                <w:rFonts w:ascii="Aptos" w:hAnsi="Aptos"/>
                <w:sz w:val="15"/>
              </w:rPr>
              <w:t>Apply / request qualification conversation.</w:t>
            </w:r>
          </w:p>
        </w:tc>
      </w:tr>
      <w:tr>
        <w:tc>
          <w:tcPr>
            <w:tcW w:type="dxa" w:w="2232"/>
            <w:vAlign w:val="center"/>
            <w:tcMar>
              <w:top w:w="95" w:type="dxa"/>
              <w:start w:w="95" w:type="dxa"/>
              <w:bottom w:w="95" w:type="dxa"/>
              <w:end w:w="95" w:type="dxa"/>
            </w:tcMar>
          </w:tcPr>
          <w:p>
            <w:pPr>
              <w:spacing w:after="0"/>
            </w:pPr>
            <w:r>
              <w:rPr>
                <w:rFonts w:ascii="Aptos" w:hAnsi="Aptos"/>
                <w:sz w:val="15"/>
              </w:rPr>
              <w:t>Measurement</w:t>
            </w:r>
          </w:p>
        </w:tc>
        <w:tc>
          <w:tcPr>
            <w:tcW w:type="dxa" w:w="7560"/>
            <w:vAlign w:val="center"/>
            <w:tcMar>
              <w:top w:w="95" w:type="dxa"/>
              <w:start w:w="95" w:type="dxa"/>
              <w:bottom w:w="95" w:type="dxa"/>
              <w:end w:w="95" w:type="dxa"/>
            </w:tcMar>
          </w:tcPr>
          <w:p>
            <w:pPr>
              <w:spacing w:after="0"/>
            </w:pPr>
            <w:r>
              <w:rPr>
                <w:rFonts w:ascii="Aptos" w:hAnsi="Aptos"/>
                <w:sz w:val="15"/>
              </w:rPr>
              <w:t>Application starts/completions, qualified lead status, consultation progression, source attribution.</w:t>
            </w:r>
          </w:p>
        </w:tc>
      </w:tr>
    </w:tbl>
    <w:p>
      <w:pPr>
        <w:spacing w:after="20"/>
      </w:pPr>
    </w:p>
    <w:p>
      <w:pPr>
        <w:pStyle w:val="Heading1"/>
      </w:pPr>
      <w:r>
        <w:t>13. Industry Page Standard</w:t>
      </w:r>
    </w:p>
    <w:tbl>
      <w:tblPr>
        <w:tblStyle w:val="TableGrid"/>
        <w:tblW w:type="auto" w:w="0"/>
        <w:jc w:val="center"/>
        <w:tblLook w:firstColumn="1" w:firstRow="1" w:lastColumn="0" w:lastRow="0" w:noHBand="0" w:noVBand="1" w:val="04A0"/>
      </w:tblPr>
      <w:tblGrid>
        <w:gridCol w:w="5184"/>
        <w:gridCol w:w="5184"/>
      </w:tblGrid>
      <w:tr>
        <w:tc>
          <w:tcPr>
            <w:tcW w:type="dxa" w:w="2232"/>
            <w:shd w:fill="173B56"/>
            <w:vAlign w:val="center"/>
            <w:tcMar>
              <w:top w:w="100" w:type="dxa"/>
              <w:start w:w="100" w:type="dxa"/>
              <w:bottom w:w="100" w:type="dxa"/>
              <w:end w:w="100" w:type="dxa"/>
            </w:tcMar>
          </w:tcPr>
          <w:p>
            <w:r>
              <w:rPr>
                <w:b/>
                <w:color w:val="FFFFFF"/>
                <w:sz w:val="15"/>
              </w:rPr>
              <w:t>Requirement</w:t>
            </w:r>
          </w:p>
        </w:tc>
        <w:tc>
          <w:tcPr>
            <w:tcW w:type="dxa" w:w="7560"/>
            <w:shd w:fill="173B56"/>
            <w:vAlign w:val="center"/>
            <w:tcMar>
              <w:top w:w="100" w:type="dxa"/>
              <w:start w:w="100" w:type="dxa"/>
              <w:bottom w:w="100" w:type="dxa"/>
              <w:end w:w="100" w:type="dxa"/>
            </w:tcMar>
          </w:tcPr>
          <w:p>
            <w:r>
              <w:rPr>
                <w:b/>
                <w:color w:val="FFFFFF"/>
                <w:sz w:val="15"/>
              </w:rPr>
              <w:t>Standard</w:t>
            </w:r>
          </w:p>
        </w:tc>
      </w:tr>
      <w:tr>
        <w:tc>
          <w:tcPr>
            <w:tcW w:type="dxa" w:w="2232"/>
            <w:vAlign w:val="center"/>
            <w:tcMar>
              <w:top w:w="95" w:type="dxa"/>
              <w:start w:w="95" w:type="dxa"/>
              <w:bottom w:w="95" w:type="dxa"/>
              <w:end w:w="95" w:type="dxa"/>
            </w:tcMar>
          </w:tcPr>
          <w:p>
            <w:pPr>
              <w:spacing w:after="0"/>
            </w:pPr>
            <w:r>
              <w:rPr>
                <w:rFonts w:ascii="Aptos" w:hAnsi="Aptos"/>
                <w:sz w:val="15"/>
              </w:rPr>
              <w:t>Strategic purpose</w:t>
            </w:r>
          </w:p>
        </w:tc>
        <w:tc>
          <w:tcPr>
            <w:tcW w:type="dxa" w:w="7560"/>
            <w:vAlign w:val="center"/>
            <w:tcMar>
              <w:top w:w="95" w:type="dxa"/>
              <w:start w:w="95" w:type="dxa"/>
              <w:bottom w:w="95" w:type="dxa"/>
              <w:end w:w="95" w:type="dxa"/>
            </w:tcMar>
          </w:tcPr>
          <w:p>
            <w:pPr>
              <w:spacing w:after="0"/>
            </w:pPr>
            <w:r>
              <w:rPr>
                <w:rFonts w:ascii="Aptos" w:hAnsi="Aptos"/>
                <w:sz w:val="15"/>
              </w:rPr>
              <w:t>Prove category relevance through real industry context, not by swapping industry names into generic copy.</w:t>
            </w:r>
          </w:p>
        </w:tc>
      </w:tr>
      <w:tr>
        <w:tc>
          <w:tcPr>
            <w:tcW w:type="dxa" w:w="2232"/>
            <w:vAlign w:val="center"/>
            <w:tcMar>
              <w:top w:w="95" w:type="dxa"/>
              <w:start w:w="95" w:type="dxa"/>
              <w:bottom w:w="95" w:type="dxa"/>
              <w:end w:w="95" w:type="dxa"/>
            </w:tcMar>
          </w:tcPr>
          <w:p>
            <w:pPr>
              <w:spacing w:after="0"/>
            </w:pPr>
            <w:r>
              <w:rPr>
                <w:rFonts w:ascii="Aptos" w:hAnsi="Aptos"/>
                <w:sz w:val="15"/>
              </w:rPr>
              <w:t>Required content</w:t>
            </w:r>
          </w:p>
        </w:tc>
        <w:tc>
          <w:tcPr>
            <w:tcW w:type="dxa" w:w="7560"/>
            <w:vAlign w:val="center"/>
            <w:tcMar>
              <w:top w:w="95" w:type="dxa"/>
              <w:start w:w="95" w:type="dxa"/>
              <w:bottom w:w="95" w:type="dxa"/>
              <w:end w:w="95" w:type="dxa"/>
            </w:tcMar>
          </w:tcPr>
          <w:p>
            <w:pPr>
              <w:spacing w:after="0"/>
            </w:pPr>
            <w:r>
              <w:rPr>
                <w:rFonts w:ascii="Aptos" w:hAnsi="Aptos"/>
                <w:sz w:val="15"/>
              </w:rPr>
              <w:t>Industry problem, relevant programs, proof, partner/association signals where approved, case evidence, industry-specific language, CTA.</w:t>
            </w:r>
          </w:p>
        </w:tc>
      </w:tr>
      <w:tr>
        <w:tc>
          <w:tcPr>
            <w:tcW w:type="dxa" w:w="2232"/>
            <w:vAlign w:val="center"/>
            <w:tcMar>
              <w:top w:w="95" w:type="dxa"/>
              <w:start w:w="95" w:type="dxa"/>
              <w:bottom w:w="95" w:type="dxa"/>
              <w:end w:w="95" w:type="dxa"/>
            </w:tcMar>
          </w:tcPr>
          <w:p>
            <w:pPr>
              <w:spacing w:after="0"/>
            </w:pPr>
            <w:r>
              <w:rPr>
                <w:rFonts w:ascii="Aptos" w:hAnsi="Aptos"/>
                <w:sz w:val="15"/>
              </w:rPr>
              <w:t>Agriculture example</w:t>
            </w:r>
          </w:p>
        </w:tc>
        <w:tc>
          <w:tcPr>
            <w:tcW w:type="dxa" w:w="7560"/>
            <w:vAlign w:val="center"/>
            <w:tcMar>
              <w:top w:w="95" w:type="dxa"/>
              <w:start w:w="95" w:type="dxa"/>
              <w:bottom w:w="95" w:type="dxa"/>
              <w:end w:w="95" w:type="dxa"/>
            </w:tcMar>
          </w:tcPr>
          <w:p>
            <w:pPr>
              <w:spacing w:after="0"/>
            </w:pPr>
            <w:r>
              <w:rPr>
                <w:rFonts w:ascii="Aptos" w:hAnsi="Aptos"/>
                <w:sz w:val="15"/>
              </w:rPr>
              <w:t>Ag selling environment, CSP Ag Edition, Ag Onboarding, association credibility, field-specific proof.</w:t>
            </w:r>
          </w:p>
        </w:tc>
      </w:tr>
      <w:tr>
        <w:tc>
          <w:tcPr>
            <w:tcW w:type="dxa" w:w="2232"/>
            <w:vAlign w:val="center"/>
            <w:tcMar>
              <w:top w:w="95" w:type="dxa"/>
              <w:start w:w="95" w:type="dxa"/>
              <w:bottom w:w="95" w:type="dxa"/>
              <w:end w:w="95" w:type="dxa"/>
            </w:tcMar>
          </w:tcPr>
          <w:p>
            <w:pPr>
              <w:spacing w:after="0"/>
            </w:pPr>
            <w:r>
              <w:rPr>
                <w:rFonts w:ascii="Aptos" w:hAnsi="Aptos"/>
                <w:sz w:val="15"/>
              </w:rPr>
              <w:t>Measurement</w:t>
            </w:r>
          </w:p>
        </w:tc>
        <w:tc>
          <w:tcPr>
            <w:tcW w:type="dxa" w:w="7560"/>
            <w:vAlign w:val="center"/>
            <w:tcMar>
              <w:top w:w="95" w:type="dxa"/>
              <w:start w:w="95" w:type="dxa"/>
              <w:bottom w:w="95" w:type="dxa"/>
              <w:end w:w="95" w:type="dxa"/>
            </w:tcMar>
          </w:tcPr>
          <w:p>
            <w:pPr>
              <w:spacing w:after="0"/>
            </w:pPr>
            <w:r>
              <w:rPr>
                <w:rFonts w:ascii="Aptos" w:hAnsi="Aptos"/>
                <w:sz w:val="15"/>
              </w:rPr>
              <w:t>Industry-page entry, consultation conversion, related-program clicks, source / campaign context.</w:t>
            </w:r>
          </w:p>
        </w:tc>
      </w:tr>
      <w:tr>
        <w:tc>
          <w:tcPr>
            <w:tcW w:type="dxa" w:w="2232"/>
            <w:vAlign w:val="center"/>
            <w:tcMar>
              <w:top w:w="95" w:type="dxa"/>
              <w:start w:w="95" w:type="dxa"/>
              <w:bottom w:w="95" w:type="dxa"/>
              <w:end w:w="95" w:type="dxa"/>
            </w:tcMar>
          </w:tcPr>
          <w:p>
            <w:pPr>
              <w:spacing w:after="0"/>
            </w:pPr>
            <w:r>
              <w:rPr>
                <w:rFonts w:ascii="Aptos" w:hAnsi="Aptos"/>
                <w:sz w:val="15"/>
              </w:rPr>
              <w:t>Claim restriction</w:t>
            </w:r>
          </w:p>
        </w:tc>
        <w:tc>
          <w:tcPr>
            <w:tcW w:type="dxa" w:w="7560"/>
            <w:vAlign w:val="center"/>
            <w:tcMar>
              <w:top w:w="95" w:type="dxa"/>
              <w:start w:w="95" w:type="dxa"/>
              <w:bottom w:w="95" w:type="dxa"/>
              <w:end w:w="95" w:type="dxa"/>
            </w:tcMar>
          </w:tcPr>
          <w:p>
            <w:pPr>
              <w:spacing w:after="0"/>
            </w:pPr>
            <w:r>
              <w:rPr>
                <w:rFonts w:ascii="Aptos" w:hAnsi="Aptos"/>
                <w:sz w:val="15"/>
              </w:rPr>
              <w:t>Industry case results, association relationships, and experience claims require source / permission.</w:t>
            </w:r>
          </w:p>
        </w:tc>
      </w:tr>
    </w:tbl>
    <w:p>
      <w:pPr>
        <w:spacing w:after="20"/>
      </w:pPr>
    </w:p>
    <w:p>
      <w:pPr>
        <w:pStyle w:val="Heading1"/>
      </w:pPr>
      <w:r>
        <w:t>14. Discoverability Requirements</w:t>
      </w:r>
    </w:p>
    <w:p>
      <w:pPr>
        <w:spacing w:after="100"/>
      </w:pPr>
      <w:r>
        <w:t>Search and AI-research requirements should support the approved page job. They are implementation guidance, not immutable strategy.</w:t>
      </w:r>
    </w:p>
    <w:tbl>
      <w:tblPr>
        <w:tblStyle w:val="TableGrid"/>
        <w:tblW w:type="auto" w:w="0"/>
        <w:jc w:val="center"/>
        <w:tblLook w:firstColumn="1" w:firstRow="1" w:lastColumn="0" w:lastRow="0" w:noHBand="0" w:noVBand="1" w:val="04A0"/>
      </w:tblPr>
      <w:tblGrid>
        <w:gridCol w:w="5184"/>
        <w:gridCol w:w="5184"/>
      </w:tblGrid>
      <w:tr>
        <w:tc>
          <w:tcPr>
            <w:tcW w:type="dxa" w:w="2232"/>
            <w:shd w:fill="173B56"/>
            <w:vAlign w:val="center"/>
            <w:tcMar>
              <w:top w:w="100" w:type="dxa"/>
              <w:start w:w="100" w:type="dxa"/>
              <w:bottom w:w="100" w:type="dxa"/>
              <w:end w:w="100" w:type="dxa"/>
            </w:tcMar>
          </w:tcPr>
          <w:p>
            <w:r>
              <w:rPr>
                <w:b/>
                <w:color w:val="FFFFFF"/>
                <w:sz w:val="15"/>
              </w:rPr>
              <w:t>Area</w:t>
            </w:r>
          </w:p>
        </w:tc>
        <w:tc>
          <w:tcPr>
            <w:tcW w:type="dxa" w:w="7560"/>
            <w:shd w:fill="173B56"/>
            <w:vAlign w:val="center"/>
            <w:tcMar>
              <w:top w:w="100" w:type="dxa"/>
              <w:start w:w="100" w:type="dxa"/>
              <w:bottom w:w="100" w:type="dxa"/>
              <w:end w:w="100" w:type="dxa"/>
            </w:tcMar>
          </w:tcPr>
          <w:p>
            <w:r>
              <w:rPr>
                <w:b/>
                <w:color w:val="FFFFFF"/>
                <w:sz w:val="15"/>
              </w:rPr>
              <w:t>Requirement</w:t>
            </w:r>
          </w:p>
        </w:tc>
      </w:tr>
      <w:tr>
        <w:tc>
          <w:tcPr>
            <w:tcW w:type="dxa" w:w="2232"/>
            <w:vAlign w:val="center"/>
            <w:tcMar>
              <w:top w:w="95" w:type="dxa"/>
              <w:start w:w="95" w:type="dxa"/>
              <w:bottom w:w="95" w:type="dxa"/>
              <w:end w:w="95" w:type="dxa"/>
            </w:tcMar>
          </w:tcPr>
          <w:p>
            <w:pPr>
              <w:spacing w:after="0"/>
            </w:pPr>
            <w:r>
              <w:rPr>
                <w:rFonts w:ascii="Aptos" w:hAnsi="Aptos"/>
                <w:sz w:val="15"/>
              </w:rPr>
              <w:t>Search intent</w:t>
            </w:r>
          </w:p>
        </w:tc>
        <w:tc>
          <w:tcPr>
            <w:tcW w:type="dxa" w:w="7560"/>
            <w:vAlign w:val="center"/>
            <w:tcMar>
              <w:top w:w="95" w:type="dxa"/>
              <w:start w:w="95" w:type="dxa"/>
              <w:bottom w:w="95" w:type="dxa"/>
              <w:end w:w="95" w:type="dxa"/>
            </w:tcMar>
          </w:tcPr>
          <w:p>
            <w:pPr>
              <w:spacing w:after="0"/>
            </w:pPr>
            <w:r>
              <w:rPr>
                <w:rFonts w:ascii="Aptos" w:hAnsi="Aptos"/>
                <w:sz w:val="15"/>
              </w:rPr>
              <w:t>Define one primary search intent and relevant secondary topics before final copy.</w:t>
            </w:r>
          </w:p>
        </w:tc>
      </w:tr>
      <w:tr>
        <w:tc>
          <w:tcPr>
            <w:tcW w:type="dxa" w:w="2232"/>
            <w:vAlign w:val="center"/>
            <w:tcMar>
              <w:top w:w="95" w:type="dxa"/>
              <w:start w:w="95" w:type="dxa"/>
              <w:bottom w:w="95" w:type="dxa"/>
              <w:end w:w="95" w:type="dxa"/>
            </w:tcMar>
          </w:tcPr>
          <w:p>
            <w:pPr>
              <w:spacing w:after="0"/>
            </w:pPr>
            <w:r>
              <w:rPr>
                <w:rFonts w:ascii="Aptos" w:hAnsi="Aptos"/>
                <w:sz w:val="15"/>
              </w:rPr>
              <w:t>Question coverage</w:t>
            </w:r>
          </w:p>
        </w:tc>
        <w:tc>
          <w:tcPr>
            <w:tcW w:type="dxa" w:w="7560"/>
            <w:vAlign w:val="center"/>
            <w:tcMar>
              <w:top w:w="95" w:type="dxa"/>
              <w:start w:w="95" w:type="dxa"/>
              <w:bottom w:w="95" w:type="dxa"/>
              <w:end w:w="95" w:type="dxa"/>
            </w:tcMar>
          </w:tcPr>
          <w:p>
            <w:pPr>
              <w:spacing w:after="0"/>
            </w:pPr>
            <w:r>
              <w:rPr>
                <w:rFonts w:ascii="Aptos" w:hAnsi="Aptos"/>
                <w:sz w:val="15"/>
              </w:rPr>
              <w:t>Use real buyer questions from research, sales, search, and client evidence.</w:t>
            </w:r>
          </w:p>
        </w:tc>
      </w:tr>
      <w:tr>
        <w:tc>
          <w:tcPr>
            <w:tcW w:type="dxa" w:w="2232"/>
            <w:vAlign w:val="center"/>
            <w:tcMar>
              <w:top w:w="95" w:type="dxa"/>
              <w:start w:w="95" w:type="dxa"/>
              <w:bottom w:w="95" w:type="dxa"/>
              <w:end w:w="95" w:type="dxa"/>
            </w:tcMar>
          </w:tcPr>
          <w:p>
            <w:pPr>
              <w:spacing w:after="0"/>
            </w:pPr>
            <w:r>
              <w:rPr>
                <w:rFonts w:ascii="Aptos" w:hAnsi="Aptos"/>
                <w:sz w:val="15"/>
              </w:rPr>
              <w:t>Definition clarity</w:t>
            </w:r>
          </w:p>
        </w:tc>
        <w:tc>
          <w:tcPr>
            <w:tcW w:type="dxa" w:w="7560"/>
            <w:vAlign w:val="center"/>
            <w:tcMar>
              <w:top w:w="95" w:type="dxa"/>
              <w:start w:w="95" w:type="dxa"/>
              <w:bottom w:w="95" w:type="dxa"/>
              <w:end w:w="95" w:type="dxa"/>
            </w:tcMar>
          </w:tcPr>
          <w:p>
            <w:pPr>
              <w:spacing w:after="0"/>
            </w:pPr>
            <w:r>
              <w:rPr>
                <w:rFonts w:ascii="Aptos" w:hAnsi="Aptos"/>
                <w:sz w:val="15"/>
              </w:rPr>
              <w:t>Where useful, answer important questions directly before expanding.</w:t>
            </w:r>
          </w:p>
        </w:tc>
      </w:tr>
      <w:tr>
        <w:tc>
          <w:tcPr>
            <w:tcW w:type="dxa" w:w="2232"/>
            <w:vAlign w:val="center"/>
            <w:tcMar>
              <w:top w:w="95" w:type="dxa"/>
              <w:start w:w="95" w:type="dxa"/>
              <w:bottom w:w="95" w:type="dxa"/>
              <w:end w:w="95" w:type="dxa"/>
            </w:tcMar>
          </w:tcPr>
          <w:p>
            <w:pPr>
              <w:spacing w:after="0"/>
            </w:pPr>
            <w:r>
              <w:rPr>
                <w:rFonts w:ascii="Aptos" w:hAnsi="Aptos"/>
                <w:sz w:val="15"/>
              </w:rPr>
              <w:t>Internal linking</w:t>
            </w:r>
          </w:p>
        </w:tc>
        <w:tc>
          <w:tcPr>
            <w:tcW w:type="dxa" w:w="7560"/>
            <w:vAlign w:val="center"/>
            <w:tcMar>
              <w:top w:w="95" w:type="dxa"/>
              <w:start w:w="95" w:type="dxa"/>
              <w:bottom w:w="95" w:type="dxa"/>
              <w:end w:w="95" w:type="dxa"/>
            </w:tcMar>
          </w:tcPr>
          <w:p>
            <w:pPr>
              <w:spacing w:after="0"/>
            </w:pPr>
            <w:r>
              <w:rPr>
                <w:rFonts w:ascii="Aptos" w:hAnsi="Aptos"/>
                <w:sz w:val="15"/>
              </w:rPr>
              <w:t>Connect audience, pillar, industry, proof, and program pages intentionally.</w:t>
            </w:r>
          </w:p>
        </w:tc>
      </w:tr>
      <w:tr>
        <w:tc>
          <w:tcPr>
            <w:tcW w:type="dxa" w:w="2232"/>
            <w:vAlign w:val="center"/>
            <w:tcMar>
              <w:top w:w="95" w:type="dxa"/>
              <w:start w:w="95" w:type="dxa"/>
              <w:bottom w:w="95" w:type="dxa"/>
              <w:end w:w="95" w:type="dxa"/>
            </w:tcMar>
          </w:tcPr>
          <w:p>
            <w:pPr>
              <w:spacing w:after="0"/>
            </w:pPr>
            <w:r>
              <w:rPr>
                <w:rFonts w:ascii="Aptos" w:hAnsi="Aptos"/>
                <w:sz w:val="15"/>
              </w:rPr>
              <w:t>Structured data</w:t>
            </w:r>
          </w:p>
        </w:tc>
        <w:tc>
          <w:tcPr>
            <w:tcW w:type="dxa" w:w="7560"/>
            <w:vAlign w:val="center"/>
            <w:tcMar>
              <w:top w:w="95" w:type="dxa"/>
              <w:start w:w="95" w:type="dxa"/>
              <w:bottom w:w="95" w:type="dxa"/>
              <w:end w:w="95" w:type="dxa"/>
            </w:tcMar>
          </w:tcPr>
          <w:p>
            <w:pPr>
              <w:spacing w:after="0"/>
            </w:pPr>
            <w:r>
              <w:rPr>
                <w:rFonts w:ascii="Aptos" w:hAnsi="Aptos"/>
                <w:sz w:val="15"/>
              </w:rPr>
              <w:t>Apply schema only where technically valid for the page and content type.</w:t>
            </w:r>
          </w:p>
        </w:tc>
      </w:tr>
      <w:tr>
        <w:tc>
          <w:tcPr>
            <w:tcW w:type="dxa" w:w="2232"/>
            <w:vAlign w:val="center"/>
            <w:tcMar>
              <w:top w:w="95" w:type="dxa"/>
              <w:start w:w="95" w:type="dxa"/>
              <w:bottom w:w="95" w:type="dxa"/>
              <w:end w:w="95" w:type="dxa"/>
            </w:tcMar>
          </w:tcPr>
          <w:p>
            <w:pPr>
              <w:spacing w:after="0"/>
            </w:pPr>
            <w:r>
              <w:rPr>
                <w:rFonts w:ascii="Aptos" w:hAnsi="Aptos"/>
                <w:sz w:val="15"/>
              </w:rPr>
              <w:t>Entity / authority</w:t>
            </w:r>
          </w:p>
        </w:tc>
        <w:tc>
          <w:tcPr>
            <w:tcW w:type="dxa" w:w="7560"/>
            <w:vAlign w:val="center"/>
            <w:tcMar>
              <w:top w:w="95" w:type="dxa"/>
              <w:start w:w="95" w:type="dxa"/>
              <w:bottom w:w="95" w:type="dxa"/>
              <w:end w:w="95" w:type="dxa"/>
            </w:tcMar>
          </w:tcPr>
          <w:p>
            <w:pPr>
              <w:spacing w:after="0"/>
            </w:pPr>
            <w:r>
              <w:rPr>
                <w:rFonts w:ascii="Aptos" w:hAnsi="Aptos"/>
                <w:sz w:val="15"/>
              </w:rPr>
              <w:t>Make NuVue expertise, programs, authorship, proof, and relationships clear enough for humans and machines to understand.</w:t>
            </w:r>
          </w:p>
        </w:tc>
      </w:tr>
      <w:tr>
        <w:tc>
          <w:tcPr>
            <w:tcW w:type="dxa" w:w="2232"/>
            <w:vAlign w:val="center"/>
            <w:tcMar>
              <w:top w:w="95" w:type="dxa"/>
              <w:start w:w="95" w:type="dxa"/>
              <w:bottom w:w="95" w:type="dxa"/>
              <w:end w:w="95" w:type="dxa"/>
            </w:tcMar>
          </w:tcPr>
          <w:p>
            <w:pPr>
              <w:spacing w:after="0"/>
            </w:pPr>
            <w:r>
              <w:rPr>
                <w:rFonts w:ascii="Aptos" w:hAnsi="Aptos"/>
                <w:sz w:val="15"/>
              </w:rPr>
              <w:t>Evidence boundary</w:t>
            </w:r>
          </w:p>
        </w:tc>
        <w:tc>
          <w:tcPr>
            <w:tcW w:type="dxa" w:w="7560"/>
            <w:vAlign w:val="center"/>
            <w:tcMar>
              <w:top w:w="95" w:type="dxa"/>
              <w:start w:w="95" w:type="dxa"/>
              <w:bottom w:w="95" w:type="dxa"/>
              <w:end w:w="95" w:type="dxa"/>
            </w:tcMar>
          </w:tcPr>
          <w:p>
            <w:pPr>
              <w:spacing w:after="0"/>
            </w:pPr>
            <w:r>
              <w:rPr>
                <w:rFonts w:ascii="Aptos" w:hAnsi="Aptos"/>
                <w:sz w:val="15"/>
              </w:rPr>
              <w:t>Do not promise rankings, AI citations, or future recommendation visibility.</w:t>
            </w:r>
          </w:p>
        </w:tc>
      </w:tr>
    </w:tbl>
    <w:p>
      <w:pPr>
        <w:spacing w:after="20"/>
      </w:pPr>
    </w:p>
    <w:p>
      <w:pPr>
        <w:pStyle w:val="Heading1"/>
      </w:pPr>
      <w:r>
        <w:t>15. Measurement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73B56"/>
            <w:vAlign w:val="center"/>
            <w:tcMar>
              <w:top w:w="100" w:type="dxa"/>
              <w:start w:w="100" w:type="dxa"/>
              <w:bottom w:w="100" w:type="dxa"/>
              <w:end w:w="100" w:type="dxa"/>
            </w:tcMar>
          </w:tcPr>
          <w:p>
            <w:r>
              <w:rPr>
                <w:b/>
                <w:color w:val="FFFFFF"/>
                <w:sz w:val="14"/>
              </w:rPr>
              <w:t>Journey</w:t>
            </w:r>
          </w:p>
        </w:tc>
        <w:tc>
          <w:tcPr>
            <w:tcW w:type="dxa" w:w="4032"/>
            <w:shd w:fill="173B56"/>
            <w:vAlign w:val="center"/>
            <w:tcMar>
              <w:top w:w="100" w:type="dxa"/>
              <w:start w:w="100" w:type="dxa"/>
              <w:bottom w:w="100" w:type="dxa"/>
              <w:end w:w="100" w:type="dxa"/>
            </w:tcMar>
          </w:tcPr>
          <w:p>
            <w:r>
              <w:rPr>
                <w:b/>
                <w:color w:val="FFFFFF"/>
                <w:sz w:val="14"/>
              </w:rPr>
              <w:t>Meaningful events</w:t>
            </w:r>
          </w:p>
        </w:tc>
        <w:tc>
          <w:tcPr>
            <w:tcW w:type="dxa" w:w="3672"/>
            <w:shd w:fill="173B56"/>
            <w:vAlign w:val="center"/>
            <w:tcMar>
              <w:top w:w="100" w:type="dxa"/>
              <w:start w:w="100" w:type="dxa"/>
              <w:bottom w:w="100" w:type="dxa"/>
              <w:end w:w="100" w:type="dxa"/>
            </w:tcMar>
          </w:tcPr>
          <w:p>
            <w:r>
              <w:rPr>
                <w:b/>
                <w:color w:val="FFFFFF"/>
                <w:sz w:val="14"/>
              </w:rPr>
              <w:t>Business connection</w:t>
            </w:r>
          </w:p>
        </w:tc>
      </w:tr>
      <w:tr>
        <w:tc>
          <w:tcPr>
            <w:tcW w:type="dxa" w:w="2088"/>
            <w:vAlign w:val="center"/>
            <w:tcMar>
              <w:top w:w="95" w:type="dxa"/>
              <w:start w:w="95" w:type="dxa"/>
              <w:bottom w:w="95" w:type="dxa"/>
              <w:end w:w="95" w:type="dxa"/>
            </w:tcMar>
          </w:tcPr>
          <w:p>
            <w:pPr>
              <w:spacing w:after="0"/>
            </w:pPr>
            <w:r>
              <w:rPr>
                <w:rFonts w:ascii="Aptos" w:hAnsi="Aptos"/>
                <w:sz w:val="14"/>
              </w:rPr>
              <w:t>Corporate</w:t>
            </w:r>
          </w:p>
        </w:tc>
        <w:tc>
          <w:tcPr>
            <w:tcW w:type="dxa" w:w="4032"/>
            <w:vAlign w:val="center"/>
            <w:tcMar>
              <w:top w:w="95" w:type="dxa"/>
              <w:start w:w="95" w:type="dxa"/>
              <w:bottom w:w="95" w:type="dxa"/>
              <w:end w:w="95" w:type="dxa"/>
            </w:tcMar>
          </w:tcPr>
          <w:p>
            <w:pPr>
              <w:spacing w:after="0"/>
            </w:pPr>
            <w:r>
              <w:rPr>
                <w:rFonts w:ascii="Aptos" w:hAnsi="Aptos"/>
                <w:sz w:val="14"/>
              </w:rPr>
              <w:t>Consultation start / completion, guarantee application, assessment, key offer / proof engagement</w:t>
            </w:r>
          </w:p>
        </w:tc>
        <w:tc>
          <w:tcPr>
            <w:tcW w:type="dxa" w:w="3672"/>
            <w:vAlign w:val="center"/>
            <w:tcMar>
              <w:top w:w="95" w:type="dxa"/>
              <w:start w:w="95" w:type="dxa"/>
              <w:bottom w:w="95" w:type="dxa"/>
              <w:end w:w="95" w:type="dxa"/>
            </w:tcMar>
          </w:tcPr>
          <w:p>
            <w:pPr>
              <w:spacing w:after="0"/>
            </w:pPr>
            <w:r>
              <w:rPr>
                <w:rFonts w:ascii="Aptos" w:hAnsi="Aptos"/>
                <w:sz w:val="14"/>
              </w:rPr>
              <w:t>Lead → qualified lead → opportunity where CRM evidence permits.</w:t>
            </w:r>
          </w:p>
        </w:tc>
      </w:tr>
      <w:tr>
        <w:tc>
          <w:tcPr>
            <w:tcW w:type="dxa" w:w="2088"/>
            <w:vAlign w:val="center"/>
            <w:tcMar>
              <w:top w:w="95" w:type="dxa"/>
              <w:start w:w="95" w:type="dxa"/>
              <w:bottom w:w="95" w:type="dxa"/>
              <w:end w:w="95" w:type="dxa"/>
            </w:tcMar>
          </w:tcPr>
          <w:p>
            <w:pPr>
              <w:spacing w:after="0"/>
            </w:pPr>
            <w:r>
              <w:rPr>
                <w:rFonts w:ascii="Aptos" w:hAnsi="Aptos"/>
                <w:sz w:val="14"/>
              </w:rPr>
              <w:t>Individual</w:t>
            </w:r>
          </w:p>
        </w:tc>
        <w:tc>
          <w:tcPr>
            <w:tcW w:type="dxa" w:w="4032"/>
            <w:vAlign w:val="center"/>
            <w:tcMar>
              <w:top w:w="95" w:type="dxa"/>
              <w:start w:w="95" w:type="dxa"/>
              <w:bottom w:w="95" w:type="dxa"/>
              <w:end w:w="95" w:type="dxa"/>
            </w:tcMar>
          </w:tcPr>
          <w:p>
            <w:pPr>
              <w:spacing w:after="0"/>
            </w:pPr>
            <w:r>
              <w:rPr>
                <w:rFonts w:ascii="Aptos" w:hAnsi="Aptos"/>
                <w:sz w:val="14"/>
              </w:rPr>
              <w:t>Seminar page, registration start / completion, manager-summary download, assessment</w:t>
            </w:r>
          </w:p>
        </w:tc>
        <w:tc>
          <w:tcPr>
            <w:tcW w:type="dxa" w:w="3672"/>
            <w:vAlign w:val="center"/>
            <w:tcMar>
              <w:top w:w="95" w:type="dxa"/>
              <w:start w:w="95" w:type="dxa"/>
              <w:bottom w:w="95" w:type="dxa"/>
              <w:end w:w="95" w:type="dxa"/>
            </w:tcMar>
          </w:tcPr>
          <w:p>
            <w:pPr>
              <w:spacing w:after="0"/>
            </w:pPr>
            <w:r>
              <w:rPr>
                <w:rFonts w:ascii="Aptos" w:hAnsi="Aptos"/>
                <w:sz w:val="14"/>
              </w:rPr>
              <w:t>Transaction + company context + future corporate potential.</w:t>
            </w:r>
          </w:p>
        </w:tc>
      </w:tr>
      <w:tr>
        <w:tc>
          <w:tcPr>
            <w:tcW w:type="dxa" w:w="2088"/>
            <w:vAlign w:val="center"/>
            <w:tcMar>
              <w:top w:w="95" w:type="dxa"/>
              <w:start w:w="95" w:type="dxa"/>
              <w:bottom w:w="95" w:type="dxa"/>
              <w:end w:w="95" w:type="dxa"/>
            </w:tcMar>
          </w:tcPr>
          <w:p>
            <w:pPr>
              <w:spacing w:after="0"/>
            </w:pPr>
            <w:r>
              <w:rPr>
                <w:rFonts w:ascii="Aptos" w:hAnsi="Aptos"/>
                <w:sz w:val="14"/>
              </w:rPr>
              <w:t>Content / authority</w:t>
            </w:r>
          </w:p>
        </w:tc>
        <w:tc>
          <w:tcPr>
            <w:tcW w:type="dxa" w:w="4032"/>
            <w:vAlign w:val="center"/>
            <w:tcMar>
              <w:top w:w="95" w:type="dxa"/>
              <w:start w:w="95" w:type="dxa"/>
              <w:bottom w:w="95" w:type="dxa"/>
              <w:end w:w="95" w:type="dxa"/>
            </w:tcMar>
          </w:tcPr>
          <w:p>
            <w:pPr>
              <w:spacing w:after="0"/>
            </w:pPr>
            <w:r>
              <w:rPr>
                <w:rFonts w:ascii="Aptos" w:hAnsi="Aptos"/>
                <w:sz w:val="14"/>
              </w:rPr>
              <w:t>High-intent content engagement, internal progression, assisted conversion</w:t>
            </w:r>
          </w:p>
        </w:tc>
        <w:tc>
          <w:tcPr>
            <w:tcW w:type="dxa" w:w="3672"/>
            <w:vAlign w:val="center"/>
            <w:tcMar>
              <w:top w:w="95" w:type="dxa"/>
              <w:start w:w="95" w:type="dxa"/>
              <w:bottom w:w="95" w:type="dxa"/>
              <w:end w:w="95" w:type="dxa"/>
            </w:tcMar>
          </w:tcPr>
          <w:p>
            <w:pPr>
              <w:spacing w:after="0"/>
            </w:pPr>
            <w:r>
              <w:rPr>
                <w:rFonts w:ascii="Aptos" w:hAnsi="Aptos"/>
                <w:sz w:val="14"/>
              </w:rPr>
              <w:t>Directional unless CRM / identity linkage supports stronger attribution.</w:t>
            </w:r>
          </w:p>
        </w:tc>
      </w:tr>
      <w:tr>
        <w:tc>
          <w:tcPr>
            <w:tcW w:type="dxa" w:w="2088"/>
            <w:vAlign w:val="center"/>
            <w:tcMar>
              <w:top w:w="95" w:type="dxa"/>
              <w:start w:w="95" w:type="dxa"/>
              <w:bottom w:w="95" w:type="dxa"/>
              <w:end w:w="95" w:type="dxa"/>
            </w:tcMar>
          </w:tcPr>
          <w:p>
            <w:pPr>
              <w:spacing w:after="0"/>
            </w:pPr>
            <w:r>
              <w:rPr>
                <w:rFonts w:ascii="Aptos" w:hAnsi="Aptos"/>
                <w:sz w:val="14"/>
              </w:rPr>
              <w:t>Search / discovery</w:t>
            </w:r>
          </w:p>
        </w:tc>
        <w:tc>
          <w:tcPr>
            <w:tcW w:type="dxa" w:w="4032"/>
            <w:vAlign w:val="center"/>
            <w:tcMar>
              <w:top w:w="95" w:type="dxa"/>
              <w:start w:w="95" w:type="dxa"/>
              <w:bottom w:w="95" w:type="dxa"/>
              <w:end w:w="95" w:type="dxa"/>
            </w:tcMar>
          </w:tcPr>
          <w:p>
            <w:pPr>
              <w:spacing w:after="0"/>
            </w:pPr>
            <w:r>
              <w:rPr>
                <w:rFonts w:ascii="Aptos" w:hAnsi="Aptos"/>
                <w:sz w:val="14"/>
              </w:rPr>
              <w:t>Landing-page visits by query/theme, conversion by landing page</w:t>
            </w:r>
          </w:p>
        </w:tc>
        <w:tc>
          <w:tcPr>
            <w:tcW w:type="dxa" w:w="3672"/>
            <w:vAlign w:val="center"/>
            <w:tcMar>
              <w:top w:w="95" w:type="dxa"/>
              <w:start w:w="95" w:type="dxa"/>
              <w:bottom w:w="95" w:type="dxa"/>
              <w:end w:w="95" w:type="dxa"/>
            </w:tcMar>
          </w:tcPr>
          <w:p>
            <w:pPr>
              <w:spacing w:after="0"/>
            </w:pPr>
            <w:r>
              <w:rPr>
                <w:rFonts w:ascii="Aptos" w:hAnsi="Aptos"/>
                <w:sz w:val="14"/>
              </w:rPr>
              <w:t>Use with GSC / GA4; do not infer causal ROI without downstream evidence.</w:t>
            </w:r>
          </w:p>
        </w:tc>
      </w:tr>
    </w:tbl>
    <w:p>
      <w:pPr>
        <w:spacing w:after="20"/>
      </w:pPr>
    </w:p>
    <w:p>
      <w:pPr>
        <w:spacing w:after="100"/>
      </w:pPr>
      <w:r>
        <w:t>Foundation should establish what can be measured reliably before using performance language. If CRM source fields, lifecycle stages, or conversion definitions are incomplete, record a measurement gap rather than manufacturing certainty.</w:t>
      </w:r>
    </w:p>
    <w:p>
      <w:pPr>
        <w:pStyle w:val="Heading1"/>
      </w:pPr>
      <w:r>
        <w:t>16. Implementation Dependencies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173B56"/>
            <w:vAlign w:val="center"/>
            <w:tcMar>
              <w:top w:w="100" w:type="dxa"/>
              <w:start w:w="100" w:type="dxa"/>
              <w:bottom w:w="100" w:type="dxa"/>
              <w:end w:w="100" w:type="dxa"/>
            </w:tcMar>
          </w:tcPr>
          <w:p>
            <w:r>
              <w:rPr>
                <w:b/>
                <w:color w:val="FFFFFF"/>
                <w:sz w:val="14"/>
              </w:rPr>
              <w:t>Dependency</w:t>
            </w:r>
          </w:p>
        </w:tc>
        <w:tc>
          <w:tcPr>
            <w:tcW w:type="dxa" w:w="2952"/>
            <w:shd w:fill="173B56"/>
            <w:vAlign w:val="center"/>
            <w:tcMar>
              <w:top w:w="100" w:type="dxa"/>
              <w:start w:w="100" w:type="dxa"/>
              <w:bottom w:w="100" w:type="dxa"/>
              <w:end w:w="100" w:type="dxa"/>
            </w:tcMar>
          </w:tcPr>
          <w:p>
            <w:r>
              <w:rPr>
                <w:b/>
                <w:color w:val="FFFFFF"/>
                <w:sz w:val="14"/>
              </w:rPr>
              <w:t>Owner / source</w:t>
            </w:r>
          </w:p>
        </w:tc>
        <w:tc>
          <w:tcPr>
            <w:tcW w:type="dxa" w:w="3960"/>
            <w:shd w:fill="173B56"/>
            <w:vAlign w:val="center"/>
            <w:tcMar>
              <w:top w:w="100" w:type="dxa"/>
              <w:start w:w="100" w:type="dxa"/>
              <w:bottom w:w="100" w:type="dxa"/>
              <w:end w:w="100" w:type="dxa"/>
            </w:tcMar>
          </w:tcPr>
          <w:p>
            <w:r>
              <w:rPr>
                <w:b/>
                <w:color w:val="FFFFFF"/>
                <w:sz w:val="14"/>
              </w:rPr>
              <w:t>Why it matters</w:t>
            </w:r>
          </w:p>
        </w:tc>
      </w:tr>
      <w:tr>
        <w:tc>
          <w:tcPr>
            <w:tcW w:type="dxa" w:w="2880"/>
            <w:vAlign w:val="center"/>
            <w:tcMar>
              <w:top w:w="95" w:type="dxa"/>
              <w:start w:w="95" w:type="dxa"/>
              <w:bottom w:w="95" w:type="dxa"/>
              <w:end w:w="95" w:type="dxa"/>
            </w:tcMar>
          </w:tcPr>
          <w:p>
            <w:pPr>
              <w:spacing w:after="0"/>
            </w:pPr>
            <w:r>
              <w:rPr>
                <w:rFonts w:ascii="Aptos" w:hAnsi="Aptos"/>
                <w:sz w:val="14"/>
              </w:rPr>
              <w:t>Guarantee terms and eligibility</w:t>
            </w:r>
          </w:p>
        </w:tc>
        <w:tc>
          <w:tcPr>
            <w:tcW w:type="dxa" w:w="2952"/>
            <w:vAlign w:val="center"/>
            <w:tcMar>
              <w:top w:w="95" w:type="dxa"/>
              <w:start w:w="95" w:type="dxa"/>
              <w:bottom w:w="95" w:type="dxa"/>
              <w:end w:w="95" w:type="dxa"/>
            </w:tcMar>
          </w:tcPr>
          <w:p>
            <w:pPr>
              <w:spacing w:after="0"/>
            </w:pPr>
            <w:r>
              <w:rPr>
                <w:rFonts w:ascii="Aptos" w:hAnsi="Aptos"/>
                <w:sz w:val="14"/>
              </w:rPr>
              <w:t>NuVue leadership / legal / offer documentation</w:t>
            </w:r>
          </w:p>
        </w:tc>
        <w:tc>
          <w:tcPr>
            <w:tcW w:type="dxa" w:w="3960"/>
            <w:vAlign w:val="center"/>
            <w:tcMar>
              <w:top w:w="95" w:type="dxa"/>
              <w:start w:w="95" w:type="dxa"/>
              <w:bottom w:w="95" w:type="dxa"/>
              <w:end w:w="95" w:type="dxa"/>
            </w:tcMar>
          </w:tcPr>
          <w:p>
            <w:pPr>
              <w:spacing w:after="0"/>
            </w:pPr>
            <w:r>
              <w:rPr>
                <w:rFonts w:ascii="Aptos" w:hAnsi="Aptos"/>
                <w:sz w:val="14"/>
              </w:rPr>
              <w:t>Controls enterprise messaging and application logic.</w:t>
            </w:r>
          </w:p>
        </w:tc>
      </w:tr>
      <w:tr>
        <w:tc>
          <w:tcPr>
            <w:tcW w:type="dxa" w:w="2880"/>
            <w:vAlign w:val="center"/>
            <w:tcMar>
              <w:top w:w="95" w:type="dxa"/>
              <w:start w:w="95" w:type="dxa"/>
              <w:bottom w:w="95" w:type="dxa"/>
              <w:end w:w="95" w:type="dxa"/>
            </w:tcMar>
          </w:tcPr>
          <w:p>
            <w:pPr>
              <w:spacing w:after="0"/>
            </w:pPr>
            <w:r>
              <w:rPr>
                <w:rFonts w:ascii="Aptos" w:hAnsi="Aptos"/>
                <w:sz w:val="14"/>
              </w:rPr>
              <w:t>ROI Impact Evaluation sources</w:t>
            </w:r>
          </w:p>
        </w:tc>
        <w:tc>
          <w:tcPr>
            <w:tcW w:type="dxa" w:w="2952"/>
            <w:vAlign w:val="center"/>
            <w:tcMar>
              <w:top w:w="95" w:type="dxa"/>
              <w:start w:w="95" w:type="dxa"/>
              <w:bottom w:w="95" w:type="dxa"/>
              <w:end w:w="95" w:type="dxa"/>
            </w:tcMar>
          </w:tcPr>
          <w:p>
            <w:pPr>
              <w:spacing w:after="0"/>
            </w:pPr>
            <w:r>
              <w:rPr>
                <w:rFonts w:ascii="Aptos" w:hAnsi="Aptos"/>
                <w:sz w:val="14"/>
              </w:rPr>
              <w:t>NuVue</w:t>
            </w:r>
          </w:p>
        </w:tc>
        <w:tc>
          <w:tcPr>
            <w:tcW w:type="dxa" w:w="3960"/>
            <w:vAlign w:val="center"/>
            <w:tcMar>
              <w:top w:w="95" w:type="dxa"/>
              <w:start w:w="95" w:type="dxa"/>
              <w:bottom w:w="95" w:type="dxa"/>
              <w:end w:w="95" w:type="dxa"/>
            </w:tcMar>
          </w:tcPr>
          <w:p>
            <w:pPr>
              <w:spacing w:after="0"/>
            </w:pPr>
            <w:r>
              <w:rPr>
                <w:rFonts w:ascii="Aptos" w:hAnsi="Aptos"/>
                <w:sz w:val="14"/>
              </w:rPr>
              <w:t>Controls public results claims.</w:t>
            </w:r>
          </w:p>
        </w:tc>
      </w:tr>
      <w:tr>
        <w:tc>
          <w:tcPr>
            <w:tcW w:type="dxa" w:w="2880"/>
            <w:vAlign w:val="center"/>
            <w:tcMar>
              <w:top w:w="95" w:type="dxa"/>
              <w:start w:w="95" w:type="dxa"/>
              <w:bottom w:w="95" w:type="dxa"/>
              <w:end w:w="95" w:type="dxa"/>
            </w:tcMar>
          </w:tcPr>
          <w:p>
            <w:pPr>
              <w:spacing w:after="0"/>
            </w:pPr>
            <w:r>
              <w:rPr>
                <w:rFonts w:ascii="Aptos" w:hAnsi="Aptos"/>
                <w:sz w:val="14"/>
              </w:rPr>
              <w:t>Named-client / logo permissions</w:t>
            </w:r>
          </w:p>
        </w:tc>
        <w:tc>
          <w:tcPr>
            <w:tcW w:type="dxa" w:w="2952"/>
            <w:vAlign w:val="center"/>
            <w:tcMar>
              <w:top w:w="95" w:type="dxa"/>
              <w:start w:w="95" w:type="dxa"/>
              <w:bottom w:w="95" w:type="dxa"/>
              <w:end w:w="95" w:type="dxa"/>
            </w:tcMar>
          </w:tcPr>
          <w:p>
            <w:pPr>
              <w:spacing w:after="0"/>
            </w:pPr>
            <w:r>
              <w:rPr>
                <w:rFonts w:ascii="Aptos" w:hAnsi="Aptos"/>
                <w:sz w:val="14"/>
              </w:rPr>
              <w:t>NuVue</w:t>
            </w:r>
          </w:p>
        </w:tc>
        <w:tc>
          <w:tcPr>
            <w:tcW w:type="dxa" w:w="3960"/>
            <w:vAlign w:val="center"/>
            <w:tcMar>
              <w:top w:w="95" w:type="dxa"/>
              <w:start w:w="95" w:type="dxa"/>
              <w:bottom w:w="95" w:type="dxa"/>
              <w:end w:w="95" w:type="dxa"/>
            </w:tcMar>
          </w:tcPr>
          <w:p>
            <w:pPr>
              <w:spacing w:after="0"/>
            </w:pPr>
            <w:r>
              <w:rPr>
                <w:rFonts w:ascii="Aptos" w:hAnsi="Aptos"/>
                <w:sz w:val="14"/>
              </w:rPr>
              <w:t>Controls proof and social credibility.</w:t>
            </w:r>
          </w:p>
        </w:tc>
      </w:tr>
      <w:tr>
        <w:tc>
          <w:tcPr>
            <w:tcW w:type="dxa" w:w="2880"/>
            <w:vAlign w:val="center"/>
            <w:tcMar>
              <w:top w:w="95" w:type="dxa"/>
              <w:start w:w="95" w:type="dxa"/>
              <w:bottom w:w="95" w:type="dxa"/>
              <w:end w:w="95" w:type="dxa"/>
            </w:tcMar>
          </w:tcPr>
          <w:p>
            <w:pPr>
              <w:spacing w:after="0"/>
            </w:pPr>
            <w:r>
              <w:rPr>
                <w:rFonts w:ascii="Aptos" w:hAnsi="Aptos"/>
                <w:sz w:val="14"/>
              </w:rPr>
              <w:t>CRM lifecycle and source fields</w:t>
            </w:r>
          </w:p>
        </w:tc>
        <w:tc>
          <w:tcPr>
            <w:tcW w:type="dxa" w:w="2952"/>
            <w:vAlign w:val="center"/>
            <w:tcMar>
              <w:top w:w="95" w:type="dxa"/>
              <w:start w:w="95" w:type="dxa"/>
              <w:bottom w:w="95" w:type="dxa"/>
              <w:end w:w="95" w:type="dxa"/>
            </w:tcMar>
          </w:tcPr>
          <w:p>
            <w:pPr>
              <w:spacing w:after="0"/>
            </w:pPr>
            <w:r>
              <w:rPr>
                <w:rFonts w:ascii="Aptos" w:hAnsi="Aptos"/>
                <w:sz w:val="14"/>
              </w:rPr>
              <w:t>NuVue + implementation team</w:t>
            </w:r>
          </w:p>
        </w:tc>
        <w:tc>
          <w:tcPr>
            <w:tcW w:type="dxa" w:w="3960"/>
            <w:vAlign w:val="center"/>
            <w:tcMar>
              <w:top w:w="95" w:type="dxa"/>
              <w:start w:w="95" w:type="dxa"/>
              <w:bottom w:w="95" w:type="dxa"/>
              <w:end w:w="95" w:type="dxa"/>
            </w:tcMar>
          </w:tcPr>
          <w:p>
            <w:pPr>
              <w:spacing w:after="0"/>
            </w:pPr>
            <w:r>
              <w:rPr>
                <w:rFonts w:ascii="Aptos" w:hAnsi="Aptos"/>
                <w:sz w:val="14"/>
              </w:rPr>
              <w:t>Controls attribution and reporting.</w:t>
            </w:r>
          </w:p>
        </w:tc>
      </w:tr>
      <w:tr>
        <w:tc>
          <w:tcPr>
            <w:tcW w:type="dxa" w:w="2880"/>
            <w:vAlign w:val="center"/>
            <w:tcMar>
              <w:top w:w="95" w:type="dxa"/>
              <w:start w:w="95" w:type="dxa"/>
              <w:bottom w:w="95" w:type="dxa"/>
              <w:end w:w="95" w:type="dxa"/>
            </w:tcMar>
          </w:tcPr>
          <w:p>
            <w:pPr>
              <w:spacing w:after="0"/>
            </w:pPr>
            <w:r>
              <w:rPr>
                <w:rFonts w:ascii="Aptos" w:hAnsi="Aptos"/>
                <w:sz w:val="14"/>
              </w:rPr>
              <w:t>Program taxonomy / inventory</w:t>
            </w:r>
          </w:p>
        </w:tc>
        <w:tc>
          <w:tcPr>
            <w:tcW w:type="dxa" w:w="2952"/>
            <w:vAlign w:val="center"/>
            <w:tcMar>
              <w:top w:w="95" w:type="dxa"/>
              <w:start w:w="95" w:type="dxa"/>
              <w:bottom w:w="95" w:type="dxa"/>
              <w:end w:w="95" w:type="dxa"/>
            </w:tcMar>
          </w:tcPr>
          <w:p>
            <w:pPr>
              <w:spacing w:after="0"/>
            </w:pPr>
            <w:r>
              <w:rPr>
                <w:rFonts w:ascii="Aptos" w:hAnsi="Aptos"/>
                <w:sz w:val="14"/>
              </w:rPr>
              <w:t>NuVue</w:t>
            </w:r>
          </w:p>
        </w:tc>
        <w:tc>
          <w:tcPr>
            <w:tcW w:type="dxa" w:w="3960"/>
            <w:vAlign w:val="center"/>
            <w:tcMar>
              <w:top w:w="95" w:type="dxa"/>
              <w:start w:w="95" w:type="dxa"/>
              <w:bottom w:w="95" w:type="dxa"/>
              <w:end w:w="95" w:type="dxa"/>
            </w:tcMar>
          </w:tcPr>
          <w:p>
            <w:pPr>
              <w:spacing w:after="0"/>
            </w:pPr>
            <w:r>
              <w:rPr>
                <w:rFonts w:ascii="Aptos" w:hAnsi="Aptos"/>
                <w:sz w:val="14"/>
              </w:rPr>
              <w:t>Controls curriculum library, filtering, internal linking.</w:t>
            </w:r>
          </w:p>
        </w:tc>
      </w:tr>
      <w:tr>
        <w:tc>
          <w:tcPr>
            <w:tcW w:type="dxa" w:w="2880"/>
            <w:vAlign w:val="center"/>
            <w:tcMar>
              <w:top w:w="95" w:type="dxa"/>
              <w:start w:w="95" w:type="dxa"/>
              <w:bottom w:w="95" w:type="dxa"/>
              <w:end w:w="95" w:type="dxa"/>
            </w:tcMar>
          </w:tcPr>
          <w:p>
            <w:pPr>
              <w:spacing w:after="0"/>
            </w:pPr>
            <w:r>
              <w:rPr>
                <w:rFonts w:ascii="Aptos" w:hAnsi="Aptos"/>
                <w:sz w:val="14"/>
              </w:rPr>
              <w:t>Industry priority</w:t>
            </w:r>
          </w:p>
        </w:tc>
        <w:tc>
          <w:tcPr>
            <w:tcW w:type="dxa" w:w="2952"/>
            <w:vAlign w:val="center"/>
            <w:tcMar>
              <w:top w:w="95" w:type="dxa"/>
              <w:start w:w="95" w:type="dxa"/>
              <w:bottom w:w="95" w:type="dxa"/>
              <w:end w:w="95" w:type="dxa"/>
            </w:tcMar>
          </w:tcPr>
          <w:p>
            <w:pPr>
              <w:spacing w:after="0"/>
            </w:pPr>
            <w:r>
              <w:rPr>
                <w:rFonts w:ascii="Aptos" w:hAnsi="Aptos"/>
                <w:sz w:val="14"/>
              </w:rPr>
              <w:t>NuVue + Blueprint evidence</w:t>
            </w:r>
          </w:p>
        </w:tc>
        <w:tc>
          <w:tcPr>
            <w:tcW w:type="dxa" w:w="3960"/>
            <w:vAlign w:val="center"/>
            <w:tcMar>
              <w:top w:w="95" w:type="dxa"/>
              <w:start w:w="95" w:type="dxa"/>
              <w:bottom w:w="95" w:type="dxa"/>
              <w:end w:w="95" w:type="dxa"/>
            </w:tcMar>
          </w:tcPr>
          <w:p>
            <w:pPr>
              <w:spacing w:after="0"/>
            </w:pPr>
            <w:r>
              <w:rPr>
                <w:rFonts w:ascii="Aptos" w:hAnsi="Aptos"/>
                <w:sz w:val="14"/>
              </w:rPr>
              <w:t>Controls content sequencing.</w:t>
            </w:r>
          </w:p>
        </w:tc>
      </w:tr>
      <w:tr>
        <w:tc>
          <w:tcPr>
            <w:tcW w:type="dxa" w:w="2880"/>
            <w:vAlign w:val="center"/>
            <w:tcMar>
              <w:top w:w="95" w:type="dxa"/>
              <w:start w:w="95" w:type="dxa"/>
              <w:bottom w:w="95" w:type="dxa"/>
              <w:end w:w="95" w:type="dxa"/>
            </w:tcMar>
          </w:tcPr>
          <w:p>
            <w:pPr>
              <w:spacing w:after="0"/>
            </w:pPr>
            <w:r>
              <w:rPr>
                <w:rFonts w:ascii="Aptos" w:hAnsi="Aptos"/>
                <w:sz w:val="14"/>
              </w:rPr>
              <w:t>Final IA / templates</w:t>
            </w:r>
          </w:p>
        </w:tc>
        <w:tc>
          <w:tcPr>
            <w:tcW w:type="dxa" w:w="2952"/>
            <w:vAlign w:val="center"/>
            <w:tcMar>
              <w:top w:w="95" w:type="dxa"/>
              <w:start w:w="95" w:type="dxa"/>
              <w:bottom w:w="95" w:type="dxa"/>
              <w:end w:w="95" w:type="dxa"/>
            </w:tcMar>
          </w:tcPr>
          <w:p>
            <w:pPr>
              <w:spacing w:after="0"/>
            </w:pPr>
            <w:r>
              <w:rPr>
                <w:rFonts w:ascii="Aptos" w:hAnsi="Aptos"/>
                <w:sz w:val="14"/>
              </w:rPr>
              <w:t>SimpliCreative</w:t>
            </w:r>
          </w:p>
        </w:tc>
        <w:tc>
          <w:tcPr>
            <w:tcW w:type="dxa" w:w="3960"/>
            <w:vAlign w:val="center"/>
            <w:tcMar>
              <w:top w:w="95" w:type="dxa"/>
              <w:start w:w="95" w:type="dxa"/>
              <w:bottom w:w="95" w:type="dxa"/>
              <w:end w:w="95" w:type="dxa"/>
            </w:tcMar>
          </w:tcPr>
          <w:p>
            <w:pPr>
              <w:spacing w:after="0"/>
            </w:pPr>
            <w:r>
              <w:rPr>
                <w:rFonts w:ascii="Aptos" w:hAnsi="Aptos"/>
                <w:sz w:val="14"/>
              </w:rPr>
              <w:t>Controls copy production and design system.</w:t>
            </w:r>
          </w:p>
        </w:tc>
      </w:tr>
      <w:tr>
        <w:tc>
          <w:tcPr>
            <w:tcW w:type="dxa" w:w="2880"/>
            <w:vAlign w:val="center"/>
            <w:tcMar>
              <w:top w:w="95" w:type="dxa"/>
              <w:start w:w="95" w:type="dxa"/>
              <w:bottom w:w="95" w:type="dxa"/>
              <w:end w:w="95" w:type="dxa"/>
            </w:tcMar>
          </w:tcPr>
          <w:p>
            <w:pPr>
              <w:spacing w:after="0"/>
            </w:pPr>
            <w:r>
              <w:rPr>
                <w:rFonts w:ascii="Aptos" w:hAnsi="Aptos"/>
                <w:sz w:val="14"/>
              </w:rPr>
              <w:t>Brand assets / photography</w:t>
            </w:r>
          </w:p>
        </w:tc>
        <w:tc>
          <w:tcPr>
            <w:tcW w:type="dxa" w:w="2952"/>
            <w:vAlign w:val="center"/>
            <w:tcMar>
              <w:top w:w="95" w:type="dxa"/>
              <w:start w:w="95" w:type="dxa"/>
              <w:bottom w:w="95" w:type="dxa"/>
              <w:end w:w="95" w:type="dxa"/>
            </w:tcMar>
          </w:tcPr>
          <w:p>
            <w:pPr>
              <w:spacing w:after="0"/>
            </w:pPr>
            <w:r>
              <w:rPr>
                <w:rFonts w:ascii="Aptos" w:hAnsi="Aptos"/>
                <w:sz w:val="14"/>
              </w:rPr>
              <w:t>NuVue</w:t>
            </w:r>
          </w:p>
        </w:tc>
        <w:tc>
          <w:tcPr>
            <w:tcW w:type="dxa" w:w="3960"/>
            <w:vAlign w:val="center"/>
            <w:tcMar>
              <w:top w:w="95" w:type="dxa"/>
              <w:start w:w="95" w:type="dxa"/>
              <w:bottom w:w="95" w:type="dxa"/>
              <w:end w:w="95" w:type="dxa"/>
            </w:tcMar>
          </w:tcPr>
          <w:p>
            <w:pPr>
              <w:spacing w:after="0"/>
            </w:pPr>
            <w:r>
              <w:rPr>
                <w:rFonts w:ascii="Aptos" w:hAnsi="Aptos"/>
                <w:sz w:val="14"/>
              </w:rPr>
              <w:t>Controls final visual execution.</w:t>
            </w:r>
          </w:p>
        </w:tc>
      </w:tr>
    </w:tbl>
    <w:p>
      <w:pPr>
        <w:spacing w:after="20"/>
      </w:pPr>
    </w:p>
    <w:p>
      <w:pPr>
        <w:pStyle w:val="Heading1"/>
      </w:pPr>
      <w:r>
        <w:t>17. Open Decisions Register</w:t>
      </w:r>
    </w:p>
    <w:tbl>
      <w:tblPr>
        <w:tblStyle w:val="TableGrid"/>
        <w:tblW w:type="auto" w:w="0"/>
        <w:jc w:val="center"/>
        <w:tblLook w:firstColumn="1" w:firstRow="1" w:lastColumn="0" w:lastRow="0" w:noHBand="0" w:noVBand="1" w:val="04A0"/>
      </w:tblPr>
      <w:tblGrid>
        <w:gridCol w:w="3456"/>
        <w:gridCol w:w="3456"/>
        <w:gridCol w:w="3456"/>
      </w:tblGrid>
      <w:tr>
        <w:tc>
          <w:tcPr>
            <w:tcW w:type="dxa" w:w="2376"/>
            <w:shd w:fill="173B56"/>
            <w:vAlign w:val="center"/>
            <w:tcMar>
              <w:top w:w="100" w:type="dxa"/>
              <w:start w:w="100" w:type="dxa"/>
              <w:bottom w:w="100" w:type="dxa"/>
              <w:end w:w="100" w:type="dxa"/>
            </w:tcMar>
          </w:tcPr>
          <w:p>
            <w:r>
              <w:rPr>
                <w:b/>
                <w:color w:val="FFFFFF"/>
                <w:sz w:val="14"/>
              </w:rPr>
              <w:t>Open item</w:t>
            </w:r>
          </w:p>
        </w:tc>
        <w:tc>
          <w:tcPr>
            <w:tcW w:type="dxa" w:w="3960"/>
            <w:shd w:fill="173B56"/>
            <w:vAlign w:val="center"/>
            <w:tcMar>
              <w:top w:w="100" w:type="dxa"/>
              <w:start w:w="100" w:type="dxa"/>
              <w:bottom w:w="100" w:type="dxa"/>
              <w:end w:w="100" w:type="dxa"/>
            </w:tcMar>
          </w:tcPr>
          <w:p>
            <w:r>
              <w:rPr>
                <w:b/>
                <w:color w:val="FFFFFF"/>
                <w:sz w:val="14"/>
              </w:rPr>
              <w:t>Current state</w:t>
            </w:r>
          </w:p>
        </w:tc>
        <w:tc>
          <w:tcPr>
            <w:tcW w:type="dxa" w:w="3456"/>
            <w:shd w:fill="173B56"/>
            <w:vAlign w:val="center"/>
            <w:tcMar>
              <w:top w:w="100" w:type="dxa"/>
              <w:start w:w="100" w:type="dxa"/>
              <w:bottom w:w="100" w:type="dxa"/>
              <w:end w:w="100" w:type="dxa"/>
            </w:tcMar>
          </w:tcPr>
          <w:p>
            <w:r>
              <w:rPr>
                <w:b/>
                <w:color w:val="FFFFFF"/>
                <w:sz w:val="14"/>
              </w:rPr>
              <w:t>Required action</w:t>
            </w:r>
          </w:p>
        </w:tc>
      </w:tr>
      <w:tr>
        <w:tc>
          <w:tcPr>
            <w:tcW w:type="dxa" w:w="2376"/>
            <w:vAlign w:val="center"/>
            <w:tcMar>
              <w:top w:w="95" w:type="dxa"/>
              <w:start w:w="95" w:type="dxa"/>
              <w:bottom w:w="95" w:type="dxa"/>
              <w:end w:w="95" w:type="dxa"/>
            </w:tcMar>
          </w:tcPr>
          <w:p>
            <w:pPr>
              <w:spacing w:after="0"/>
            </w:pPr>
            <w:r>
              <w:rPr>
                <w:rFonts w:ascii="Aptos" w:hAnsi="Aptos"/>
                <w:sz w:val="14"/>
              </w:rPr>
              <w:t>Guarantee threshold</w:t>
            </w:r>
          </w:p>
        </w:tc>
        <w:tc>
          <w:tcPr>
            <w:tcW w:type="dxa" w:w="3960"/>
            <w:vAlign w:val="center"/>
            <w:tcMar>
              <w:top w:w="95" w:type="dxa"/>
              <w:start w:w="95" w:type="dxa"/>
              <w:bottom w:w="95" w:type="dxa"/>
              <w:end w:w="95" w:type="dxa"/>
            </w:tcMar>
          </w:tcPr>
          <w:p>
            <w:pPr>
              <w:spacing w:after="0"/>
            </w:pPr>
            <w:r>
              <w:rPr>
                <w:rFonts w:ascii="Aptos" w:hAnsi="Aptos"/>
                <w:sz w:val="14"/>
              </w:rPr>
              <w:t>Client inputs reference 100+ reps, 1,000+ in one answer, and a 1,000-rep annual cap.</w:t>
            </w:r>
          </w:p>
        </w:tc>
        <w:tc>
          <w:tcPr>
            <w:tcW w:type="dxa" w:w="3456"/>
            <w:vAlign w:val="center"/>
            <w:tcMar>
              <w:top w:w="95" w:type="dxa"/>
              <w:start w:w="95" w:type="dxa"/>
              <w:bottom w:w="95" w:type="dxa"/>
              <w:end w:w="95" w:type="dxa"/>
            </w:tcMar>
          </w:tcPr>
          <w:p>
            <w:pPr>
              <w:spacing w:after="0"/>
            </w:pPr>
            <w:r>
              <w:rPr>
                <w:rFonts w:ascii="Aptos" w:hAnsi="Aptos"/>
                <w:sz w:val="14"/>
              </w:rPr>
              <w:t>Confirm minimum qualification vs. ideal account vs. annual capacity.</w:t>
            </w:r>
          </w:p>
        </w:tc>
      </w:tr>
      <w:tr>
        <w:tc>
          <w:tcPr>
            <w:tcW w:type="dxa" w:w="2376"/>
            <w:vAlign w:val="center"/>
            <w:tcMar>
              <w:top w:w="95" w:type="dxa"/>
              <w:start w:w="95" w:type="dxa"/>
              <w:bottom w:w="95" w:type="dxa"/>
              <w:end w:w="95" w:type="dxa"/>
            </w:tcMar>
          </w:tcPr>
          <w:p>
            <w:pPr>
              <w:spacing w:after="0"/>
            </w:pPr>
            <w:r>
              <w:rPr>
                <w:rFonts w:ascii="Aptos" w:hAnsi="Aptos"/>
                <w:sz w:val="14"/>
              </w:rPr>
              <w:t>Public seminar format mix</w:t>
            </w:r>
          </w:p>
        </w:tc>
        <w:tc>
          <w:tcPr>
            <w:tcW w:type="dxa" w:w="3960"/>
            <w:vAlign w:val="center"/>
            <w:tcMar>
              <w:top w:w="95" w:type="dxa"/>
              <w:start w:w="95" w:type="dxa"/>
              <w:bottom w:w="95" w:type="dxa"/>
              <w:end w:w="95" w:type="dxa"/>
            </w:tcMar>
          </w:tcPr>
          <w:p>
            <w:pPr>
              <w:spacing w:after="0"/>
            </w:pPr>
            <w:r>
              <w:rPr>
                <w:rFonts w:ascii="Aptos" w:hAnsi="Aptos"/>
                <w:sz w:val="14"/>
              </w:rPr>
              <w:t>Current materials include in-person, virtual, and developing digital options with changing details.</w:t>
            </w:r>
          </w:p>
        </w:tc>
        <w:tc>
          <w:tcPr>
            <w:tcW w:type="dxa" w:w="3456"/>
            <w:vAlign w:val="center"/>
            <w:tcMar>
              <w:top w:w="95" w:type="dxa"/>
              <w:start w:w="95" w:type="dxa"/>
              <w:bottom w:w="95" w:type="dxa"/>
              <w:end w:w="95" w:type="dxa"/>
            </w:tcMar>
          </w:tcPr>
          <w:p>
            <w:pPr>
              <w:spacing w:after="0"/>
            </w:pPr>
            <w:r>
              <w:rPr>
                <w:rFonts w:ascii="Aptos" w:hAnsi="Aptos"/>
                <w:sz w:val="14"/>
              </w:rPr>
              <w:t>Confirm what is currently sold before publishing pricing / format language.</w:t>
            </w:r>
          </w:p>
        </w:tc>
      </w:tr>
      <w:tr>
        <w:tc>
          <w:tcPr>
            <w:tcW w:type="dxa" w:w="2376"/>
            <w:vAlign w:val="center"/>
            <w:tcMar>
              <w:top w:w="95" w:type="dxa"/>
              <w:start w:w="95" w:type="dxa"/>
              <w:bottom w:w="95" w:type="dxa"/>
              <w:end w:w="95" w:type="dxa"/>
            </w:tcMar>
          </w:tcPr>
          <w:p>
            <w:pPr>
              <w:spacing w:after="0"/>
            </w:pPr>
            <w:r>
              <w:rPr>
                <w:rFonts w:ascii="Aptos" w:hAnsi="Aptos"/>
                <w:sz w:val="14"/>
              </w:rPr>
              <w:t>Corporate conversion definition</w:t>
            </w:r>
          </w:p>
        </w:tc>
        <w:tc>
          <w:tcPr>
            <w:tcW w:type="dxa" w:w="3960"/>
            <w:vAlign w:val="center"/>
            <w:tcMar>
              <w:top w:w="95" w:type="dxa"/>
              <w:start w:w="95" w:type="dxa"/>
              <w:bottom w:w="95" w:type="dxa"/>
              <w:end w:w="95" w:type="dxa"/>
            </w:tcMar>
          </w:tcPr>
          <w:p>
            <w:pPr>
              <w:spacing w:after="0"/>
            </w:pPr>
            <w:r>
              <w:rPr>
                <w:rFonts w:ascii="Aptos" w:hAnsi="Aptos"/>
                <w:sz w:val="14"/>
              </w:rPr>
              <w:t>Client stated the funnel was still being built.</w:t>
            </w:r>
          </w:p>
        </w:tc>
        <w:tc>
          <w:tcPr>
            <w:tcW w:type="dxa" w:w="3456"/>
            <w:vAlign w:val="center"/>
            <w:tcMar>
              <w:top w:w="95" w:type="dxa"/>
              <w:start w:w="95" w:type="dxa"/>
              <w:bottom w:w="95" w:type="dxa"/>
              <w:end w:w="95" w:type="dxa"/>
            </w:tcMar>
          </w:tcPr>
          <w:p>
            <w:pPr>
              <w:spacing w:after="0"/>
            </w:pPr>
            <w:r>
              <w:rPr>
                <w:rFonts w:ascii="Aptos" w:hAnsi="Aptos"/>
                <w:sz w:val="14"/>
              </w:rPr>
              <w:t>Approve meaningful corporate conversion and qualification fields.</w:t>
            </w:r>
          </w:p>
        </w:tc>
      </w:tr>
      <w:tr>
        <w:tc>
          <w:tcPr>
            <w:tcW w:type="dxa" w:w="2376"/>
            <w:vAlign w:val="center"/>
            <w:tcMar>
              <w:top w:w="95" w:type="dxa"/>
              <w:start w:w="95" w:type="dxa"/>
              <w:bottom w:w="95" w:type="dxa"/>
              <w:end w:w="95" w:type="dxa"/>
            </w:tcMar>
          </w:tcPr>
          <w:p>
            <w:pPr>
              <w:spacing w:after="0"/>
            </w:pPr>
            <w:r>
              <w:rPr>
                <w:rFonts w:ascii="Aptos" w:hAnsi="Aptos"/>
                <w:sz w:val="14"/>
              </w:rPr>
              <w:t>Vertical sequencing</w:t>
            </w:r>
          </w:p>
        </w:tc>
        <w:tc>
          <w:tcPr>
            <w:tcW w:type="dxa" w:w="3960"/>
            <w:vAlign w:val="center"/>
            <w:tcMar>
              <w:top w:w="95" w:type="dxa"/>
              <w:start w:w="95" w:type="dxa"/>
              <w:bottom w:w="95" w:type="dxa"/>
              <w:end w:w="95" w:type="dxa"/>
            </w:tcMar>
          </w:tcPr>
          <w:p>
            <w:pPr>
              <w:spacing w:after="0"/>
            </w:pPr>
            <w:r>
              <w:rPr>
                <w:rFonts w:ascii="Aptos" w:hAnsi="Aptos"/>
                <w:sz w:val="14"/>
              </w:rPr>
              <w:t>Agriculture is strongest; other industry depth varies.</w:t>
            </w:r>
          </w:p>
        </w:tc>
        <w:tc>
          <w:tcPr>
            <w:tcW w:type="dxa" w:w="3456"/>
            <w:vAlign w:val="center"/>
            <w:tcMar>
              <w:top w:w="95" w:type="dxa"/>
              <w:start w:w="95" w:type="dxa"/>
              <w:bottom w:w="95" w:type="dxa"/>
              <w:end w:w="95" w:type="dxa"/>
            </w:tcMar>
          </w:tcPr>
          <w:p>
            <w:pPr>
              <w:spacing w:after="0"/>
            </w:pPr>
            <w:r>
              <w:rPr>
                <w:rFonts w:ascii="Aptos" w:hAnsi="Aptos"/>
                <w:sz w:val="14"/>
              </w:rPr>
              <w:t>Use sales / CRM / search evidence before locking rollout priority.</w:t>
            </w:r>
          </w:p>
        </w:tc>
      </w:tr>
      <w:tr>
        <w:tc>
          <w:tcPr>
            <w:tcW w:type="dxa" w:w="2376"/>
            <w:vAlign w:val="center"/>
            <w:tcMar>
              <w:top w:w="95" w:type="dxa"/>
              <w:start w:w="95" w:type="dxa"/>
              <w:bottom w:w="95" w:type="dxa"/>
              <w:end w:w="95" w:type="dxa"/>
            </w:tcMar>
          </w:tcPr>
          <w:p>
            <w:pPr>
              <w:spacing w:after="0"/>
            </w:pPr>
            <w:r>
              <w:rPr>
                <w:rFonts w:ascii="Aptos" w:hAnsi="Aptos"/>
                <w:sz w:val="14"/>
              </w:rPr>
              <w:t>Proof library completeness</w:t>
            </w:r>
          </w:p>
        </w:tc>
        <w:tc>
          <w:tcPr>
            <w:tcW w:type="dxa" w:w="3960"/>
            <w:vAlign w:val="center"/>
            <w:tcMar>
              <w:top w:w="95" w:type="dxa"/>
              <w:start w:w="95" w:type="dxa"/>
              <w:bottom w:w="95" w:type="dxa"/>
              <w:end w:w="95" w:type="dxa"/>
            </w:tcMar>
          </w:tcPr>
          <w:p>
            <w:pPr>
              <w:spacing w:after="0"/>
            </w:pPr>
            <w:r>
              <w:rPr>
                <w:rFonts w:ascii="Aptos" w:hAnsi="Aptos"/>
                <w:sz w:val="14"/>
              </w:rPr>
              <w:t>Client says more testimonials / ROI evidence exist.</w:t>
            </w:r>
          </w:p>
        </w:tc>
        <w:tc>
          <w:tcPr>
            <w:tcW w:type="dxa" w:w="3456"/>
            <w:vAlign w:val="center"/>
            <w:tcMar>
              <w:top w:w="95" w:type="dxa"/>
              <w:start w:w="95" w:type="dxa"/>
              <w:bottom w:w="95" w:type="dxa"/>
              <w:end w:w="95" w:type="dxa"/>
            </w:tcMar>
          </w:tcPr>
          <w:p>
            <w:pPr>
              <w:spacing w:after="0"/>
            </w:pPr>
            <w:r>
              <w:rPr>
                <w:rFonts w:ascii="Aptos" w:hAnsi="Aptos"/>
                <w:sz w:val="14"/>
              </w:rPr>
              <w:t>Collect source files and permission status before final copy.</w:t>
            </w:r>
          </w:p>
        </w:tc>
      </w:tr>
      <w:tr>
        <w:tc>
          <w:tcPr>
            <w:tcW w:type="dxa" w:w="2376"/>
            <w:vAlign w:val="center"/>
            <w:tcMar>
              <w:top w:w="95" w:type="dxa"/>
              <w:start w:w="95" w:type="dxa"/>
              <w:bottom w:w="95" w:type="dxa"/>
              <w:end w:w="95" w:type="dxa"/>
            </w:tcMar>
          </w:tcPr>
          <w:p>
            <w:pPr>
              <w:spacing w:after="0"/>
            </w:pPr>
            <w:r>
              <w:rPr>
                <w:rFonts w:ascii="Aptos" w:hAnsi="Aptos"/>
                <w:sz w:val="14"/>
              </w:rPr>
              <w:t>Brand template</w:t>
            </w:r>
          </w:p>
        </w:tc>
        <w:tc>
          <w:tcPr>
            <w:tcW w:type="dxa" w:w="3960"/>
            <w:vAlign w:val="center"/>
            <w:tcMar>
              <w:top w:w="95" w:type="dxa"/>
              <w:start w:w="95" w:type="dxa"/>
              <w:bottom w:w="95" w:type="dxa"/>
              <w:end w:w="95" w:type="dxa"/>
            </w:tcMar>
          </w:tcPr>
          <w:p>
            <w:pPr>
              <w:spacing w:after="0"/>
            </w:pPr>
            <w:r>
              <w:rPr>
                <w:rFonts w:ascii="Aptos" w:hAnsi="Aptos"/>
                <w:sz w:val="14"/>
              </w:rPr>
              <w:t>Not final yet.</w:t>
            </w:r>
          </w:p>
        </w:tc>
        <w:tc>
          <w:tcPr>
            <w:tcW w:type="dxa" w:w="3456"/>
            <w:vAlign w:val="center"/>
            <w:tcMar>
              <w:top w:w="95" w:type="dxa"/>
              <w:start w:w="95" w:type="dxa"/>
              <w:bottom w:w="95" w:type="dxa"/>
              <w:end w:w="95" w:type="dxa"/>
            </w:tcMar>
          </w:tcPr>
          <w:p>
            <w:pPr>
              <w:spacing w:after="0"/>
            </w:pPr>
            <w:r>
              <w:rPr>
                <w:rFonts w:ascii="Aptos" w:hAnsi="Aptos"/>
                <w:sz w:val="14"/>
              </w:rPr>
              <w:t>Apply visual system after content and structure are approved.</w:t>
            </w:r>
          </w:p>
        </w:tc>
      </w:tr>
    </w:tbl>
    <w:p>
      <w:pPr>
        <w:spacing w:after="20"/>
      </w:pPr>
    </w:p>
    <w:p>
      <w:pPr>
        <w:pStyle w:val="Heading1"/>
      </w:pPr>
      <w:r>
        <w:t>18. Client Review Workflow</w:t>
      </w:r>
    </w:p>
    <w:tbl>
      <w:tblPr>
        <w:tblStyle w:val="TableGrid"/>
        <w:tblW w:type="auto" w:w="0"/>
        <w:jc w:val="center"/>
        <w:tblLook w:firstColumn="1" w:firstRow="1" w:lastColumn="0" w:lastRow="0" w:noHBand="0" w:noVBand="1" w:val="04A0"/>
      </w:tblPr>
      <w:tblGrid>
        <w:gridCol w:w="3456"/>
        <w:gridCol w:w="3456"/>
        <w:gridCol w:w="3456"/>
      </w:tblGrid>
      <w:tr>
        <w:tc>
          <w:tcPr>
            <w:tcW w:type="dxa" w:w="2088"/>
            <w:shd w:fill="173B56"/>
            <w:vAlign w:val="center"/>
            <w:tcMar>
              <w:top w:w="100" w:type="dxa"/>
              <w:start w:w="100" w:type="dxa"/>
              <w:bottom w:w="100" w:type="dxa"/>
              <w:end w:w="100" w:type="dxa"/>
            </w:tcMar>
          </w:tcPr>
          <w:p>
            <w:r>
              <w:rPr>
                <w:b/>
                <w:color w:val="FFFFFF"/>
                <w:sz w:val="14"/>
              </w:rPr>
              <w:t>Stage</w:t>
            </w:r>
          </w:p>
        </w:tc>
        <w:tc>
          <w:tcPr>
            <w:tcW w:type="dxa" w:w="3960"/>
            <w:shd w:fill="173B56"/>
            <w:vAlign w:val="center"/>
            <w:tcMar>
              <w:top w:w="100" w:type="dxa"/>
              <w:start w:w="100" w:type="dxa"/>
              <w:bottom w:w="100" w:type="dxa"/>
              <w:end w:w="100" w:type="dxa"/>
            </w:tcMar>
          </w:tcPr>
          <w:p>
            <w:r>
              <w:rPr>
                <w:b/>
                <w:color w:val="FFFFFF"/>
                <w:sz w:val="14"/>
              </w:rPr>
              <w:t>What the client reviews</w:t>
            </w:r>
          </w:p>
        </w:tc>
        <w:tc>
          <w:tcPr>
            <w:tcW w:type="dxa" w:w="3744"/>
            <w:shd w:fill="173B56"/>
            <w:vAlign w:val="center"/>
            <w:tcMar>
              <w:top w:w="100" w:type="dxa"/>
              <w:start w:w="100" w:type="dxa"/>
              <w:bottom w:w="100" w:type="dxa"/>
              <w:end w:w="100" w:type="dxa"/>
            </w:tcMar>
          </w:tcPr>
          <w:p>
            <w:r>
              <w:rPr>
                <w:b/>
                <w:color w:val="FFFFFF"/>
                <w:sz w:val="14"/>
              </w:rPr>
              <w:t>What becomes authoritative</w:t>
            </w:r>
          </w:p>
        </w:tc>
      </w:tr>
      <w:tr>
        <w:tc>
          <w:tcPr>
            <w:tcW w:type="dxa" w:w="2088"/>
            <w:vAlign w:val="center"/>
            <w:tcMar>
              <w:top w:w="95" w:type="dxa"/>
              <w:start w:w="95" w:type="dxa"/>
              <w:bottom w:w="95" w:type="dxa"/>
              <w:end w:w="95" w:type="dxa"/>
            </w:tcMar>
          </w:tcPr>
          <w:p>
            <w:pPr>
              <w:spacing w:after="0"/>
            </w:pPr>
            <w:r>
              <w:rPr>
                <w:rFonts w:ascii="Aptos" w:hAnsi="Aptos"/>
                <w:sz w:val="14"/>
              </w:rPr>
              <w:t>Strategy confirmation</w:t>
            </w:r>
          </w:p>
        </w:tc>
        <w:tc>
          <w:tcPr>
            <w:tcW w:type="dxa" w:w="3960"/>
            <w:vAlign w:val="center"/>
            <w:tcMar>
              <w:top w:w="95" w:type="dxa"/>
              <w:start w:w="95" w:type="dxa"/>
              <w:bottom w:w="95" w:type="dxa"/>
              <w:end w:w="95" w:type="dxa"/>
            </w:tcMar>
          </w:tcPr>
          <w:p>
            <w:pPr>
              <w:spacing w:after="0"/>
            </w:pPr>
            <w:r>
              <w:rPr>
                <w:rFonts w:ascii="Aptos" w:hAnsi="Aptos"/>
                <w:sz w:val="14"/>
              </w:rPr>
              <w:t>Buyer, offers, differentiation, proof, page roles</w:t>
            </w:r>
          </w:p>
        </w:tc>
        <w:tc>
          <w:tcPr>
            <w:tcW w:type="dxa" w:w="3744"/>
            <w:vAlign w:val="center"/>
            <w:tcMar>
              <w:top w:w="95" w:type="dxa"/>
              <w:start w:w="95" w:type="dxa"/>
              <w:bottom w:w="95" w:type="dxa"/>
              <w:end w:w="95" w:type="dxa"/>
            </w:tcMar>
          </w:tcPr>
          <w:p>
            <w:pPr>
              <w:spacing w:after="0"/>
            </w:pPr>
            <w:r>
              <w:rPr>
                <w:rFonts w:ascii="Aptos" w:hAnsi="Aptos"/>
                <w:sz w:val="14"/>
              </w:rPr>
              <w:t>Approved strategy inputs</w:t>
            </w:r>
          </w:p>
        </w:tc>
      </w:tr>
      <w:tr>
        <w:tc>
          <w:tcPr>
            <w:tcW w:type="dxa" w:w="2088"/>
            <w:vAlign w:val="center"/>
            <w:tcMar>
              <w:top w:w="95" w:type="dxa"/>
              <w:start w:w="95" w:type="dxa"/>
              <w:bottom w:w="95" w:type="dxa"/>
              <w:end w:w="95" w:type="dxa"/>
            </w:tcMar>
          </w:tcPr>
          <w:p>
            <w:pPr>
              <w:spacing w:after="0"/>
            </w:pPr>
            <w:r>
              <w:rPr>
                <w:rFonts w:ascii="Aptos" w:hAnsi="Aptos"/>
                <w:sz w:val="14"/>
              </w:rPr>
              <w:t>Messaging / editorial review</w:t>
            </w:r>
          </w:p>
        </w:tc>
        <w:tc>
          <w:tcPr>
            <w:tcW w:type="dxa" w:w="3960"/>
            <w:vAlign w:val="center"/>
            <w:tcMar>
              <w:top w:w="95" w:type="dxa"/>
              <w:start w:w="95" w:type="dxa"/>
              <w:bottom w:w="95" w:type="dxa"/>
              <w:end w:w="95" w:type="dxa"/>
            </w:tcMar>
          </w:tcPr>
          <w:p>
            <w:pPr>
              <w:spacing w:after="0"/>
            </w:pPr>
            <w:r>
              <w:rPr>
                <w:rFonts w:ascii="Aptos" w:hAnsi="Aptos"/>
                <w:sz w:val="14"/>
              </w:rPr>
              <w:t>Voice, terminology, claims, narrative</w:t>
            </w:r>
          </w:p>
        </w:tc>
        <w:tc>
          <w:tcPr>
            <w:tcW w:type="dxa" w:w="3744"/>
            <w:vAlign w:val="center"/>
            <w:tcMar>
              <w:top w:w="95" w:type="dxa"/>
              <w:start w:w="95" w:type="dxa"/>
              <w:bottom w:w="95" w:type="dxa"/>
              <w:end w:w="95" w:type="dxa"/>
            </w:tcMar>
          </w:tcPr>
          <w:p>
            <w:pPr>
              <w:spacing w:after="0"/>
            </w:pPr>
            <w:r>
              <w:rPr>
                <w:rFonts w:ascii="Aptos" w:hAnsi="Aptos"/>
                <w:sz w:val="14"/>
              </w:rPr>
              <w:t>Approved messaging guide</w:t>
            </w:r>
          </w:p>
        </w:tc>
      </w:tr>
      <w:tr>
        <w:tc>
          <w:tcPr>
            <w:tcW w:type="dxa" w:w="2088"/>
            <w:vAlign w:val="center"/>
            <w:tcMar>
              <w:top w:w="95" w:type="dxa"/>
              <w:start w:w="95" w:type="dxa"/>
              <w:bottom w:w="95" w:type="dxa"/>
              <w:end w:w="95" w:type="dxa"/>
            </w:tcMar>
          </w:tcPr>
          <w:p>
            <w:pPr>
              <w:spacing w:after="0"/>
            </w:pPr>
            <w:r>
              <w:rPr>
                <w:rFonts w:ascii="Aptos" w:hAnsi="Aptos"/>
                <w:sz w:val="14"/>
              </w:rPr>
              <w:t>Page-outline review</w:t>
            </w:r>
          </w:p>
        </w:tc>
        <w:tc>
          <w:tcPr>
            <w:tcW w:type="dxa" w:w="3960"/>
            <w:vAlign w:val="center"/>
            <w:tcMar>
              <w:top w:w="95" w:type="dxa"/>
              <w:start w:w="95" w:type="dxa"/>
              <w:bottom w:w="95" w:type="dxa"/>
              <w:end w:w="95" w:type="dxa"/>
            </w:tcMar>
          </w:tcPr>
          <w:p>
            <w:pPr>
              <w:spacing w:after="0"/>
            </w:pPr>
            <w:r>
              <w:rPr>
                <w:rFonts w:ascii="Aptos" w:hAnsi="Aptos"/>
                <w:sz w:val="14"/>
              </w:rPr>
              <w:t>Section goals, required content, buyer intent, CTA, proof</w:t>
            </w:r>
          </w:p>
        </w:tc>
        <w:tc>
          <w:tcPr>
            <w:tcW w:type="dxa" w:w="3744"/>
            <w:vAlign w:val="center"/>
            <w:tcMar>
              <w:top w:w="95" w:type="dxa"/>
              <w:start w:w="95" w:type="dxa"/>
              <w:bottom w:w="95" w:type="dxa"/>
              <w:end w:w="95" w:type="dxa"/>
            </w:tcMar>
          </w:tcPr>
          <w:p>
            <w:pPr>
              <w:spacing w:after="0"/>
            </w:pPr>
            <w:r>
              <w:rPr>
                <w:rFonts w:ascii="Aptos" w:hAnsi="Aptos"/>
                <w:sz w:val="14"/>
              </w:rPr>
              <w:t>Approved page requirements</w:t>
            </w:r>
          </w:p>
        </w:tc>
      </w:tr>
      <w:tr>
        <w:tc>
          <w:tcPr>
            <w:tcW w:type="dxa" w:w="2088"/>
            <w:vAlign w:val="center"/>
            <w:tcMar>
              <w:top w:w="95" w:type="dxa"/>
              <w:start w:w="95" w:type="dxa"/>
              <w:bottom w:w="95" w:type="dxa"/>
              <w:end w:w="95" w:type="dxa"/>
            </w:tcMar>
          </w:tcPr>
          <w:p>
            <w:pPr>
              <w:spacing w:after="0"/>
            </w:pPr>
            <w:r>
              <w:rPr>
                <w:rFonts w:ascii="Aptos" w:hAnsi="Aptos"/>
                <w:sz w:val="14"/>
              </w:rPr>
              <w:t>Sample-copy review</w:t>
            </w:r>
          </w:p>
        </w:tc>
        <w:tc>
          <w:tcPr>
            <w:tcW w:type="dxa" w:w="3960"/>
            <w:vAlign w:val="center"/>
            <w:tcMar>
              <w:top w:w="95" w:type="dxa"/>
              <w:start w:w="95" w:type="dxa"/>
              <w:bottom w:w="95" w:type="dxa"/>
              <w:end w:w="95" w:type="dxa"/>
            </w:tcMar>
          </w:tcPr>
          <w:p>
            <w:pPr>
              <w:spacing w:after="0"/>
            </w:pPr>
            <w:r>
              <w:rPr>
                <w:rFonts w:ascii="Aptos" w:hAnsi="Aptos"/>
                <w:sz w:val="14"/>
              </w:rPr>
              <w:t>Draft copy within approved strategy</w:t>
            </w:r>
          </w:p>
        </w:tc>
        <w:tc>
          <w:tcPr>
            <w:tcW w:type="dxa" w:w="3744"/>
            <w:vAlign w:val="center"/>
            <w:tcMar>
              <w:top w:w="95" w:type="dxa"/>
              <w:start w:w="95" w:type="dxa"/>
              <w:bottom w:w="95" w:type="dxa"/>
              <w:end w:w="95" w:type="dxa"/>
            </w:tcMar>
          </w:tcPr>
          <w:p>
            <w:pPr>
              <w:spacing w:after="0"/>
            </w:pPr>
            <w:r>
              <w:rPr>
                <w:rFonts w:ascii="Aptos" w:hAnsi="Aptos"/>
                <w:sz w:val="14"/>
              </w:rPr>
              <w:t>Client-approved copy</w:t>
            </w:r>
          </w:p>
        </w:tc>
      </w:tr>
      <w:tr>
        <w:tc>
          <w:tcPr>
            <w:tcW w:type="dxa" w:w="2088"/>
            <w:vAlign w:val="center"/>
            <w:tcMar>
              <w:top w:w="95" w:type="dxa"/>
              <w:start w:w="95" w:type="dxa"/>
              <w:bottom w:w="95" w:type="dxa"/>
              <w:end w:w="95" w:type="dxa"/>
            </w:tcMar>
          </w:tcPr>
          <w:p>
            <w:pPr>
              <w:spacing w:after="0"/>
            </w:pPr>
            <w:r>
              <w:rPr>
                <w:rFonts w:ascii="Aptos" w:hAnsi="Aptos"/>
                <w:sz w:val="14"/>
              </w:rPr>
              <w:t>Design review</w:t>
            </w:r>
          </w:p>
        </w:tc>
        <w:tc>
          <w:tcPr>
            <w:tcW w:type="dxa" w:w="3960"/>
            <w:vAlign w:val="center"/>
            <w:tcMar>
              <w:top w:w="95" w:type="dxa"/>
              <w:start w:w="95" w:type="dxa"/>
              <w:bottom w:w="95" w:type="dxa"/>
              <w:end w:w="95" w:type="dxa"/>
            </w:tcMar>
          </w:tcPr>
          <w:p>
            <w:pPr>
              <w:spacing w:after="0"/>
            </w:pPr>
            <w:r>
              <w:rPr>
                <w:rFonts w:ascii="Aptos" w:hAnsi="Aptos"/>
                <w:sz w:val="14"/>
              </w:rPr>
              <w:t>Visual hierarchy and experience</w:t>
            </w:r>
          </w:p>
        </w:tc>
        <w:tc>
          <w:tcPr>
            <w:tcW w:type="dxa" w:w="3744"/>
            <w:vAlign w:val="center"/>
            <w:tcMar>
              <w:top w:w="95" w:type="dxa"/>
              <w:start w:w="95" w:type="dxa"/>
              <w:bottom w:w="95" w:type="dxa"/>
              <w:end w:w="95" w:type="dxa"/>
            </w:tcMar>
          </w:tcPr>
          <w:p>
            <w:pPr>
              <w:spacing w:after="0"/>
            </w:pPr>
            <w:r>
              <w:rPr>
                <w:rFonts w:ascii="Aptos" w:hAnsi="Aptos"/>
                <w:sz w:val="14"/>
              </w:rPr>
              <w:t>Approved design</w:t>
            </w:r>
          </w:p>
        </w:tc>
      </w:tr>
      <w:tr>
        <w:tc>
          <w:tcPr>
            <w:tcW w:type="dxa" w:w="2088"/>
            <w:vAlign w:val="center"/>
            <w:tcMar>
              <w:top w:w="95" w:type="dxa"/>
              <w:start w:w="95" w:type="dxa"/>
              <w:bottom w:w="95" w:type="dxa"/>
              <w:end w:w="95" w:type="dxa"/>
            </w:tcMar>
          </w:tcPr>
          <w:p>
            <w:pPr>
              <w:spacing w:after="0"/>
            </w:pPr>
            <w:r>
              <w:rPr>
                <w:rFonts w:ascii="Aptos" w:hAnsi="Aptos"/>
                <w:sz w:val="14"/>
              </w:rPr>
              <w:t>Pre-launch review</w:t>
            </w:r>
          </w:p>
        </w:tc>
        <w:tc>
          <w:tcPr>
            <w:tcW w:type="dxa" w:w="3960"/>
            <w:vAlign w:val="center"/>
            <w:tcMar>
              <w:top w:w="95" w:type="dxa"/>
              <w:start w:w="95" w:type="dxa"/>
              <w:bottom w:w="95" w:type="dxa"/>
              <w:end w:w="95" w:type="dxa"/>
            </w:tcMar>
          </w:tcPr>
          <w:p>
            <w:pPr>
              <w:spacing w:after="0"/>
            </w:pPr>
            <w:r>
              <w:rPr>
                <w:rFonts w:ascii="Aptos" w:hAnsi="Aptos"/>
                <w:sz w:val="14"/>
              </w:rPr>
              <w:t>Implemented content, claims, forms, measurement</w:t>
            </w:r>
          </w:p>
        </w:tc>
        <w:tc>
          <w:tcPr>
            <w:tcW w:type="dxa" w:w="3744"/>
            <w:vAlign w:val="center"/>
            <w:tcMar>
              <w:top w:w="95" w:type="dxa"/>
              <w:start w:w="95" w:type="dxa"/>
              <w:bottom w:w="95" w:type="dxa"/>
              <w:end w:w="95" w:type="dxa"/>
            </w:tcMar>
          </w:tcPr>
          <w:p>
            <w:pPr>
              <w:spacing w:after="0"/>
            </w:pPr>
            <w:r>
              <w:rPr>
                <w:rFonts w:ascii="Aptos" w:hAnsi="Aptos"/>
                <w:sz w:val="14"/>
              </w:rPr>
              <w:t>Approved production state</w:t>
            </w:r>
          </w:p>
        </w:tc>
      </w:tr>
    </w:tbl>
    <w:p>
      <w:pPr>
        <w:spacing w:after="20"/>
      </w:pPr>
    </w:p>
    <w:p>
      <w:pPr>
        <w:pStyle w:val="Heading1"/>
      </w:pPr>
      <w:r>
        <w:t>19. Gold-Standard Output Rule</w:t>
      </w:r>
    </w:p>
    <w:p>
      <w:pPr>
        <w:spacing w:after="100"/>
      </w:pPr>
      <w:r>
        <w:t>A strong Foundation messaging deliverable should let a capable marketer, writer, designer, developer, or approved AI system understand what to communicate, why it matters, what evidence supports it, what still needs approval, what the page must do, how buyer intent should shape the experience, and how the experience will be measured.</w:t>
      </w:r>
    </w:p>
    <w:p>
      <w:pPr>
        <w:spacing w:after="100"/>
      </w:pPr>
      <w:r>
        <w:t>It should not force downstream teams to reconstruct strategy from meeting notes. It should not hide uncertainty behind polished copy. And it should not turn client-supplied claims into unattributed agency assertions.</w:t>
      </w:r>
    </w:p>
    <w:p>
      <w:pPr>
        <w:pStyle w:val="Callout"/>
        <w:spacing w:after="100"/>
      </w:pPr>
      <w:r>
        <w:t>The standard is simple: approved strategy becomes usable execution context without losing its evidence, boundaries, intent, or buyer logic.</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B7F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B5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4B5563"/>
      <w:sz w:val="16"/>
    </w:rPr>
  </w:style>
  <w:style w:type="paragraph" w:customStyle="1" w:styleId="Callout">
    <w:name w:val="Callout"/>
    <w:pPr>
      <w:spacing w:before="80" w:after="120"/>
    </w:pPr>
    <w:rPr>
      <w:rFonts w:ascii="Aptos" w:hAnsi="Aptos"/>
      <w:b/>
      <w:color w:val="173B5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