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 Voice &amp; Editorial Guide</w:t>
      </w:r>
    </w:p>
    <w:p>
      <w:pPr>
        <w:pStyle w:val="Small"/>
        <w:spacing w:after="100"/>
      </w:pPr>
      <w:r>
        <w:t>NuVue | SimpliFoundation Demonstration Gold Standard</w:t>
      </w:r>
    </w:p>
    <w:p>
      <w:pPr>
        <w:pStyle w:val="Callout"/>
        <w:spacing w:after="100"/>
      </w:pPr>
      <w:r>
        <w:t>Purpose: define how NuVue communicates consistently across website, content, email, social, sales materials, campaigns, and AI-assisted writing. This guide governs expression. Approved strategy and messaging govern meaning.</w:t>
      </w:r>
    </w:p>
    <w:p>
      <w:pPr>
        <w:pStyle w:val="Heading1"/>
      </w:pPr>
      <w:r>
        <w:t>How to Use This Guide</w:t>
      </w:r>
    </w:p>
    <w:p>
      <w:pPr>
        <w:spacing w:after="100"/>
      </w:pPr>
      <w:r>
        <w:t>Use this guide whenever someone writes, edits, reviews, or approves NuVue content. It is designed for NuVue leadership, internal marketers, freelancers, agencies, SimpliCreative, and approved AI writing tools.</w:t>
      </w:r>
    </w:p>
    <w:p>
      <w:pPr>
        <w:spacing w:after="100"/>
      </w:pPr>
      <w:r>
        <w:t>Before writing, confirm the audience, communication objective, buyer intent, approved message, available proof, channel, and next action. Brand voice alone is not enough context to create substantive messaging.</w:t>
      </w:r>
    </w:p>
    <w:p>
      <w:pPr>
        <w:spacing w:after="100"/>
      </w:pPr>
      <w:r>
        <w:t>Voice stays consistent. Tone, message depth, proof, specificity, and CTA can change based on audience, channel, and buyer intent.</w:t>
      </w:r>
    </w:p>
    <w:p>
      <w:pPr>
        <w:pStyle w:val="Heading1"/>
      </w:pPr>
      <w:r>
        <w:t>1. Brand Expression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7344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NuVue standard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Brand role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Experienced sales and leadership development partner that helps clients build lasting capability, reinforce learning, and make results more visible.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brand belief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Training should produce observable behavior and business improvement, not become an event people forget.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corporate audience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VP Sales and related enterprise decision-makers, with HR/L&amp;D, enablement, business-unit leaders, and other stakeholders involved as appropriate.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Secondary audience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Individual sales professionals and company-directed public-seminar attendees.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Three-pillar language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Sales Development, Leadership &amp; Executive Coaching, and Business Acumen.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corporate action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Request a Consultation.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individual action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Find or register for a public seminar.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Transitional action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Self-assessment or other lower-friction guided next step.</w:t>
            </w:r>
          </w:p>
        </w:tc>
      </w:tr>
    </w:tbl>
    <w:p/>
    <w:p>
      <w:pPr>
        <w:spacing w:after="100"/>
      </w:pPr>
      <w:r>
        <w:t>Important boundary: this guide does not authorize new positioning, offers, proof, guarantees, or strategic claims. Those come from approved strategy and evidence.</w:t>
      </w:r>
    </w:p>
    <w:p>
      <w:pPr>
        <w:pStyle w:val="Heading1"/>
      </w:pPr>
      <w:r>
        <w:t>2. The NuVue Voice</w:t>
      </w:r>
    </w:p>
    <w:p>
      <w:pPr>
        <w:spacing w:after="100"/>
      </w:pPr>
      <w:r>
        <w:t>NuVue should sound like an experienced practitioner who understands the buyer's world, states what matters plainly, and connects training to meaningful outcomes without hype.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72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Characteristic</w:t>
            </w:r>
          </w:p>
        </w:tc>
        <w:tc>
          <w:tcPr>
            <w:tcW w:type="dxa" w:w="2880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What it means</w:t>
            </w:r>
          </w:p>
        </w:tc>
        <w:tc>
          <w:tcPr>
            <w:tcW w:type="dxa" w:w="3240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Sounds like</w:t>
            </w:r>
          </w:p>
        </w:tc>
        <w:tc>
          <w:tcPr>
            <w:tcW w:type="dxa" w:w="3240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Does not sound like</w:t>
            </w:r>
          </w:p>
        </w:tc>
      </w:tr>
      <w:tr>
        <w:tc>
          <w:tcPr>
            <w:tcW w:type="dxa" w:w="1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Confident, not arrogant</w:t>
            </w:r>
          </w:p>
        </w:tc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State supported strengths plainly and let proof do the work.</w:t>
            </w:r>
          </w:p>
        </w:tc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“Our trained reps averaged $400K more in revenue. Here’s what the evaluation measured.”</w:t>
            </w:r>
          </w:p>
        </w:tc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“We’re the best sales training company in the industry.”</w:t>
            </w:r>
          </w:p>
        </w:tc>
      </w:tr>
      <w:tr>
        <w:tc>
          <w:tcPr>
            <w:tcW w:type="dxa" w:w="1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Direct and clear</w:t>
            </w:r>
          </w:p>
        </w:tc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Say what matters in plain language. Remove filler and jargon.</w:t>
            </w:r>
          </w:p>
        </w:tc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“Your team needs a sales method they can keep using after the workshop ends.”</w:t>
            </w:r>
          </w:p>
        </w:tc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“We leverage holistic enablement solutions to optimize performance.”</w:t>
            </w:r>
          </w:p>
        </w:tc>
      </w:tr>
      <w:tr>
        <w:tc>
          <w:tcPr>
            <w:tcW w:type="dxa" w:w="1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Empathetic and knowing</w:t>
            </w:r>
          </w:p>
        </w:tc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Reflect real buyer frustrations without dramatizing them.</w:t>
            </w:r>
          </w:p>
        </w:tc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“You invested in training. Now leadership wants to know what changed.”</w:t>
            </w:r>
          </w:p>
        </w:tc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“Many organizations experience training retention challenges.”</w:t>
            </w:r>
          </w:p>
        </w:tc>
      </w:tr>
      <w:tr>
        <w:tc>
          <w:tcPr>
            <w:tcW w:type="dxa" w:w="1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Outcome-focused</w:t>
            </w:r>
          </w:p>
        </w:tc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Connect methodology to a meaningful business or behavior outcome.</w:t>
            </w:r>
          </w:p>
        </w:tc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“Reinforcement helps managers coach the same method reps are expected to use.”</w:t>
            </w:r>
          </w:p>
        </w:tc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“The program includes 23 models and multiple digital components.”</w:t>
            </w:r>
          </w:p>
        </w:tc>
      </w:tr>
      <w:tr>
        <w:tc>
          <w:tcPr>
            <w:tcW w:type="dxa" w:w="1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Warm and professional</w:t>
            </w:r>
          </w:p>
        </w:tc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Approachable, useful, and human without sounding casual or scripted.</w:t>
            </w:r>
          </w:p>
        </w:tc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“Tell us what your team is trying to improve, and we’ll help map the right path.”</w:t>
            </w:r>
          </w:p>
        </w:tc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“Please submit your inquiry and a representative will contact you.”</w:t>
            </w:r>
          </w:p>
        </w:tc>
      </w:tr>
    </w:tbl>
    <w:p/>
    <w:p>
      <w:pPr>
        <w:pStyle w:val="Heading1"/>
      </w:pPr>
      <w:r>
        <w:t>3. Tone by Audience and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Context</w:t>
            </w:r>
          </w:p>
        </w:tc>
        <w:tc>
          <w:tcPr>
            <w:tcW w:type="dxa" w:w="2520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Tone</w:t>
            </w:r>
          </w:p>
        </w:tc>
        <w:tc>
          <w:tcPr>
            <w:tcW w:type="dxa" w:w="6192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Editorial direction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Corporate website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Confident, authoritative, results-forward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Address the executive directly. Lead with relevance and outcomes. Use proof where the buyer needs confidence.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Individual professional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Warmer, more personal, aspiration-forward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Speak to capability, confidence, career growth, and practical skill. Keep logistics and next steps clear.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Thought leadership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Insightful, opinionated, useful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Open with a meaningful observation, tension, or point of view. Teach something worth remembering.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Email nurture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Warm, brief, focused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One idea per email. Make the next step proportionate to buyer readiness.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Sales email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Direct, specific, proof-aware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Connect the buyer’s situation to a relevant consequence, then use evidence and a clear next step.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LinkedIn / social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Punchier and more opinion-forward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Lead with a useful idea, not engagement bait. Shorter sentences are appropriate. Avoid hashtag clutter.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Case studies / results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Story-first and evidence-led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Situation, intervention, observed result, limitation where relevant, and a real client quote when approved.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Sales collateral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Clear, evaluative, decision-supporting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Help the buyer understand fit, differentiation, proof, process, and what happens next.</w:t>
            </w:r>
          </w:p>
        </w:tc>
      </w:tr>
    </w:tbl>
    <w:p/>
    <w:p>
      <w:pPr>
        <w:pStyle w:val="Heading1"/>
      </w:pPr>
      <w:r>
        <w:t>4. Buyer Intent and Editorial Depth</w:t>
      </w:r>
    </w:p>
    <w:p>
      <w:pPr>
        <w:spacing w:after="100"/>
      </w:pPr>
      <w:r>
        <w:t>Voice remains consistent across the buyer journey, but the amount of explanation, proof, specificity, and the CTA should match buyer intent. Do not force every communication into a sales conversation.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Buyer intent</w:t>
            </w:r>
          </w:p>
        </w:tc>
        <w:tc>
          <w:tcPr>
            <w:tcW w:type="dxa" w:w="2952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Editorial job</w:t>
            </w:r>
          </w:p>
        </w:tc>
        <w:tc>
          <w:tcPr>
            <w:tcW w:type="dxa" w:w="3456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Typical emphasis</w:t>
            </w:r>
          </w:p>
        </w:tc>
        <w:tc>
          <w:tcPr>
            <w:tcW w:type="dxa" w:w="2376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CTA posture</w:t>
            </w:r>
          </w:p>
        </w:tc>
      </w:tr>
      <w:tr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Unaware</w:t>
            </w:r>
          </w:p>
        </w:tc>
        <w:tc>
          <w:tcPr>
            <w:tcW w:type="dxa" w:w="29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Introduce a shift, tension, or new idea.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Insight, context, recognition.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Read, explore, download.</w:t>
            </w:r>
          </w:p>
        </w:tc>
      </w:tr>
      <w:tr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Symptom Aware</w:t>
            </w:r>
          </w:p>
        </w:tc>
        <w:tc>
          <w:tcPr>
            <w:tcW w:type="dxa" w:w="29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Help the reader understand what they are experiencing.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Symptoms, consequences, patterns.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Learn more, continue exploring.</w:t>
            </w:r>
          </w:p>
        </w:tc>
      </w:tr>
      <w:tr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Problem Aware</w:t>
            </w:r>
          </w:p>
        </w:tc>
        <w:tc>
          <w:tcPr>
            <w:tcW w:type="dxa" w:w="29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Clarify or help diagnose the problem.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Definition, evidence, assessment.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Take assessment, get score, explore diagnosis.</w:t>
            </w:r>
          </w:p>
        </w:tc>
      </w:tr>
      <w:tr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Solution Aware</w:t>
            </w:r>
          </w:p>
        </w:tc>
        <w:tc>
          <w:tcPr>
            <w:tcW w:type="dxa" w:w="29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Explain how the problem can be solved.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Methodology, framework, process, tradeoffs.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See how it works, explore solution.</w:t>
            </w:r>
          </w:p>
        </w:tc>
      </w:tr>
      <w:tr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Product Aware</w:t>
            </w:r>
          </w:p>
        </w:tc>
        <w:tc>
          <w:tcPr>
            <w:tcW w:type="dxa" w:w="29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Explain why NuVue is a credible fit.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Differentiation, proof, fit, risk reduction.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Request consultation, evaluate offer.</w:t>
            </w:r>
          </w:p>
        </w:tc>
      </w:tr>
      <w:tr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Most Aware</w:t>
            </w:r>
          </w:p>
        </w:tc>
        <w:tc>
          <w:tcPr>
            <w:tcW w:type="dxa" w:w="29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Remove final friction and make action easy.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Terms, logistics, reassurance, next step.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Book, apply, register, purchase.</w:t>
            </w:r>
          </w:p>
        </w:tc>
      </w:tr>
    </w:tbl>
    <w:p/>
    <w:p>
      <w:pPr>
        <w:pStyle w:val="Callout"/>
        <w:spacing w:after="100"/>
      </w:pPr>
      <w:r>
        <w:t>Editorial rule: do not add introductory education when the buyer is ready to act, and do not force late-stage conversion when relevance or problem understanding is not yet established.</w:t>
      </w:r>
    </w:p>
    <w:p>
      <w:pPr>
        <w:pStyle w:val="Heading1"/>
      </w:pPr>
      <w:r>
        <w:t>5. Preferred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Use</w:t>
            </w:r>
          </w:p>
        </w:tc>
        <w:tc>
          <w:tcPr>
            <w:tcW w:type="dxa" w:w="6480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Consultative selling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Connects to NuVue’s methodology and category language.</w:t>
            </w:r>
          </w:p>
        </w:tc>
      </w:tr>
      <w:tr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Sell on value, not price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Expresses a recognizable behavior change.</w:t>
            </w:r>
          </w:p>
        </w:tc>
      </w:tr>
      <w:tr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Training that sticks / skills that last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Everyday language for sustained learning.</w:t>
            </w:r>
          </w:p>
        </w:tc>
      </w:tr>
      <w:tr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12-week learning journey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Signals progression and reinforcement rather than a one-time event.</w:t>
            </w:r>
          </w:p>
        </w:tc>
      </w:tr>
      <w:tr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Sales Development, Leadership &amp; Executive Coaching, Business Acumen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Preserves the three-pillar architecture.</w:t>
            </w:r>
          </w:p>
        </w:tc>
      </w:tr>
      <w:tr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Your team / your results / your priorities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Keeps the buyer central.</w:t>
            </w:r>
          </w:p>
        </w:tc>
      </w:tr>
      <w:tr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Industry-specific language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Use real terms such as field sales, technical selling, crop protection reps, and channel partners where relevant.</w:t>
            </w:r>
          </w:p>
        </w:tc>
      </w:tr>
      <w:tr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Learning That Never Stops®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Use the registered symbol on first mention per page or asset when approved.</w:t>
            </w:r>
          </w:p>
        </w:tc>
      </w:tr>
    </w:tbl>
    <w:p/>
    <w:p>
      <w:pPr>
        <w:pStyle w:val="Heading1"/>
      </w:pPr>
      <w:r>
        <w:t>6. Language to Avoid or Use Carefully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Avoid / use carefully</w:t>
            </w:r>
          </w:p>
        </w:tc>
        <w:tc>
          <w:tcPr>
            <w:tcW w:type="dxa" w:w="6192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Reason / replacement</w:t>
            </w:r>
          </w:p>
        </w:tc>
      </w:tr>
      <w:tr>
        <w:tc>
          <w:tcPr>
            <w:tcW w:type="dxa" w:w="36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Sales enablement as a standalone descriptor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Too broad. Name the specific capability or outcome.</w:t>
            </w:r>
          </w:p>
        </w:tc>
      </w:tr>
      <w:tr>
        <w:tc>
          <w:tcPr>
            <w:tcW w:type="dxa" w:w="36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Synergy, leveraging, holistic, optimize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Corporate filler unless the word is genuinely necessary and specific.</w:t>
            </w:r>
          </w:p>
        </w:tc>
      </w:tr>
      <w:tr>
        <w:tc>
          <w:tcPr>
            <w:tcW w:type="dxa" w:w="36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World-class, best-in-class, cutting-edge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Unsupported superlatives. Use proof instead.</w:t>
            </w:r>
          </w:p>
        </w:tc>
      </w:tr>
      <w:tr>
        <w:tc>
          <w:tcPr>
            <w:tcW w:type="dxa" w:w="36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Partner without context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Specify what kind of partner and what the partnership means.</w:t>
            </w:r>
          </w:p>
        </w:tc>
      </w:tr>
      <w:tr>
        <w:tc>
          <w:tcPr>
            <w:tcW w:type="dxa" w:w="36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Transform your business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Too broad. Name what changes.</w:t>
            </w:r>
          </w:p>
        </w:tc>
      </w:tr>
      <w:tr>
        <w:tc>
          <w:tcPr>
            <w:tcW w:type="dxa" w:w="36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Innovative / disruptive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Let the method or evidence demonstrate distinctiveness.</w:t>
            </w:r>
          </w:p>
        </w:tc>
      </w:tr>
      <w:tr>
        <w:tc>
          <w:tcPr>
            <w:tcW w:type="dxa" w:w="36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Passive voice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Prefer clear ownership and action.</w:t>
            </w:r>
          </w:p>
        </w:tc>
      </w:tr>
      <w:tr>
        <w:tc>
          <w:tcPr>
            <w:tcW w:type="dxa" w:w="36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Empty hedge language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Avoid vague phrases such as “could potentially.” Use qualification only when evidence actually requires it.</w:t>
            </w:r>
          </w:p>
        </w:tc>
      </w:tr>
      <w:tr>
        <w:tc>
          <w:tcPr>
            <w:tcW w:type="dxa" w:w="36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Artificial urgency or scarcity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 only when a real, documented constraint exists.</w:t>
            </w:r>
          </w:p>
        </w:tc>
      </w:tr>
    </w:tbl>
    <w:p/>
    <w:p>
      <w:pPr>
        <w:pStyle w:val="Heading1"/>
      </w:pPr>
      <w:r>
        <w:t>7. Editorial Mechanics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76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Standard</w:t>
            </w:r>
          </w:p>
        </w:tc>
        <w:tc>
          <w:tcPr>
            <w:tcW w:type="dxa" w:w="7416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Guideline</w:t>
            </w:r>
          </w:p>
        </w:tc>
      </w:tr>
      <w:tr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Oxford comma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Yes.</w:t>
            </w:r>
          </w:p>
        </w:tc>
      </w:tr>
      <w:tr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Contractions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Yes, where natural.</w:t>
            </w:r>
          </w:p>
        </w:tc>
      </w:tr>
      <w:tr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 dashes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Avoid by default. Use commas, periods, colons, or parentheses. A human may approve an exception.</w:t>
            </w:r>
          </w:p>
        </w:tc>
      </w:tr>
      <w:tr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Numbers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Spell out one through nine. Use numerals for 10 and above. Always use numerals for data points and money.</w:t>
            </w:r>
          </w:p>
        </w:tc>
      </w:tr>
      <w:tr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Sentence rhythm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Vary sentence length. Use short sentences for emphasis and longer sentences when a thought needs room.</w:t>
            </w:r>
          </w:p>
        </w:tc>
      </w:tr>
      <w:tr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Paragraphs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Keep paragraphs easy to scan, especially for executive and web content.</w:t>
            </w:r>
          </w:p>
        </w:tc>
      </w:tr>
      <w:tr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Headings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Make headings useful. They should tell the reader what the section is about, not merely label it.</w:t>
            </w:r>
          </w:p>
        </w:tc>
      </w:tr>
      <w:tr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Second person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Use “you” and “your” when speaking directly to the buyer.</w:t>
            </w:r>
          </w:p>
        </w:tc>
      </w:tr>
      <w:tr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First person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On NuVue-owned channels, use “we” rather than third-person corporate language unless a format requires otherwise.</w:t>
            </w:r>
          </w:p>
        </w:tc>
      </w:tr>
    </w:tbl>
    <w:p/>
    <w:p>
      <w:pPr>
        <w:pStyle w:val="Heading1"/>
      </w:pPr>
      <w:r>
        <w:t>8. Claim and Evidence Standards</w:t>
      </w:r>
    </w:p>
    <w:p>
      <w:pPr>
        <w:spacing w:after="100"/>
      </w:pPr>
      <w:r>
        <w:t>Material claims must be traceable to an approved source. Client-provided information is a valid input, but it is not automatically independently verified.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240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Claim type</w:t>
            </w:r>
          </w:p>
        </w:tc>
        <w:tc>
          <w:tcPr>
            <w:tcW w:type="dxa" w:w="6552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Editorial requirement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Revenue / ROI result</w:t>
            </w:r>
          </w:p>
        </w:tc>
        <w:tc>
          <w:tcPr>
            <w:tcW w:type="dxa" w:w="65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 only with the supporting evaluation, case record, or approved client evidence.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Guarantee</w:t>
            </w:r>
          </w:p>
        </w:tc>
        <w:tc>
          <w:tcPr>
            <w:tcW w:type="dxa" w:w="65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 the current approved terms, eligibility, limits, and qualification language.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Years in business</w:t>
            </w:r>
          </w:p>
        </w:tc>
        <w:tc>
          <w:tcPr>
            <w:tcW w:type="dxa" w:w="65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Confirm current date and founding reference.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Program / workshop count</w:t>
            </w:r>
          </w:p>
        </w:tc>
        <w:tc>
          <w:tcPr>
            <w:tcW w:type="dxa" w:w="65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Confirm current inventory before publication.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Named clients / logos</w:t>
            </w:r>
          </w:p>
        </w:tc>
        <w:tc>
          <w:tcPr>
            <w:tcW w:type="dxa" w:w="65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Confirm permission and current relationship language.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Comparative claims such as “only,” “best,” or category-leading</w:t>
            </w:r>
          </w:p>
        </w:tc>
        <w:tc>
          <w:tcPr>
            <w:tcW w:type="dxa" w:w="65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Require specific substantiation or remove exclusivity.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Testimonials</w:t>
            </w:r>
          </w:p>
        </w:tc>
        <w:tc>
          <w:tcPr>
            <w:tcW w:type="dxa" w:w="65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 approved quotations with real attribution unless an approved anonymization standard applies.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Directional or incomplete evidence</w:t>
            </w:r>
          </w:p>
        </w:tc>
        <w:tc>
          <w:tcPr>
            <w:tcW w:type="dxa" w:w="65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State the limitation rather than making the wording more certain.</w:t>
            </w:r>
          </w:p>
        </w:tc>
      </w:tr>
    </w:tbl>
    <w:p/>
    <w:p>
      <w:pPr>
        <w:pStyle w:val="Callout"/>
        <w:spacing w:after="100"/>
      </w:pPr>
      <w:r>
        <w:t>Evidence determines certainty. Copy should never become more confident than the source material supports.</w:t>
      </w:r>
    </w:p>
    <w:p>
      <w:pPr>
        <w:pStyle w:val="Heading1"/>
      </w:pPr>
      <w:r>
        <w:t>9. Writing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Principle</w:t>
            </w:r>
          </w:p>
        </w:tc>
        <w:tc>
          <w:tcPr>
            <w:tcW w:type="dxa" w:w="7200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Standard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Lead with relevance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Start with what matters to the intended reader, not NuVue’s internal story.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Outcome before feature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Explain the buyer value before listing program mechanics.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Specificity over polish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Use real situations, evidence, buyer language, and concrete implications.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One idea per paragraph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Make scanning easy.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Explain jargon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If a term matters, define it in plain language on first use.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Use stakes with restraint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Clarify legitimate business consequences. Do not manufacture fear.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Make proof do work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Place evidence where it answers a real buyer doubt.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Respect reader autonomy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Recommend clearly without manipulating the reader.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Add something worth knowing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 not publish generic category summaries that could belong to any provider.</w:t>
            </w:r>
          </w:p>
        </w:tc>
      </w:tr>
    </w:tbl>
    <w:p/>
    <w:p>
      <w:pPr>
        <w:pStyle w:val="Heading1"/>
      </w:pPr>
      <w:r>
        <w:t>10. AI-Assisted Writing Standard</w:t>
      </w:r>
    </w:p>
    <w:p>
      <w:pPr>
        <w:spacing w:after="100"/>
      </w:pPr>
      <w:r>
        <w:t>AI may draft and organize. AI does not get to invent strategy or evidence. Substantive AI writing must start with approved context.</w:t>
      </w:r>
    </w:p>
    <w:p>
      <w:pPr>
        <w:spacing w:after="100"/>
      </w:pPr>
      <w:r>
        <w:t>Required context before drafting: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Context</w:t>
            </w:r>
          </w:p>
        </w:tc>
        <w:tc>
          <w:tcPr>
            <w:tcW w:type="dxa" w:w="7344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Question to answer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Audience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Who are we speaking to?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Situation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What is happening in their world?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Objective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What should this communication accomplish?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Buyer intent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What do they already understand and what decision are they making?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Approved message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What meaning is already approved?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Evidence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What supports the message?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Offer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What solution is relevant, if any?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Claims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Which factual statements are approved?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CTA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What is the appropriate next step?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Format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Website, article, email, social, ad, sales asset, case study, etc.</w:t>
            </w:r>
          </w:p>
        </w:tc>
      </w:tr>
    </w:tbl>
    <w:p/>
    <w:p>
      <w:pPr>
        <w:spacing w:after="100"/>
      </w:pPr>
      <w:r>
        <w:t>If material context is missing, surface the gap. Do not compensate for missing strategy by becoming more creative.</w:t>
      </w:r>
    </w:p>
    <w:p>
      <w:pPr>
        <w:pStyle w:val="Heading1"/>
      </w:pPr>
      <w:r>
        <w:t>11. AI Writing Anti-Patterns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240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Pattern to catch</w:t>
            </w:r>
          </w:p>
        </w:tc>
        <w:tc>
          <w:tcPr>
            <w:tcW w:type="dxa" w:w="6552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What to do instead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Generic opener</w:t>
            </w:r>
          </w:p>
        </w:tc>
        <w:tc>
          <w:tcPr>
            <w:tcW w:type="dxa" w:w="65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Start with the strongest relevant idea, buyer tension, or fact.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Repetitive sentence structure</w:t>
            </w:r>
          </w:p>
        </w:tc>
        <w:tc>
          <w:tcPr>
            <w:tcW w:type="dxa" w:w="65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Vary rhythm and sentence length naturally.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Formulaic contrast language</w:t>
            </w:r>
          </w:p>
        </w:tc>
        <w:tc>
          <w:tcPr>
            <w:tcW w:type="dxa" w:w="65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 contrast only when it clarifies a real distinction.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Overuse of “not X, but Y” framing</w:t>
            </w:r>
          </w:p>
        </w:tc>
        <w:tc>
          <w:tcPr>
            <w:tcW w:type="dxa" w:w="65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State the point directly unless the contrast is strategically useful.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Empty intensifiers</w:t>
            </w:r>
          </w:p>
        </w:tc>
        <w:tc>
          <w:tcPr>
            <w:tcW w:type="dxa" w:w="65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Replace words such as “powerful,” “game-changing,” or “incredible” with specifics or remove them.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Stacked abstractions</w:t>
            </w:r>
          </w:p>
        </w:tc>
        <w:tc>
          <w:tcPr>
            <w:tcW w:type="dxa" w:w="65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 concrete nouns, actions, examples, and implications.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Fake empathy</w:t>
            </w:r>
          </w:p>
        </w:tc>
        <w:tc>
          <w:tcPr>
            <w:tcW w:type="dxa" w:w="65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Reference a real, evidenced situation rather than generic struggle language.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Unnecessary rhetorical questions</w:t>
            </w:r>
          </w:p>
        </w:tc>
        <w:tc>
          <w:tcPr>
            <w:tcW w:type="dxa" w:w="65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 only when the question helps the reader think or mirrors a real buyer question.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Overexplaining obvious points</w:t>
            </w:r>
          </w:p>
        </w:tc>
        <w:tc>
          <w:tcPr>
            <w:tcW w:type="dxa" w:w="65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Trust the reader. Explain what is useful, not everything that can be said.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AI-perfect symmetry</w:t>
            </w:r>
          </w:p>
        </w:tc>
        <w:tc>
          <w:tcPr>
            <w:tcW w:type="dxa" w:w="65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 not force every section into the same number of bullets, sentence length, or cadence.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Synthetic certainty</w:t>
            </w:r>
          </w:p>
        </w:tc>
        <w:tc>
          <w:tcPr>
            <w:tcW w:type="dxa" w:w="65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Preserve ambiguity or limitation when the evidence is incomplete.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Generic CTA</w:t>
            </w:r>
          </w:p>
        </w:tc>
        <w:tc>
          <w:tcPr>
            <w:tcW w:type="dxa" w:w="65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Match the next action to buyer intent and the actual page or communication job.</w:t>
            </w:r>
          </w:p>
        </w:tc>
      </w:tr>
    </w:tbl>
    <w:p/>
    <w:p>
      <w:pPr>
        <w:pStyle w:val="Heading1"/>
      </w:pPr>
      <w:r>
        <w:t>12. Channel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Channel</w:t>
            </w:r>
          </w:p>
        </w:tc>
        <w:tc>
          <w:tcPr>
            <w:tcW w:type="dxa" w:w="5256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Primary editorial priority</w:t>
            </w:r>
          </w:p>
        </w:tc>
        <w:tc>
          <w:tcPr>
            <w:tcW w:type="dxa" w:w="3312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Typical CTA behavior</w:t>
            </w:r>
          </w:p>
        </w:tc>
      </w:tr>
      <w:tr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Website</w:t>
            </w:r>
          </w:p>
        </w:tc>
        <w:tc>
          <w:tcPr>
            <w:tcW w:type="dxa" w:w="52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Clarity, relevance, proof, progression.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Match page job and buyer intent.</w:t>
            </w:r>
          </w:p>
        </w:tc>
      </w:tr>
      <w:tr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Blog / resource</w:t>
            </w:r>
          </w:p>
        </w:tc>
        <w:tc>
          <w:tcPr>
            <w:tcW w:type="dxa" w:w="52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Insight, education, authority.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Read next, download, assess, or explore solution depending on intent.</w:t>
            </w:r>
          </w:p>
        </w:tc>
      </w:tr>
      <w:tr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Email</w:t>
            </w:r>
          </w:p>
        </w:tc>
        <w:tc>
          <w:tcPr>
            <w:tcW w:type="dxa" w:w="52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One idea, one useful next step.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Keep friction proportionate to readiness.</w:t>
            </w:r>
          </w:p>
        </w:tc>
      </w:tr>
      <w:tr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LinkedIn</w:t>
            </w:r>
          </w:p>
        </w:tc>
        <w:tc>
          <w:tcPr>
            <w:tcW w:type="dxa" w:w="52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Strong point of view and memorable takeaway.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Usually low-friction; invite engagement or deeper content.</w:t>
            </w:r>
          </w:p>
        </w:tc>
      </w:tr>
      <w:tr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Case study</w:t>
            </w:r>
          </w:p>
        </w:tc>
        <w:tc>
          <w:tcPr>
            <w:tcW w:type="dxa" w:w="52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Credibility through specific transformation and evidence.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Explore related solution or request conversation when appropriate.</w:t>
            </w:r>
          </w:p>
        </w:tc>
      </w:tr>
      <w:tr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Sales collateral</w:t>
            </w:r>
          </w:p>
        </w:tc>
        <w:tc>
          <w:tcPr>
            <w:tcW w:type="dxa" w:w="52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Decision support and risk reduction.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Conversation, proposal, application, or specific next decision.</w:t>
            </w:r>
          </w:p>
        </w:tc>
      </w:tr>
      <w:tr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Ad / campaign copy</w:t>
            </w:r>
          </w:p>
        </w:tc>
        <w:tc>
          <w:tcPr>
            <w:tcW w:type="dxa" w:w="52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Message clarity and relevance to the offer.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 the approved campaign action. Do not invent urgency or claims.</w:t>
            </w:r>
          </w:p>
        </w:tc>
      </w:tr>
    </w:tbl>
    <w:p/>
    <w:p>
      <w:pPr>
        <w:pStyle w:val="Heading1"/>
      </w:pPr>
      <w:r>
        <w:t>13. Human Editorial Review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7560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Audience</w:t>
            </w:r>
          </w:p>
        </w:tc>
        <w:tc>
          <w:tcPr>
            <w:tcW w:type="dxa" w:w="7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 I picture the person this is written for?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Recognition</w:t>
            </w:r>
          </w:p>
        </w:tc>
        <w:tc>
          <w:tcPr>
            <w:tcW w:type="dxa" w:w="7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Will that person recognize their real situation?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Intent</w:t>
            </w:r>
          </w:p>
        </w:tc>
        <w:tc>
          <w:tcPr>
            <w:tcW w:type="dxa" w:w="7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Does the depth and CTA match what the reader is ready to do?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Strongest idea</w:t>
            </w:r>
          </w:p>
        </w:tc>
        <w:tc>
          <w:tcPr>
            <w:tcW w:type="dxa" w:w="7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Did we lead with the most useful idea or bury it under setup?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Specificity</w:t>
            </w:r>
          </w:p>
        </w:tc>
        <w:tc>
          <w:tcPr>
            <w:tcW w:type="dxa" w:w="7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Could this copy belong to almost any training company?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Plain language</w:t>
            </w:r>
          </w:p>
        </w:tc>
        <w:tc>
          <w:tcPr>
            <w:tcW w:type="dxa" w:w="7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 jargon or business filler be removed?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Proof</w:t>
            </w:r>
          </w:p>
        </w:tc>
        <w:tc>
          <w:tcPr>
            <w:tcW w:type="dxa" w:w="7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Are factual claims supported and appropriately qualified?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Humanity</w:t>
            </w:r>
          </w:p>
        </w:tc>
        <w:tc>
          <w:tcPr>
            <w:tcW w:type="dxa" w:w="7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Does this sound like an experienced person, not polished AI?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Voice</w:t>
            </w:r>
          </w:p>
        </w:tc>
        <w:tc>
          <w:tcPr>
            <w:tcW w:type="dxa" w:w="7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Is it confident, clear, knowing, outcome-focused, warm, and professional?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Restraint</w:t>
            </w:r>
          </w:p>
        </w:tc>
        <w:tc>
          <w:tcPr>
            <w:tcW w:type="dxa" w:w="7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Does it avoid exaggeration, artificial urgency, and false certainty?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Action</w:t>
            </w:r>
          </w:p>
        </w:tc>
        <w:tc>
          <w:tcPr>
            <w:tcW w:type="dxa" w:w="7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Is the next step clear and proportionate to buyer readiness?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 integrity</w:t>
            </w:r>
          </w:p>
        </w:tc>
        <w:tc>
          <w:tcPr>
            <w:tcW w:type="dxa" w:w="7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Did reference material inform the work without becoming a copy bank?</w:t>
            </w:r>
          </w:p>
        </w:tc>
      </w:tr>
    </w:tbl>
    <w:p/>
    <w:p>
      <w:pPr>
        <w:pStyle w:val="Heading1"/>
      </w:pPr>
      <w:r>
        <w:t>14. Examples and Gold-Standard Use</w:t>
      </w:r>
    </w:p>
    <w:p>
      <w:pPr>
        <w:spacing w:after="100"/>
      </w:pPr>
      <w:r>
        <w:t>Approved examples can teach writers and AI systems what strong NuVue communication looks like. They demonstrate application, structure, tone, and quality.</w:t>
      </w:r>
    </w:p>
    <w:p>
      <w:pPr>
        <w:spacing w:after="100"/>
      </w:pPr>
      <w:r>
        <w:t>Examples do not override approved strategy, evidence, current client decisions, this guide, or task-specific requirements. Historical examples should remain identifiable as historical.</w:t>
      </w:r>
    </w:p>
    <w:p>
      <w:pPr>
        <w:pStyle w:val="Callout"/>
        <w:spacing w:after="100"/>
      </w:pPr>
      <w:r>
        <w:t>Reference material may inform thinking. It does not authorize copying.</w:t>
      </w:r>
    </w:p>
    <w:p>
      <w:pPr>
        <w:pStyle w:val="Heading1"/>
      </w:pPr>
      <w:r>
        <w:t>15. Final NuVue Test</w:t>
      </w:r>
    </w:p>
    <w:p>
      <w:pPr>
        <w:spacing w:after="100"/>
      </w:pPr>
      <w:r>
        <w:t>Before approving important communication, ask whether the intended reader will recognize the situation, understand why it matters, trust the evidence, hear a distinctly NuVue voice, and see an appropriate next step without hype or unnecessary friction.</w:t>
      </w:r>
    </w:p>
    <w:p>
      <w:pPr>
        <w:spacing w:after="100"/>
      </w:pPr>
      <w:r>
        <w:t>If the answer is yes, the communication is likely ready for human or client approval.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B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7F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B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color w:val="4B5563"/>
      <w:sz w:val="17"/>
    </w:rPr>
  </w:style>
  <w:style w:type="paragraph" w:customStyle="1" w:styleId="Callout">
    <w:name w:val="Callout"/>
    <w:rPr>
      <w:rFonts w:ascii="Aptos" w:hAnsi="Aptos"/>
      <w:b/>
      <w:color w:val="173B5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