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Homepage Content &amp; Messaging Brief</w:t>
      </w:r>
    </w:p>
    <w:p>
      <w:pPr>
        <w:pStyle w:val="Small"/>
        <w:spacing w:after="100"/>
      </w:pPr>
      <w:r>
        <w:t>NuVue | SimpliFoundation Demonstration Gold Standard</w:t>
      </w:r>
    </w:p>
    <w:p>
      <w:pPr>
        <w:pStyle w:val="Callout"/>
        <w:spacing w:after="100"/>
      </w:pPr>
      <w:r>
        <w:t>Internal production brief. This document translates approved strategy, website messaging requirements, buyer intent, brand voice, proof, and measurement requirements into a page-level execution brief for the NuVue homepage.</w:t>
      </w:r>
    </w:p>
    <w:p>
      <w:pPr>
        <w:pStyle w:val="Heading1"/>
      </w:pPr>
      <w:r>
        <w:t>1. Page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20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7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Approved direction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Page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Homepage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Strategic purpose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Establish relevance quickly, make the corporate growth path primary, preserve a clear individual path, surface NuVue's three-pillar breadth, build trust, and route visitors to the next logical action.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audience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Corporate buyer, especially VP Sales and related enterprise decision-makers.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audience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Individual sales professionals and company-directed seminar attendees.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buyer intent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Solution Aware.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buyer intent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Problem Aware and Product Aware.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page job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Orient, establish relevance, communicate the approach, build early belief, and route the visitor to the appropriate journey.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 a Consultation.</w:t>
            </w:r>
          </w:p>
        </w:tc>
      </w:tr>
      <w:tr>
        <w:tc>
          <w:tcPr>
            <w:tcW w:type="dxa" w:w="252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CTA</w:t>
            </w:r>
          </w:p>
        </w:tc>
        <w:tc>
          <w:tcPr>
            <w:tcW w:type="dxa" w:w="72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Take the self-assessment or choose the For Myself path.</w:t>
            </w:r>
          </w:p>
        </w:tc>
      </w:tr>
    </w:tbl>
    <w:p/>
    <w:p>
      <w:pPr>
        <w:pStyle w:val="Heading1"/>
      </w:pPr>
      <w:r>
        <w:t>2. Buyer Intent Logic</w:t>
      </w:r>
    </w:p>
    <w:p>
      <w:pPr>
        <w:spacing w:after="100"/>
      </w:pPr>
      <w:r>
        <w:t>The homepage can receive visitors at multiple intent levels. Its job is not to force every visitor into a consultation. It should help the visitor recognize relevance, understand the NuVue approach, see credible proof, and choose an appropriate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Intent</w:t>
            </w:r>
          </w:p>
        </w:tc>
        <w:tc>
          <w:tcPr>
            <w:tcW w:type="dxa" w:w="309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Likely question</w:t>
            </w:r>
          </w:p>
        </w:tc>
        <w:tc>
          <w:tcPr>
            <w:tcW w:type="dxa" w:w="388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Homepage response</w:t>
            </w:r>
          </w:p>
        </w:tc>
        <w:tc>
          <w:tcPr>
            <w:tcW w:type="dxa" w:w="237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CTA posture</w:t>
            </w:r>
          </w:p>
        </w:tc>
      </w:tr>
      <w:tr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Problem Aware</w:t>
            </w:r>
          </w:p>
        </w:tc>
        <w:tc>
          <w:tcPr>
            <w:tcW w:type="dxa" w:w="309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 training really the issue, and why isn't it sticking?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Introduce the problem and NuVue point of view without over-diagnosing.</w:t>
            </w:r>
          </w:p>
        </w:tc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Offer self-assessment or educational progression.</w:t>
            </w:r>
          </w:p>
        </w:tc>
      </w:tr>
      <w:tr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Solution Aware</w:t>
            </w:r>
          </w:p>
        </w:tc>
        <w:tc>
          <w:tcPr>
            <w:tcW w:type="dxa" w:w="309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What kind of approach would solve this?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Explain sustained learning, the three pillars, reinforcement, and measurement.</w:t>
            </w:r>
          </w:p>
        </w:tc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solution paths or consultation.</w:t>
            </w:r>
          </w:p>
        </w:tc>
      </w:tr>
      <w:tr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Aware</w:t>
            </w:r>
          </w:p>
        </w:tc>
        <w:tc>
          <w:tcPr>
            <w:tcW w:type="dxa" w:w="309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Why NuVue instead of another provider?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Surface proof, breadth, experience, differentiated methodology, and guarantee context.</w:t>
            </w:r>
          </w:p>
        </w:tc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Request Consultation / evaluate fit.</w:t>
            </w:r>
          </w:p>
        </w:tc>
      </w:tr>
    </w:tbl>
    <w:p/>
    <w:p>
      <w:pPr>
        <w:pStyle w:val="Callout"/>
        <w:spacing w:after="100"/>
      </w:pPr>
      <w:r>
        <w:t>BUYER_INTENT → PAGE_JOB → CONTENT_DEPTH → PROOF_NEED → CTA</w:t>
      </w:r>
    </w:p>
    <w:p>
      <w:pPr>
        <w:pStyle w:val="Heading1"/>
      </w:pPr>
      <w:r>
        <w:t>3. Buyer Questions the Homepage Must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384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Buyer question</w:t>
            </w:r>
          </w:p>
        </w:tc>
        <w:tc>
          <w:tcPr>
            <w:tcW w:type="dxa" w:w="604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What the page must make clear</w:t>
            </w:r>
          </w:p>
        </w:tc>
      </w:tr>
      <w:tr>
        <w:tc>
          <w:tcPr>
            <w:tcW w:type="dxa" w:w="9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What does NuVue actually do?</w:t>
            </w:r>
          </w:p>
        </w:tc>
        <w:tc>
          <w:tcPr>
            <w:tcW w:type="dxa" w:w="60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 develops sales, leadership, and business-acumen capability through structured learning journeys, coaching, reinforcement, and measurable evaluation.</w:t>
            </w:r>
          </w:p>
        </w:tc>
      </w:tr>
      <w:tr>
        <w:tc>
          <w:tcPr>
            <w:tcW w:type="dxa" w:w="9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 this for a company like mine?</w:t>
            </w:r>
          </w:p>
        </w:tc>
        <w:tc>
          <w:tcPr>
            <w:tcW w:type="dxa" w:w="60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Corporate buyers are the primary path. Individual professionals have a separate, clear path.</w:t>
            </w:r>
          </w:p>
        </w:tc>
      </w:tr>
      <w:tr>
        <w:tc>
          <w:tcPr>
            <w:tcW w:type="dxa" w:w="9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How is NuVue different from a typical training provider?</w:t>
            </w:r>
          </w:p>
        </w:tc>
        <w:tc>
          <w:tcPr>
            <w:tcW w:type="dxa" w:w="60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 emphasizes sustained learning, three-pillar breadth, reinforcement, industry relevance, and measurable outcomes.</w:t>
            </w:r>
          </w:p>
        </w:tc>
      </w:tr>
      <w:tr>
        <w:tc>
          <w:tcPr>
            <w:tcW w:type="dxa" w:w="9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 I trust the claims?</w:t>
            </w:r>
          </w:p>
        </w:tc>
        <w:tc>
          <w:tcPr>
            <w:tcW w:type="dxa" w:w="60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approved proof: years in business, workshop breadth, client evidence, ROI sources, and guarantee terms where substantiated.</w:t>
            </w:r>
          </w:p>
        </w:tc>
      </w:tr>
      <w:tr>
        <w:tc>
          <w:tcPr>
            <w:tcW w:type="dxa" w:w="9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What should I do next?</w:t>
            </w:r>
          </w:p>
        </w:tc>
        <w:tc>
          <w:tcPr>
            <w:tcW w:type="dxa" w:w="60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Offer a direct consultation path plus lower-friction routes for visitors not yet ready.</w:t>
            </w:r>
          </w:p>
        </w:tc>
      </w:tr>
    </w:tbl>
    <w:p/>
    <w:p>
      <w:pPr>
        <w:pStyle w:val="Heading1"/>
      </w:pPr>
      <w:r>
        <w:t>4. Message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1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16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Message job</w:t>
            </w:r>
          </w:p>
        </w:tc>
        <w:tc>
          <w:tcPr>
            <w:tcW w:type="dxa" w:w="5760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Approved direction</w:t>
            </w:r>
          </w:p>
        </w:tc>
      </w:tr>
      <w:tr>
        <w:tc>
          <w:tcPr>
            <w:tcW w:type="dxa" w:w="15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1. Relevance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State the business value quickly.</w:t>
            </w:r>
          </w:p>
        </w:tc>
        <w:tc>
          <w:tcPr>
            <w:tcW w:type="dxa" w:w="576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NuVue helps organizations build stronger sales, leadership, and business-acumen capability that lasts beyond the workshop.</w:t>
            </w:r>
          </w:p>
        </w:tc>
      </w:tr>
      <w:tr>
        <w:tc>
          <w:tcPr>
            <w:tcW w:type="dxa" w:w="15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2. POV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Explain the belief behind the approach.</w:t>
            </w:r>
          </w:p>
        </w:tc>
        <w:tc>
          <w:tcPr>
            <w:tcW w:type="dxa" w:w="576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Training creates value when learning continues, managers reinforce it, and progress can be observed.</w:t>
            </w:r>
          </w:p>
        </w:tc>
      </w:tr>
      <w:tr>
        <w:tc>
          <w:tcPr>
            <w:tcW w:type="dxa" w:w="15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3. Breadth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Show the three-pillar system.</w:t>
            </w:r>
          </w:p>
        </w:tc>
        <w:tc>
          <w:tcPr>
            <w:tcW w:type="dxa" w:w="576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Sales Development, Leadership &amp; Executive Coaching, and Business Acumen.</w:t>
            </w:r>
          </w:p>
        </w:tc>
      </w:tr>
      <w:tr>
        <w:tc>
          <w:tcPr>
            <w:tcW w:type="dxa" w:w="15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 Differentiation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Explain why NuVue is distinct.</w:t>
            </w:r>
          </w:p>
        </w:tc>
        <w:tc>
          <w:tcPr>
            <w:tcW w:type="dxa" w:w="576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Sustained learning, multi-week reinforcement, measurable evaluation, enterprise proof, industry relevance, and a qualified performance guarantee.</w:t>
            </w:r>
          </w:p>
        </w:tc>
      </w:tr>
      <w:tr>
        <w:tc>
          <w:tcPr>
            <w:tcW w:type="dxa" w:w="15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5. Proof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Reduce perceived risk.</w:t>
            </w:r>
          </w:p>
        </w:tc>
        <w:tc>
          <w:tcPr>
            <w:tcW w:type="dxa" w:w="576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24+ years, 101+ workshops, approved enterprise logos, ROI evidence, case evidence, guarantee terms where supported.</w:t>
            </w:r>
          </w:p>
        </w:tc>
      </w:tr>
      <w:tr>
        <w:tc>
          <w:tcPr>
            <w:tcW w:type="dxa" w:w="15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6. Action</w:t>
            </w:r>
          </w:p>
        </w:tc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Give the visitor the next logical step.</w:t>
            </w:r>
          </w:p>
        </w:tc>
        <w:tc>
          <w:tcPr>
            <w:tcW w:type="dxa" w:w="576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Request a Consultation, take the self-assessment, or choose the individual path.</w:t>
            </w:r>
          </w:p>
        </w:tc>
      </w:tr>
    </w:tbl>
    <w:p/>
    <w:p>
      <w:pPr>
        <w:pStyle w:val="Heading1"/>
      </w:pPr>
      <w:r>
        <w:t>5. Required Proof</w:t>
      </w:r>
    </w:p>
    <w:p>
      <w:pPr>
        <w:spacing w:after="100"/>
      </w:pPr>
      <w:r>
        <w:t>Proof should appear where it answers a buyer doubt. It should not be collected into one generic credibility block and then disappear from the rest of the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Proof item</w:t>
            </w:r>
          </w:p>
        </w:tc>
        <w:tc>
          <w:tcPr>
            <w:tcW w:type="dxa" w:w="3600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Role on page</w:t>
            </w:r>
          </w:p>
        </w:tc>
        <w:tc>
          <w:tcPr>
            <w:tcW w:type="dxa" w:w="439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Status / handling</w:t>
            </w:r>
          </w:p>
        </w:tc>
      </w:tr>
      <w:tr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24+ years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Authority and longevity</w:t>
            </w:r>
          </w:p>
        </w:tc>
        <w:tc>
          <w:tcPr>
            <w:tcW w:type="dxa" w:w="43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Client-provided. Confirm current founding reference before publication.</w:t>
            </w:r>
          </w:p>
        </w:tc>
      </w:tr>
      <w:tr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101+ workshops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Breadth and depth</w:t>
            </w:r>
          </w:p>
        </w:tc>
        <w:tc>
          <w:tcPr>
            <w:tcW w:type="dxa" w:w="43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Client-provided. Confirm current inventory.</w:t>
            </w:r>
          </w:p>
        </w:tc>
      </w:tr>
      <w:tr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Learning That Never Stops®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Methodology / retention differentiation</w:t>
            </w:r>
          </w:p>
        </w:tc>
        <w:tc>
          <w:tcPr>
            <w:tcW w:type="dxa" w:w="43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brand asset; preserve trademark usage.</w:t>
            </w:r>
          </w:p>
        </w:tc>
      </w:tr>
      <w:tr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ROI Impact Evaluation data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Outcome credibility</w:t>
            </w:r>
          </w:p>
        </w:tc>
        <w:tc>
          <w:tcPr>
            <w:tcW w:type="dxa" w:w="43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when the source evaluation is attached and claim wording is approved.</w:t>
            </w:r>
          </w:p>
        </w:tc>
      </w:tr>
      <w:tr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Named enterprise clients / logos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Trust and category credibility</w:t>
            </w:r>
          </w:p>
        </w:tc>
        <w:tc>
          <w:tcPr>
            <w:tcW w:type="dxa" w:w="43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with current permission.</w:t>
            </w:r>
          </w:p>
        </w:tc>
      </w:tr>
      <w:tr>
        <w:tc>
          <w:tcPr>
            <w:tcW w:type="dxa" w:w="244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CSP Guarantee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Risk reduction and differentiation</w:t>
            </w:r>
          </w:p>
        </w:tc>
        <w:tc>
          <w:tcPr>
            <w:tcW w:type="dxa" w:w="43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Tease on homepage only with approved eligibility language. Do not present as universal.</w:t>
            </w:r>
          </w:p>
        </w:tc>
      </w:tr>
    </w:tbl>
    <w:p/>
    <w:p>
      <w:pPr>
        <w:pStyle w:val="Heading1"/>
      </w:pPr>
      <w:r>
        <w:t>6. Homepage Section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65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type="dxa" w:w="259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Primary job</w:t>
            </w:r>
          </w:p>
        </w:tc>
        <w:tc>
          <w:tcPr>
            <w:tcW w:type="dxa" w:w="172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Buyer intent served</w:t>
            </w:r>
          </w:p>
        </w:tc>
        <w:tc>
          <w:tcPr>
            <w:tcW w:type="dxa" w:w="388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Content requirement</w:t>
            </w:r>
          </w:p>
        </w:tc>
        <w:tc>
          <w:tcPr>
            <w:tcW w:type="dxa" w:w="1800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CTA / next step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Navigation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Route buyers quickly.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All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Clear For My Team / For Myself paths plus access to solutions, industries, proof, and contact.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Path selection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Hero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Establish relevance and orient the visitor.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Solution / Product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Outcome-led headline, concise explanation, corporate-first CTA, secondary buyer-path cue.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Request Consultation / choose path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Credibility bar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Reduce early uncertainty.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Product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Approved authority and proof signals only.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Continue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Problem / POV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recognition and belief.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Problem / Solution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 why training that ends at the event underperforms and why sustained application matters.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Explore approach / assessment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Three pillars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Make NuVue's breadth understandable.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Solution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Sales Development, Leadership &amp; Executive Coaching, Business Acumen with one-line value per pillar.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Explore pillar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NuVue works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Reduce process ambiguity.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Solution / Product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Simple learning journey: identify challenge, build path, reinforce, measure.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Request Consultation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Proof / results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provider evaluation.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Product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Case evidence, ROI proof, testimonials, client logos where approved.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View results / consultation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Guarantee teaser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Introduce risk reduction without overpromising.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Product / Most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Who it may be for, why it exists, qualification required.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Explore eligibility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Industry relevance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NuVue understands specific selling environments.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Solution / Product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Agriculture, Manufacturing, Insurance with real evidence where available.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Explore industry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Secondary conversion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Serve visitors not ready for a call.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Problem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Self-assessment or guided recommendation path.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Take assessment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Insights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authority and discovery.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Unaware through Solution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Useful current content matched to buyer questions, not a generic blog feed.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Read / explore</w:t>
            </w:r>
          </w:p>
        </w:tc>
      </w:tr>
      <w:tr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Final CTA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Make the next step obvious.</w:t>
            </w:r>
          </w:p>
        </w:tc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Product / Most Aware</w:t>
            </w:r>
          </w:p>
        </w:tc>
        <w:tc>
          <w:tcPr>
            <w:tcW w:type="dxa" w:w="388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Concise reminder of fit and direct action.</w:t>
            </w:r>
          </w:p>
        </w:tc>
        <w:tc>
          <w:tcPr>
            <w:tcW w:type="dxa" w:w="18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Request Consultation</w:t>
            </w:r>
          </w:p>
        </w:tc>
      </w:tr>
    </w:tbl>
    <w:p/>
    <w:p>
      <w:pPr>
        <w:pStyle w:val="Heading1"/>
      </w:pPr>
      <w:r>
        <w:t>7. Illustrative Copy Territories</w:t>
      </w:r>
    </w:p>
    <w:p>
      <w:pPr>
        <w:spacing w:after="100"/>
      </w:pPr>
      <w:r>
        <w:t>These are creative territories, not approved final copy. They demonstrate the intended level of specificity and message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47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Illustrative direction</w:t>
            </w:r>
          </w:p>
        </w:tc>
        <w:tc>
          <w:tcPr>
            <w:tcW w:type="dxa" w:w="3384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Hero headline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sales and leadership capability that lasts beyond the workshop.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 not imply guaranteed revenue or universal performance outcomes.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Hero support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Sales Development, Leadership &amp; Executive Coaching, and Business Acumen, built into learning journeys that reinforce application over time.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 terminology against final offer structure.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POV section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Training only creates value when people keep using what they learned after the event.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Keep statement broad unless specific research is cited.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Three pillars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the skills to sell on value. Develop managers who can coach. Strengthen the business acumen behind better decisions.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Directional only; refine per approved pillar messaging.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Guarantee teaser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For qualified enterprise teams, NuVue offers an outcome-based guarantee program with application and eligibility requirements.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Use only after final guarantee terms are confirmed.</w:t>
            </w:r>
          </w:p>
        </w:tc>
      </w:tr>
      <w:t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 CTA</w:t>
            </w:r>
          </w:p>
        </w:tc>
        <w:tc>
          <w:tcPr>
            <w:tcW w:type="dxa" w:w="54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Tell us what your team is trying to improve. We'll help determine the right development path.</w:t>
            </w:r>
          </w:p>
        </w:tc>
        <w:tc>
          <w:tcPr>
            <w:tcW w:type="dxa" w:w="33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Keep consultative, not presumptive.</w:t>
            </w:r>
          </w:p>
        </w:tc>
      </w:tr>
    </w:tbl>
    <w:p/>
    <w:p>
      <w:pPr>
        <w:pStyle w:val="Heading1"/>
      </w:pPr>
      <w:r>
        <w:t>8. Brand Voice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Voice requirement</w:t>
            </w:r>
          </w:p>
        </w:tc>
        <w:tc>
          <w:tcPr>
            <w:tcW w:type="dxa" w:w="676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Homepage application</w:t>
            </w:r>
          </w:p>
        </w:tc>
      </w:tr>
      <w:tr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Confident, not arrogant</w:t>
            </w:r>
          </w:p>
        </w:tc>
        <w:tc>
          <w:tcPr>
            <w:tcW w:type="dxa" w:w="67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State supported strengths plainly. Let proof carry credibility.</w:t>
            </w:r>
          </w:p>
        </w:tc>
      </w:tr>
      <w:tr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 and clear</w:t>
            </w:r>
          </w:p>
        </w:tc>
        <w:tc>
          <w:tcPr>
            <w:tcW w:type="dxa" w:w="67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Lead with the point. Avoid long setup, filler, and category jargon.</w:t>
            </w:r>
          </w:p>
        </w:tc>
      </w:tr>
      <w:tr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Empathetic and knowing</w:t>
            </w:r>
          </w:p>
        </w:tc>
        <w:tc>
          <w:tcPr>
            <w:tcW w:type="dxa" w:w="67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Reflect the buyer's frustration with training that does not stick or cannot be measured.</w:t>
            </w:r>
          </w:p>
        </w:tc>
      </w:tr>
      <w:tr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Outcome-focused</w:t>
            </w:r>
          </w:p>
        </w:tc>
        <w:tc>
          <w:tcPr>
            <w:tcW w:type="dxa" w:w="67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Connect methods to behavior, performance, and visibility rather than listing program mechanics first.</w:t>
            </w:r>
          </w:p>
        </w:tc>
      </w:tr>
      <w:tr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Warm and professional</w:t>
            </w:r>
          </w:p>
        </w:tc>
        <w:tc>
          <w:tcPr>
            <w:tcW w:type="dxa" w:w="676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Sound like an experienced advisor, not a brochure or an aggressive seller.</w:t>
            </w:r>
          </w:p>
        </w:tc>
      </w:tr>
    </w:tbl>
    <w:p/>
    <w:p>
      <w:pPr>
        <w:spacing w:after="100"/>
      </w:pPr>
      <w:r>
        <w:t>Avoid default em dashes. Use plain punctuation. Avoid generic AI phrasing, fake empathy, artificial urgency, stacked abstractions, empty superlatives, and repetitive contrast framing.</w:t>
      </w:r>
    </w:p>
    <w:p>
      <w:pPr>
        <w:pStyle w:val="Heading1"/>
      </w:pPr>
      <w:r>
        <w:t>9. Discoverability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1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Homepage requirement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Search intent</w:t>
            </w:r>
          </w:p>
        </w:tc>
        <w:tc>
          <w:tcPr>
            <w:tcW w:type="dxa" w:w="74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Represent NuVue clearly as a sales, leadership, and business-acumen training provider for organizations.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Entity clarity</w:t>
            </w:r>
          </w:p>
        </w:tc>
        <w:tc>
          <w:tcPr>
            <w:tcW w:type="dxa" w:w="74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Make NuVue, its three pillars, methodology, industries, expertise, and proof easy to understand.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Question coverage</w:t>
            </w:r>
          </w:p>
        </w:tc>
        <w:tc>
          <w:tcPr>
            <w:tcW w:type="dxa" w:w="74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Answer core buyer questions directly where appropriate.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Internal linking</w:t>
            </w:r>
          </w:p>
        </w:tc>
        <w:tc>
          <w:tcPr>
            <w:tcW w:type="dxa" w:w="74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Route to corporate path, pillar pages, industries, proof/results, methodology, and relevant resources.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Structured data</w:t>
            </w:r>
          </w:p>
        </w:tc>
        <w:tc>
          <w:tcPr>
            <w:tcW w:type="dxa" w:w="74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Apply only technically valid schema for the page and organization.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Evidence boundary</w:t>
            </w:r>
          </w:p>
        </w:tc>
        <w:tc>
          <w:tcPr>
            <w:tcW w:type="dxa" w:w="74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promise rankings, AI citations, or recommendation visibility.</w:t>
            </w:r>
          </w:p>
        </w:tc>
      </w:tr>
    </w:tbl>
    <w:p/>
    <w:p>
      <w:pPr>
        <w:pStyle w:val="Heading1"/>
      </w:pPr>
      <w:r>
        <w:t>10. Measurement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Event / signal</w:t>
            </w:r>
          </w:p>
        </w:tc>
        <w:tc>
          <w:tcPr>
            <w:tcW w:type="dxa" w:w="4464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What it should tell us</w:t>
            </w:r>
          </w:p>
        </w:tc>
        <w:tc>
          <w:tcPr>
            <w:tcW w:type="dxa" w:w="273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Boundary</w:t>
            </w:r>
          </w:p>
        </w:tc>
      </w:tr>
      <w:t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 My Team / For Myself path clicks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Whether visitors self-select into the intended buyer journey.</w:t>
            </w:r>
          </w:p>
        </w:tc>
        <w:tc>
          <w:tcPr>
            <w:tcW w:type="dxa" w:w="27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Does not establish lead quality alone.</w:t>
            </w:r>
          </w:p>
        </w:tc>
      </w:tr>
      <w:t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Consultation starts / completions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Whether qualified visitors progress toward a conversation.</w:t>
            </w:r>
          </w:p>
        </w:tc>
        <w:tc>
          <w:tcPr>
            <w:tcW w:type="dxa" w:w="27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Needs CRM qualification to judge business value.</w:t>
            </w:r>
          </w:p>
        </w:tc>
      </w:tr>
      <w:t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Assessment starts / completions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Whether lower-intent visitors engage with the diagnostic path.</w:t>
            </w:r>
          </w:p>
        </w:tc>
        <w:tc>
          <w:tcPr>
            <w:tcW w:type="dxa" w:w="27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Directional until downstream progression is visible.</w:t>
            </w:r>
          </w:p>
        </w:tc>
      </w:tr>
      <w:t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Pillar clicks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Which solution areas attract attention.</w:t>
            </w:r>
          </w:p>
        </w:tc>
        <w:tc>
          <w:tcPr>
            <w:tcW w:type="dxa" w:w="27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Engagement, not outcome.</w:t>
            </w:r>
          </w:p>
        </w:tc>
      </w:tr>
      <w:t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 clicks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Interest in risk-reduction offer.</w:t>
            </w:r>
          </w:p>
        </w:tc>
        <w:tc>
          <w:tcPr>
            <w:tcW w:type="dxa" w:w="27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Does not equal eligibility or buying intent.</w:t>
            </w:r>
          </w:p>
        </w:tc>
      </w:tr>
      <w:t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Seminar-path clicks</w:t>
            </w:r>
          </w:p>
        </w:tc>
        <w:tc>
          <w:tcPr>
            <w:tcW w:type="dxa" w:w="44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Individual-path demand from homepage.</w:t>
            </w:r>
          </w:p>
        </w:tc>
        <w:tc>
          <w:tcPr>
            <w:tcW w:type="dxa" w:w="273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Requires transaction / company context for fuller value.</w:t>
            </w:r>
          </w:p>
        </w:tc>
      </w:tr>
    </w:tbl>
    <w:p/>
    <w:p>
      <w:pPr>
        <w:pStyle w:val="Heading1"/>
      </w:pPr>
      <w:r>
        <w:t>11. Claim Restrictions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Restriction</w:t>
            </w:r>
          </w:p>
        </w:tc>
        <w:tc>
          <w:tcPr>
            <w:tcW w:type="dxa" w:w="6912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</w:t>
            </w:r>
          </w:p>
        </w:tc>
        <w:tc>
          <w:tcPr>
            <w:tcW w:type="dxa" w:w="69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publish universal or simplified promise language until eligibility threshold, annual capacity, completion requirements, and current terms are confirmed.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ROI results</w:t>
            </w:r>
          </w:p>
        </w:tc>
        <w:tc>
          <w:tcPr>
            <w:tcW w:type="dxa" w:w="69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use a revenue result unless the supporting ROI Impact Evaluation or approved source is available.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Named clients</w:t>
            </w:r>
          </w:p>
        </w:tc>
        <w:tc>
          <w:tcPr>
            <w:tcW w:type="dxa" w:w="69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use logos, names, or case outcomes without current permission.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Comparative claims</w:t>
            </w:r>
          </w:p>
        </w:tc>
        <w:tc>
          <w:tcPr>
            <w:tcW w:type="dxa" w:w="69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Avoid “only,” “best,” “leading,” or similar exclusivity unless specifically substantiated.</w:t>
            </w:r>
          </w:p>
        </w:tc>
      </w:tr>
      <w:tr>
        <w:tc>
          <w:tcPr>
            <w:tcW w:type="dxa" w:w="288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Audience assumptions</w:t>
            </w:r>
          </w:p>
        </w:tc>
        <w:tc>
          <w:tcPr>
            <w:tcW w:type="dxa" w:w="691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present corporate economic priority as a quantified fact unless CRM / business evidence supports it.</w:t>
            </w:r>
          </w:p>
        </w:tc>
      </w:tr>
    </w:tbl>
    <w:p/>
    <w:p>
      <w:pPr>
        <w:pStyle w:val="Heading1"/>
      </w:pPr>
      <w:r>
        <w:t>12. Open Decisions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3816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Current state</w:t>
            </w:r>
          </w:p>
        </w:tc>
        <w:tc>
          <w:tcPr>
            <w:tcW w:type="dxa" w:w="3600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Required before final copy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Guarantee eligibility</w:t>
            </w:r>
          </w:p>
        </w:tc>
        <w:tc>
          <w:tcPr>
            <w:tcW w:type="dxa" w:w="38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Prior client inputs contain inconsistent thresholds.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NuVue confirms minimum eligibility, ideal size, annual capacity, and current terms.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ROI proof library</w:t>
            </w:r>
          </w:p>
        </w:tc>
        <w:tc>
          <w:tcPr>
            <w:tcW w:type="dxa" w:w="38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Client says ROI evaluations exist.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Attach source evaluations and approved wording.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Client-logo permissions</w:t>
            </w:r>
          </w:p>
        </w:tc>
        <w:tc>
          <w:tcPr>
            <w:tcW w:type="dxa" w:w="38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Not fully resolved in sample.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 permission / usage restrictions.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Corporate conversion definition</w:t>
            </w:r>
          </w:p>
        </w:tc>
        <w:tc>
          <w:tcPr>
            <w:tcW w:type="dxa" w:w="38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Funnel was still being developed.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 consultation qualification fields and CRM outcome.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 homepage IA</w:t>
            </w:r>
          </w:p>
        </w:tc>
        <w:tc>
          <w:tcPr>
            <w:tcW w:type="dxa" w:w="38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Direction exists; final sitemap/template approval remains implementation-dependent.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 page architecture and hierarchy.</w:t>
            </w:r>
          </w:p>
        </w:tc>
      </w:tr>
      <w:tr>
        <w:tc>
          <w:tcPr>
            <w:tcW w:type="dxa" w:w="23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Self-assessment</w:t>
            </w:r>
          </w:p>
        </w:tc>
        <w:tc>
          <w:tcPr>
            <w:tcW w:type="dxa" w:w="381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Strategically recommended.</w:t>
            </w:r>
          </w:p>
        </w:tc>
        <w:tc>
          <w:tcPr>
            <w:tcW w:type="dxa" w:w="3600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Confirm tool, scoring, routing, data capture, and availability.</w:t>
            </w:r>
          </w:p>
        </w:tc>
      </w:tr>
    </w:tbl>
    <w:p/>
    <w:p>
      <w:pPr>
        <w:pStyle w:val="Heading1"/>
      </w:pPr>
      <w:r>
        <w:t>13. Human Review Before Drafting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Review question</w:t>
            </w:r>
          </w:p>
        </w:tc>
        <w:tc>
          <w:tcPr>
            <w:tcW w:type="dxa" w:w="4608"/>
            <w:shd w:fill="173B5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Required answer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 the homepage still corporate-first?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/ revise through strategic review.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Does the intent mapping still fit the page role?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Human strategist confirms.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Are all required proof assets available?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/ mark missing proof.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 the guarantee wording approved?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/ keep as placeholder or remove from draft.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 the self-assessment available at launch?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/ adjust secondary CTA.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Are the primary and secondary CTAs approved?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before final copy.</w:t>
            </w:r>
          </w:p>
        </w:tc>
      </w:tr>
      <w:tr>
        <w:tc>
          <w:tcPr>
            <w:tcW w:type="dxa" w:w="518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Are there any new client decisions that change the strategy?</w:t>
            </w:r>
          </w:p>
        </w:tc>
        <w:tc>
          <w:tcPr>
            <w:tcW w:type="dxa" w:w="460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If yes, reconcile before drafting.</w:t>
            </w:r>
          </w:p>
        </w:tc>
      </w:tr>
    </w:tbl>
    <w:p/>
    <w:p>
      <w:pPr>
        <w:pStyle w:val="Heading1"/>
      </w:pPr>
      <w:r>
        <w:t>14. Copy Generation Handoff</w:t>
      </w:r>
    </w:p>
    <w:p>
      <w:pPr>
        <w:spacing w:after="100"/>
      </w:pPr>
      <w:r>
        <w:t>Once the human strategist approves this brief, the copywriter or approved AI system may draft the homepage using the following source order:</w:t>
      </w:r>
    </w:p>
    <w:p>
      <w:pPr>
        <w:pStyle w:val="Callout"/>
        <w:spacing w:after="100"/>
      </w:pPr>
      <w:r>
        <w:t>Approved Blueprint Strategy → Website Messaging &amp; Content Blueprint → Brand Voice &amp; Editorial Guide → this Homepage Brief → approved proof sources → current client decisions.</w:t>
      </w:r>
    </w:p>
    <w:p>
      <w:pPr>
        <w:spacing w:after="100"/>
      </w:pPr>
      <w:r>
        <w:t>The draft may improve expression. It may not create new strategy, proof, offers, guarantees, audience priorities, or performance claims.</w:t>
      </w:r>
    </w:p>
    <w:p>
      <w:pPr>
        <w:spacing w:after="100"/>
      </w:pPr>
      <w:r>
        <w:t>Final copy remains human-reviewed and client-approved before implementation.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4B5563"/>
      <w:sz w:val="17"/>
    </w:rPr>
  </w:style>
  <w:style w:type="paragraph" w:customStyle="1" w:styleId="Callout">
    <w:name w:val="Callout"/>
    <w:rPr>
      <w:rFonts w:ascii="Aptos" w:hAnsi="Aptos"/>
      <w:b/>
      <w:color w:val="173B5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