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Creative Brief</w:t>
      </w:r>
    </w:p>
    <w:p>
      <w:pPr>
        <w:pStyle w:val="Small"/>
        <w:spacing w:after="100"/>
      </w:pPr>
      <w:r>
        <w:rPr>
          <w:b w:val="0"/>
        </w:rPr>
        <w:t>NuVue Homepage | SimpliFoundation Demonstration Gold Standard</w:t>
      </w:r>
    </w:p>
    <w:p>
      <w:pPr>
        <w:pStyle w:val="Callout"/>
        <w:spacing w:after="100"/>
      </w:pPr>
      <w:r>
        <w:rPr>
          <w:b w:val="0"/>
        </w:rPr>
        <w:t>Internal design handoff. This brief translates approved strategy, buyer intent, page requirements, messaging, proof, and copy into the design context needed to create the NuVue homepage without forcing the designer to reconstruct strategy from upstream documents.</w:t>
      </w:r>
    </w:p>
    <w:p>
      <w:pPr>
        <w:pStyle w:val="Heading1"/>
      </w:pPr>
      <w:r>
        <w:t>1. Design Assignment</w:t>
      </w:r>
    </w:p>
    <w:tbl>
      <w:tblPr>
        <w:tblStyle w:val="TableGrid"/>
        <w:tblW w:type="auto" w:w="0"/>
        <w:jc w:val="center"/>
        <w:tblLook w:firstColumn="1" w:firstRow="1" w:lastColumn="0" w:lastRow="0" w:noHBand="0" w:noVBand="1" w:val="04A0"/>
      </w:tblPr>
      <w:tblGrid>
        <w:gridCol w:w="5112"/>
        <w:gridCol w:w="5112"/>
      </w:tblGrid>
      <w:tr>
        <w:tc>
          <w:tcPr>
            <w:tcW w:type="dxa" w:w="2448"/>
            <w:shd w:fill="173B56"/>
            <w:tcMar>
              <w:top w:w="105" w:type="dxa"/>
              <w:start w:w="105" w:type="dxa"/>
              <w:bottom w:w="105" w:type="dxa"/>
              <w:end w:w="105" w:type="dxa"/>
            </w:tcMar>
            <w:vAlign w:val="center"/>
          </w:tcPr>
          <w:p>
            <w:r>
              <w:rPr>
                <w:b/>
                <w:color w:val="FFFFFF"/>
                <w:sz w:val="16"/>
              </w:rPr>
              <w:t>Field</w:t>
            </w:r>
          </w:p>
        </w:tc>
        <w:tc>
          <w:tcPr>
            <w:tcW w:type="dxa" w:w="7344"/>
            <w:shd w:fill="173B56"/>
            <w:tcMar>
              <w:top w:w="105" w:type="dxa"/>
              <w:start w:w="105" w:type="dxa"/>
              <w:bottom w:w="105" w:type="dxa"/>
              <w:end w:w="105" w:type="dxa"/>
            </w:tcMar>
            <w:vAlign w:val="center"/>
          </w:tcPr>
          <w:p>
            <w:r>
              <w:rPr>
                <w:b/>
                <w:color w:val="FFFFFF"/>
                <w:sz w:val="16"/>
              </w:rPr>
              <w:t>Direction</w:t>
            </w:r>
          </w:p>
        </w:tc>
      </w:tr>
      <w:tr>
        <w:tc>
          <w:tcPr>
            <w:tcW w:type="dxa" w:w="2448"/>
            <w:tcMar>
              <w:top w:w="105" w:type="dxa"/>
              <w:start w:w="105" w:type="dxa"/>
              <w:bottom w:w="105" w:type="dxa"/>
              <w:end w:w="105" w:type="dxa"/>
            </w:tcMar>
            <w:vAlign w:val="center"/>
          </w:tcPr>
          <w:p>
            <w:pPr>
              <w:spacing w:after="0"/>
            </w:pPr>
            <w:r>
              <w:rPr>
                <w:rFonts w:ascii="Aptos" w:hAnsi="Aptos"/>
                <w:sz w:val="16"/>
              </w:rPr>
              <w:t>Deliverable</w:t>
            </w:r>
          </w:p>
        </w:tc>
        <w:tc>
          <w:tcPr>
            <w:tcW w:type="dxa" w:w="7344"/>
            <w:tcMar>
              <w:top w:w="105" w:type="dxa"/>
              <w:start w:w="105" w:type="dxa"/>
              <w:bottom w:w="105" w:type="dxa"/>
              <w:end w:w="105" w:type="dxa"/>
            </w:tcMar>
            <w:vAlign w:val="center"/>
          </w:tcPr>
          <w:p>
            <w:pPr>
              <w:spacing w:after="0"/>
            </w:pPr>
            <w:r>
              <w:rPr>
                <w:rFonts w:ascii="Aptos" w:hAnsi="Aptos"/>
                <w:sz w:val="16"/>
              </w:rPr>
              <w:t>NuVue homepage UX and visual design.</w:t>
            </w:r>
          </w:p>
        </w:tc>
      </w:tr>
      <w:tr>
        <w:tc>
          <w:tcPr>
            <w:tcW w:type="dxa" w:w="2448"/>
            <w:tcMar>
              <w:top w:w="105" w:type="dxa"/>
              <w:start w:w="105" w:type="dxa"/>
              <w:bottom w:w="105" w:type="dxa"/>
              <w:end w:w="105" w:type="dxa"/>
            </w:tcMar>
            <w:vAlign w:val="center"/>
          </w:tcPr>
          <w:p>
            <w:pPr>
              <w:spacing w:after="0"/>
            </w:pPr>
            <w:r>
              <w:rPr>
                <w:rFonts w:ascii="Aptos" w:hAnsi="Aptos"/>
                <w:sz w:val="16"/>
              </w:rPr>
              <w:t>Primary objective</w:t>
            </w:r>
          </w:p>
        </w:tc>
        <w:tc>
          <w:tcPr>
            <w:tcW w:type="dxa" w:w="7344"/>
            <w:tcMar>
              <w:top w:w="105" w:type="dxa"/>
              <w:start w:w="105" w:type="dxa"/>
              <w:bottom w:w="105" w:type="dxa"/>
              <w:end w:w="105" w:type="dxa"/>
            </w:tcMar>
            <w:vAlign w:val="center"/>
          </w:tcPr>
          <w:p>
            <w:pPr>
              <w:spacing w:after="0"/>
            </w:pPr>
            <w:r>
              <w:rPr>
                <w:rFonts w:ascii="Aptos" w:hAnsi="Aptos"/>
                <w:sz w:val="16"/>
              </w:rPr>
              <w:t>Create a corporate-first homepage that quickly establishes relevance, communicates NuVue's breadth and differentiation, builds trust, and routes visitors toward the next logical action.</w:t>
            </w:r>
          </w:p>
        </w:tc>
      </w:tr>
      <w:tr>
        <w:tc>
          <w:tcPr>
            <w:tcW w:type="dxa" w:w="2448"/>
            <w:tcMar>
              <w:top w:w="105" w:type="dxa"/>
              <w:start w:w="105" w:type="dxa"/>
              <w:bottom w:w="105" w:type="dxa"/>
              <w:end w:w="105" w:type="dxa"/>
            </w:tcMar>
            <w:vAlign w:val="center"/>
          </w:tcPr>
          <w:p>
            <w:pPr>
              <w:spacing w:after="0"/>
            </w:pPr>
            <w:r>
              <w:rPr>
                <w:rFonts w:ascii="Aptos" w:hAnsi="Aptos"/>
                <w:sz w:val="16"/>
              </w:rPr>
              <w:t>Primary audience</w:t>
            </w:r>
          </w:p>
        </w:tc>
        <w:tc>
          <w:tcPr>
            <w:tcW w:type="dxa" w:w="7344"/>
            <w:tcMar>
              <w:top w:w="105" w:type="dxa"/>
              <w:start w:w="105" w:type="dxa"/>
              <w:bottom w:w="105" w:type="dxa"/>
              <w:end w:w="105" w:type="dxa"/>
            </w:tcMar>
            <w:vAlign w:val="center"/>
          </w:tcPr>
          <w:p>
            <w:pPr>
              <w:spacing w:after="0"/>
            </w:pPr>
            <w:r>
              <w:rPr>
                <w:rFonts w:ascii="Aptos" w:hAnsi="Aptos"/>
                <w:sz w:val="16"/>
              </w:rPr>
              <w:t>VP Sales and related enterprise decision-makers.</w:t>
            </w:r>
          </w:p>
        </w:tc>
      </w:tr>
      <w:tr>
        <w:tc>
          <w:tcPr>
            <w:tcW w:type="dxa" w:w="2448"/>
            <w:tcMar>
              <w:top w:w="105" w:type="dxa"/>
              <w:start w:w="105" w:type="dxa"/>
              <w:bottom w:w="105" w:type="dxa"/>
              <w:end w:w="105" w:type="dxa"/>
            </w:tcMar>
            <w:vAlign w:val="center"/>
          </w:tcPr>
          <w:p>
            <w:pPr>
              <w:spacing w:after="0"/>
            </w:pPr>
            <w:r>
              <w:rPr>
                <w:rFonts w:ascii="Aptos" w:hAnsi="Aptos"/>
                <w:sz w:val="16"/>
              </w:rPr>
              <w:t>Secondary audience</w:t>
            </w:r>
          </w:p>
        </w:tc>
        <w:tc>
          <w:tcPr>
            <w:tcW w:type="dxa" w:w="7344"/>
            <w:tcMar>
              <w:top w:w="105" w:type="dxa"/>
              <w:start w:w="105" w:type="dxa"/>
              <w:bottom w:w="105" w:type="dxa"/>
              <w:end w:w="105" w:type="dxa"/>
            </w:tcMar>
            <w:vAlign w:val="center"/>
          </w:tcPr>
          <w:p>
            <w:pPr>
              <w:spacing w:after="0"/>
            </w:pPr>
            <w:r>
              <w:rPr>
                <w:rFonts w:ascii="Aptos" w:hAnsi="Aptos"/>
                <w:sz w:val="16"/>
              </w:rPr>
              <w:t>Individual sales professionals and company-directed seminar attendees.</w:t>
            </w:r>
          </w:p>
        </w:tc>
      </w:tr>
      <w:tr>
        <w:tc>
          <w:tcPr>
            <w:tcW w:type="dxa" w:w="2448"/>
            <w:tcMar>
              <w:top w:w="105" w:type="dxa"/>
              <w:start w:w="105" w:type="dxa"/>
              <w:bottom w:w="105" w:type="dxa"/>
              <w:end w:w="105" w:type="dxa"/>
            </w:tcMar>
            <w:vAlign w:val="center"/>
          </w:tcPr>
          <w:p>
            <w:pPr>
              <w:spacing w:after="0"/>
            </w:pPr>
            <w:r>
              <w:rPr>
                <w:rFonts w:ascii="Aptos" w:hAnsi="Aptos"/>
                <w:sz w:val="16"/>
              </w:rPr>
              <w:t>Primary buyer intent</w:t>
            </w:r>
          </w:p>
        </w:tc>
        <w:tc>
          <w:tcPr>
            <w:tcW w:type="dxa" w:w="7344"/>
            <w:tcMar>
              <w:top w:w="105" w:type="dxa"/>
              <w:start w:w="105" w:type="dxa"/>
              <w:bottom w:w="105" w:type="dxa"/>
              <w:end w:w="105" w:type="dxa"/>
            </w:tcMar>
            <w:vAlign w:val="center"/>
          </w:tcPr>
          <w:p>
            <w:pPr>
              <w:spacing w:after="0"/>
            </w:pPr>
            <w:r>
              <w:rPr>
                <w:rFonts w:ascii="Aptos" w:hAnsi="Aptos"/>
                <w:sz w:val="16"/>
              </w:rPr>
              <w:t>Solution Aware.</w:t>
            </w:r>
          </w:p>
        </w:tc>
      </w:tr>
      <w:tr>
        <w:tc>
          <w:tcPr>
            <w:tcW w:type="dxa" w:w="2448"/>
            <w:tcMar>
              <w:top w:w="105" w:type="dxa"/>
              <w:start w:w="105" w:type="dxa"/>
              <w:bottom w:w="105" w:type="dxa"/>
              <w:end w:w="105" w:type="dxa"/>
            </w:tcMar>
            <w:vAlign w:val="center"/>
          </w:tcPr>
          <w:p>
            <w:pPr>
              <w:spacing w:after="0"/>
            </w:pPr>
            <w:r>
              <w:rPr>
                <w:rFonts w:ascii="Aptos" w:hAnsi="Aptos"/>
                <w:sz w:val="16"/>
              </w:rPr>
              <w:t>Secondary buyer intent</w:t>
            </w:r>
          </w:p>
        </w:tc>
        <w:tc>
          <w:tcPr>
            <w:tcW w:type="dxa" w:w="7344"/>
            <w:tcMar>
              <w:top w:w="105" w:type="dxa"/>
              <w:start w:w="105" w:type="dxa"/>
              <w:bottom w:w="105" w:type="dxa"/>
              <w:end w:w="105" w:type="dxa"/>
            </w:tcMar>
            <w:vAlign w:val="center"/>
          </w:tcPr>
          <w:p>
            <w:pPr>
              <w:spacing w:after="0"/>
            </w:pPr>
            <w:r>
              <w:rPr>
                <w:rFonts w:ascii="Aptos" w:hAnsi="Aptos"/>
                <w:sz w:val="16"/>
              </w:rPr>
              <w:t>Problem Aware and Product Aware.</w:t>
            </w:r>
          </w:p>
        </w:tc>
      </w:tr>
      <w:tr>
        <w:tc>
          <w:tcPr>
            <w:tcW w:type="dxa" w:w="2448"/>
            <w:tcMar>
              <w:top w:w="105" w:type="dxa"/>
              <w:start w:w="105" w:type="dxa"/>
              <w:bottom w:w="105" w:type="dxa"/>
              <w:end w:w="105" w:type="dxa"/>
            </w:tcMar>
            <w:vAlign w:val="center"/>
          </w:tcPr>
          <w:p>
            <w:pPr>
              <w:spacing w:after="0"/>
            </w:pPr>
            <w:r>
              <w:rPr>
                <w:rFonts w:ascii="Aptos" w:hAnsi="Aptos"/>
                <w:sz w:val="16"/>
              </w:rPr>
              <w:t>Primary CTA</w:t>
            </w:r>
          </w:p>
        </w:tc>
        <w:tc>
          <w:tcPr>
            <w:tcW w:type="dxa" w:w="7344"/>
            <w:tcMar>
              <w:top w:w="105" w:type="dxa"/>
              <w:start w:w="105" w:type="dxa"/>
              <w:bottom w:w="105" w:type="dxa"/>
              <w:end w:w="105" w:type="dxa"/>
            </w:tcMar>
            <w:vAlign w:val="center"/>
          </w:tcPr>
          <w:p>
            <w:pPr>
              <w:spacing w:after="0"/>
            </w:pPr>
            <w:r>
              <w:rPr>
                <w:rFonts w:ascii="Aptos" w:hAnsi="Aptos"/>
                <w:sz w:val="16"/>
              </w:rPr>
              <w:t>Request a Consultation.</w:t>
            </w:r>
          </w:p>
        </w:tc>
      </w:tr>
      <w:tr>
        <w:tc>
          <w:tcPr>
            <w:tcW w:type="dxa" w:w="2448"/>
            <w:tcMar>
              <w:top w:w="105" w:type="dxa"/>
              <w:start w:w="105" w:type="dxa"/>
              <w:bottom w:w="105" w:type="dxa"/>
              <w:end w:w="105" w:type="dxa"/>
            </w:tcMar>
            <w:vAlign w:val="center"/>
          </w:tcPr>
          <w:p>
            <w:pPr>
              <w:spacing w:after="0"/>
            </w:pPr>
            <w:r>
              <w:rPr>
                <w:rFonts w:ascii="Aptos" w:hAnsi="Aptos"/>
                <w:sz w:val="16"/>
              </w:rPr>
              <w:t>Secondary CTA</w:t>
            </w:r>
          </w:p>
        </w:tc>
        <w:tc>
          <w:tcPr>
            <w:tcW w:type="dxa" w:w="7344"/>
            <w:tcMar>
              <w:top w:w="105" w:type="dxa"/>
              <w:start w:w="105" w:type="dxa"/>
              <w:bottom w:w="105" w:type="dxa"/>
              <w:end w:w="105" w:type="dxa"/>
            </w:tcMar>
            <w:vAlign w:val="center"/>
          </w:tcPr>
          <w:p>
            <w:pPr>
              <w:spacing w:after="0"/>
            </w:pPr>
            <w:r>
              <w:rPr>
                <w:rFonts w:ascii="Aptos" w:hAnsi="Aptos"/>
                <w:sz w:val="16"/>
              </w:rPr>
              <w:t>Self-assessment / For Myself path.</w:t>
            </w:r>
          </w:p>
        </w:tc>
      </w:tr>
      <w:tr>
        <w:tc>
          <w:tcPr>
            <w:tcW w:type="dxa" w:w="2448"/>
            <w:tcMar>
              <w:top w:w="105" w:type="dxa"/>
              <w:start w:w="105" w:type="dxa"/>
              <w:bottom w:w="105" w:type="dxa"/>
              <w:end w:w="105" w:type="dxa"/>
            </w:tcMar>
            <w:vAlign w:val="center"/>
          </w:tcPr>
          <w:p>
            <w:pPr>
              <w:spacing w:after="0"/>
            </w:pPr>
            <w:r>
              <w:rPr>
                <w:rFonts w:ascii="Aptos" w:hAnsi="Aptos"/>
                <w:sz w:val="16"/>
              </w:rPr>
              <w:t>Design principle</w:t>
            </w:r>
          </w:p>
        </w:tc>
        <w:tc>
          <w:tcPr>
            <w:tcW w:type="dxa" w:w="7344"/>
            <w:tcMar>
              <w:top w:w="105" w:type="dxa"/>
              <w:start w:w="105" w:type="dxa"/>
              <w:bottom w:w="105" w:type="dxa"/>
              <w:end w:w="105" w:type="dxa"/>
            </w:tcMar>
            <w:vAlign w:val="center"/>
          </w:tcPr>
          <w:p>
            <w:pPr>
              <w:spacing w:after="0"/>
            </w:pPr>
            <w:r>
              <w:rPr>
                <w:rFonts w:ascii="Aptos" w:hAnsi="Aptos"/>
                <w:sz w:val="16"/>
              </w:rPr>
              <w:t>STRATEGY MUST SURVIVE EXECUTION.</w:t>
            </w:r>
          </w:p>
        </w:tc>
      </w:tr>
    </w:tbl>
    <w:p/>
    <w:p>
      <w:pPr>
        <w:pStyle w:val="Heading1"/>
      </w:pPr>
      <w:r>
        <w:t>2. What the Homepage Must Accomplish</w:t>
      </w:r>
    </w:p>
    <w:tbl>
      <w:tblPr>
        <w:tblStyle w:val="TableGrid"/>
        <w:tblW w:type="auto" w:w="0"/>
        <w:jc w:val="center"/>
        <w:tblLook w:firstColumn="1" w:firstRow="1" w:lastColumn="0" w:lastRow="0" w:noHBand="0" w:noVBand="1" w:val="04A0"/>
      </w:tblPr>
      <w:tblGrid>
        <w:gridCol w:w="3408"/>
        <w:gridCol w:w="3408"/>
        <w:gridCol w:w="3408"/>
      </w:tblGrid>
      <w:tr>
        <w:tc>
          <w:tcPr>
            <w:tcW w:type="dxa" w:w="936"/>
            <w:shd w:fill="173B56"/>
            <w:tcMar>
              <w:top w:w="105" w:type="dxa"/>
              <w:start w:w="105" w:type="dxa"/>
              <w:bottom w:w="105" w:type="dxa"/>
              <w:end w:w="105" w:type="dxa"/>
            </w:tcMar>
            <w:vAlign w:val="center"/>
          </w:tcPr>
          <w:p>
            <w:r>
              <w:rPr>
                <w:b/>
                <w:color w:val="FFFFFF"/>
                <w:sz w:val="15"/>
              </w:rPr>
              <w:t>Priority</w:t>
            </w:r>
          </w:p>
        </w:tc>
        <w:tc>
          <w:tcPr>
            <w:tcW w:type="dxa" w:w="4320"/>
            <w:shd w:fill="173B56"/>
            <w:tcMar>
              <w:top w:w="105" w:type="dxa"/>
              <w:start w:w="105" w:type="dxa"/>
              <w:bottom w:w="105" w:type="dxa"/>
              <w:end w:w="105" w:type="dxa"/>
            </w:tcMar>
            <w:vAlign w:val="center"/>
          </w:tcPr>
          <w:p>
            <w:r>
              <w:rPr>
                <w:b/>
                <w:color w:val="FFFFFF"/>
                <w:sz w:val="15"/>
              </w:rPr>
              <w:t>Design job</w:t>
            </w:r>
          </w:p>
        </w:tc>
        <w:tc>
          <w:tcPr>
            <w:tcW w:type="dxa" w:w="4536"/>
            <w:shd w:fill="173B56"/>
            <w:tcMar>
              <w:top w:w="105" w:type="dxa"/>
              <w:start w:w="105" w:type="dxa"/>
              <w:bottom w:w="105" w:type="dxa"/>
              <w:end w:w="105" w:type="dxa"/>
            </w:tcMar>
            <w:vAlign w:val="center"/>
          </w:tcPr>
          <w:p>
            <w:r>
              <w:rPr>
                <w:b/>
                <w:color w:val="FFFFFF"/>
                <w:sz w:val="15"/>
              </w:rPr>
              <w:t>Why it matters</w:t>
            </w:r>
          </w:p>
        </w:tc>
      </w:tr>
      <w:tr>
        <w:tc>
          <w:tcPr>
            <w:tcW w:type="dxa" w:w="936"/>
            <w:tcMar>
              <w:top w:w="105" w:type="dxa"/>
              <w:start w:w="105" w:type="dxa"/>
              <w:bottom w:w="105" w:type="dxa"/>
              <w:end w:w="105" w:type="dxa"/>
            </w:tcMar>
            <w:vAlign w:val="center"/>
          </w:tcPr>
          <w:p>
            <w:pPr>
              <w:spacing w:after="0"/>
            </w:pPr>
            <w:r>
              <w:rPr>
                <w:rFonts w:ascii="Aptos" w:hAnsi="Aptos"/>
                <w:sz w:val="15"/>
              </w:rPr>
              <w:t>1</w:t>
            </w:r>
          </w:p>
        </w:tc>
        <w:tc>
          <w:tcPr>
            <w:tcW w:type="dxa" w:w="4320"/>
            <w:tcMar>
              <w:top w:w="105" w:type="dxa"/>
              <w:start w:w="105" w:type="dxa"/>
              <w:bottom w:w="105" w:type="dxa"/>
              <w:end w:w="105" w:type="dxa"/>
            </w:tcMar>
            <w:vAlign w:val="center"/>
          </w:tcPr>
          <w:p>
            <w:pPr>
              <w:spacing w:after="0"/>
            </w:pPr>
            <w:r>
              <w:rPr>
                <w:rFonts w:ascii="Aptos" w:hAnsi="Aptos"/>
                <w:sz w:val="15"/>
              </w:rPr>
              <w:t>Make it obvious what NuVue does and who it serves.</w:t>
            </w:r>
          </w:p>
        </w:tc>
        <w:tc>
          <w:tcPr>
            <w:tcW w:type="dxa" w:w="4536"/>
            <w:tcMar>
              <w:top w:w="105" w:type="dxa"/>
              <w:start w:w="105" w:type="dxa"/>
              <w:bottom w:w="105" w:type="dxa"/>
              <w:end w:w="105" w:type="dxa"/>
            </w:tcMar>
            <w:vAlign w:val="center"/>
          </w:tcPr>
          <w:p>
            <w:pPr>
              <w:spacing w:after="0"/>
            </w:pPr>
            <w:r>
              <w:rPr>
                <w:rFonts w:ascii="Aptos" w:hAnsi="Aptos"/>
                <w:sz w:val="15"/>
              </w:rPr>
              <w:t>The current opportunity depends on stronger corporate buyer clarity.</w:t>
            </w:r>
          </w:p>
        </w:tc>
      </w:tr>
      <w:tr>
        <w:tc>
          <w:tcPr>
            <w:tcW w:type="dxa" w:w="936"/>
            <w:tcMar>
              <w:top w:w="105" w:type="dxa"/>
              <w:start w:w="105" w:type="dxa"/>
              <w:bottom w:w="105" w:type="dxa"/>
              <w:end w:w="105" w:type="dxa"/>
            </w:tcMar>
            <w:vAlign w:val="center"/>
          </w:tcPr>
          <w:p>
            <w:pPr>
              <w:spacing w:after="0"/>
            </w:pPr>
            <w:r>
              <w:rPr>
                <w:rFonts w:ascii="Aptos" w:hAnsi="Aptos"/>
                <w:sz w:val="15"/>
              </w:rPr>
              <w:t>2</w:t>
            </w:r>
          </w:p>
        </w:tc>
        <w:tc>
          <w:tcPr>
            <w:tcW w:type="dxa" w:w="4320"/>
            <w:tcMar>
              <w:top w:w="105" w:type="dxa"/>
              <w:start w:w="105" w:type="dxa"/>
              <w:bottom w:w="105" w:type="dxa"/>
              <w:end w:w="105" w:type="dxa"/>
            </w:tcMar>
            <w:vAlign w:val="center"/>
          </w:tcPr>
          <w:p>
            <w:pPr>
              <w:spacing w:after="0"/>
            </w:pPr>
            <w:r>
              <w:rPr>
                <w:rFonts w:ascii="Aptos" w:hAnsi="Aptos"/>
                <w:sz w:val="15"/>
              </w:rPr>
              <w:t>Create an unmistakable corporate-first path without hiding the individual path.</w:t>
            </w:r>
          </w:p>
        </w:tc>
        <w:tc>
          <w:tcPr>
            <w:tcW w:type="dxa" w:w="4536"/>
            <w:tcMar>
              <w:top w:w="105" w:type="dxa"/>
              <w:start w:w="105" w:type="dxa"/>
              <w:bottom w:w="105" w:type="dxa"/>
              <w:end w:w="105" w:type="dxa"/>
            </w:tcMar>
            <w:vAlign w:val="center"/>
          </w:tcPr>
          <w:p>
            <w:pPr>
              <w:spacing w:after="0"/>
            </w:pPr>
            <w:r>
              <w:rPr>
                <w:rFonts w:ascii="Aptos" w:hAnsi="Aptos"/>
                <w:sz w:val="15"/>
              </w:rPr>
              <w:t>The two buying motions are materially different.</w:t>
            </w:r>
          </w:p>
        </w:tc>
      </w:tr>
      <w:tr>
        <w:tc>
          <w:tcPr>
            <w:tcW w:type="dxa" w:w="936"/>
            <w:tcMar>
              <w:top w:w="105" w:type="dxa"/>
              <w:start w:w="105" w:type="dxa"/>
              <w:bottom w:w="105" w:type="dxa"/>
              <w:end w:w="105" w:type="dxa"/>
            </w:tcMar>
            <w:vAlign w:val="center"/>
          </w:tcPr>
          <w:p>
            <w:pPr>
              <w:spacing w:after="0"/>
            </w:pPr>
            <w:r>
              <w:rPr>
                <w:rFonts w:ascii="Aptos" w:hAnsi="Aptos"/>
                <w:sz w:val="15"/>
              </w:rPr>
              <w:t>3</w:t>
            </w:r>
          </w:p>
        </w:tc>
        <w:tc>
          <w:tcPr>
            <w:tcW w:type="dxa" w:w="4320"/>
            <w:tcMar>
              <w:top w:w="105" w:type="dxa"/>
              <w:start w:w="105" w:type="dxa"/>
              <w:bottom w:w="105" w:type="dxa"/>
              <w:end w:w="105" w:type="dxa"/>
            </w:tcMar>
            <w:vAlign w:val="center"/>
          </w:tcPr>
          <w:p>
            <w:pPr>
              <w:spacing w:after="0"/>
            </w:pPr>
            <w:r>
              <w:rPr>
                <w:rFonts w:ascii="Aptos" w:hAnsi="Aptos"/>
                <w:sz w:val="15"/>
              </w:rPr>
              <w:t>Make the three solution pillars easy to understand.</w:t>
            </w:r>
          </w:p>
        </w:tc>
        <w:tc>
          <w:tcPr>
            <w:tcW w:type="dxa" w:w="4536"/>
            <w:tcMar>
              <w:top w:w="105" w:type="dxa"/>
              <w:start w:w="105" w:type="dxa"/>
              <w:bottom w:w="105" w:type="dxa"/>
              <w:end w:w="105" w:type="dxa"/>
            </w:tcMar>
            <w:vAlign w:val="center"/>
          </w:tcPr>
          <w:p>
            <w:pPr>
              <w:spacing w:after="0"/>
            </w:pPr>
            <w:r>
              <w:rPr>
                <w:rFonts w:ascii="Aptos" w:hAnsi="Aptos"/>
                <w:sz w:val="15"/>
              </w:rPr>
              <w:t>NuVue's breadth should feel structured, not overwhelming.</w:t>
            </w:r>
          </w:p>
        </w:tc>
      </w:tr>
      <w:tr>
        <w:tc>
          <w:tcPr>
            <w:tcW w:type="dxa" w:w="936"/>
            <w:tcMar>
              <w:top w:w="105" w:type="dxa"/>
              <w:start w:w="105" w:type="dxa"/>
              <w:bottom w:w="105" w:type="dxa"/>
              <w:end w:w="105" w:type="dxa"/>
            </w:tcMar>
            <w:vAlign w:val="center"/>
          </w:tcPr>
          <w:p>
            <w:pPr>
              <w:spacing w:after="0"/>
            </w:pPr>
            <w:r>
              <w:rPr>
                <w:rFonts w:ascii="Aptos" w:hAnsi="Aptos"/>
                <w:sz w:val="15"/>
              </w:rPr>
              <w:t>4</w:t>
            </w:r>
          </w:p>
        </w:tc>
        <w:tc>
          <w:tcPr>
            <w:tcW w:type="dxa" w:w="4320"/>
            <w:tcMar>
              <w:top w:w="105" w:type="dxa"/>
              <w:start w:w="105" w:type="dxa"/>
              <w:bottom w:w="105" w:type="dxa"/>
              <w:end w:w="105" w:type="dxa"/>
            </w:tcMar>
            <w:vAlign w:val="center"/>
          </w:tcPr>
          <w:p>
            <w:pPr>
              <w:spacing w:after="0"/>
            </w:pPr>
            <w:r>
              <w:rPr>
                <w:rFonts w:ascii="Aptos" w:hAnsi="Aptos"/>
                <w:sz w:val="15"/>
              </w:rPr>
              <w:t>Bring proof forward early enough to influence evaluation.</w:t>
            </w:r>
          </w:p>
        </w:tc>
        <w:tc>
          <w:tcPr>
            <w:tcW w:type="dxa" w:w="4536"/>
            <w:tcMar>
              <w:top w:w="105" w:type="dxa"/>
              <w:start w:w="105" w:type="dxa"/>
              <w:bottom w:w="105" w:type="dxa"/>
              <w:end w:w="105" w:type="dxa"/>
            </w:tcMar>
            <w:vAlign w:val="center"/>
          </w:tcPr>
          <w:p>
            <w:pPr>
              <w:spacing w:after="0"/>
            </w:pPr>
            <w:r>
              <w:rPr>
                <w:rFonts w:ascii="Aptos" w:hAnsi="Aptos"/>
                <w:sz w:val="15"/>
              </w:rPr>
              <w:t>Differentiation and credibility should not be buried.</w:t>
            </w:r>
          </w:p>
        </w:tc>
      </w:tr>
      <w:tr>
        <w:tc>
          <w:tcPr>
            <w:tcW w:type="dxa" w:w="936"/>
            <w:tcMar>
              <w:top w:w="105" w:type="dxa"/>
              <w:start w:w="105" w:type="dxa"/>
              <w:bottom w:w="105" w:type="dxa"/>
              <w:end w:w="105" w:type="dxa"/>
            </w:tcMar>
            <w:vAlign w:val="center"/>
          </w:tcPr>
          <w:p>
            <w:pPr>
              <w:spacing w:after="0"/>
            </w:pPr>
            <w:r>
              <w:rPr>
                <w:rFonts w:ascii="Aptos" w:hAnsi="Aptos"/>
                <w:sz w:val="15"/>
              </w:rPr>
              <w:t>5</w:t>
            </w:r>
          </w:p>
        </w:tc>
        <w:tc>
          <w:tcPr>
            <w:tcW w:type="dxa" w:w="4320"/>
            <w:tcMar>
              <w:top w:w="105" w:type="dxa"/>
              <w:start w:w="105" w:type="dxa"/>
              <w:bottom w:w="105" w:type="dxa"/>
              <w:end w:w="105" w:type="dxa"/>
            </w:tcMar>
            <w:vAlign w:val="center"/>
          </w:tcPr>
          <w:p>
            <w:pPr>
              <w:spacing w:after="0"/>
            </w:pPr>
            <w:r>
              <w:rPr>
                <w:rFonts w:ascii="Aptos" w:hAnsi="Aptos"/>
                <w:sz w:val="15"/>
              </w:rPr>
              <w:t>Show that NuVue is built around sustained application, not one-time training events.</w:t>
            </w:r>
          </w:p>
        </w:tc>
        <w:tc>
          <w:tcPr>
            <w:tcW w:type="dxa" w:w="4536"/>
            <w:tcMar>
              <w:top w:w="105" w:type="dxa"/>
              <w:start w:w="105" w:type="dxa"/>
              <w:bottom w:w="105" w:type="dxa"/>
              <w:end w:w="105" w:type="dxa"/>
            </w:tcMar>
            <w:vAlign w:val="center"/>
          </w:tcPr>
          <w:p>
            <w:pPr>
              <w:spacing w:after="0"/>
            </w:pPr>
            <w:r>
              <w:rPr>
                <w:rFonts w:ascii="Aptos" w:hAnsi="Aptos"/>
                <w:sz w:val="15"/>
              </w:rPr>
              <w:t>This is central to the approved brand point of view.</w:t>
            </w:r>
          </w:p>
        </w:tc>
      </w:tr>
      <w:tr>
        <w:tc>
          <w:tcPr>
            <w:tcW w:type="dxa" w:w="936"/>
            <w:tcMar>
              <w:top w:w="105" w:type="dxa"/>
              <w:start w:w="105" w:type="dxa"/>
              <w:bottom w:w="105" w:type="dxa"/>
              <w:end w:w="105" w:type="dxa"/>
            </w:tcMar>
            <w:vAlign w:val="center"/>
          </w:tcPr>
          <w:p>
            <w:pPr>
              <w:spacing w:after="0"/>
            </w:pPr>
            <w:r>
              <w:rPr>
                <w:rFonts w:ascii="Aptos" w:hAnsi="Aptos"/>
                <w:sz w:val="15"/>
              </w:rPr>
              <w:t>6</w:t>
            </w:r>
          </w:p>
        </w:tc>
        <w:tc>
          <w:tcPr>
            <w:tcW w:type="dxa" w:w="4320"/>
            <w:tcMar>
              <w:top w:w="105" w:type="dxa"/>
              <w:start w:w="105" w:type="dxa"/>
              <w:bottom w:w="105" w:type="dxa"/>
              <w:end w:w="105" w:type="dxa"/>
            </w:tcMar>
            <w:vAlign w:val="center"/>
          </w:tcPr>
          <w:p>
            <w:pPr>
              <w:spacing w:after="0"/>
            </w:pPr>
            <w:r>
              <w:rPr>
                <w:rFonts w:ascii="Aptos" w:hAnsi="Aptos"/>
                <w:sz w:val="15"/>
              </w:rPr>
              <w:t>Support different readiness levels without forcing every visitor into a consultation.</w:t>
            </w:r>
          </w:p>
        </w:tc>
        <w:tc>
          <w:tcPr>
            <w:tcW w:type="dxa" w:w="4536"/>
            <w:tcMar>
              <w:top w:w="105" w:type="dxa"/>
              <w:start w:w="105" w:type="dxa"/>
              <w:bottom w:w="105" w:type="dxa"/>
              <w:end w:w="105" w:type="dxa"/>
            </w:tcMar>
            <w:vAlign w:val="center"/>
          </w:tcPr>
          <w:p>
            <w:pPr>
              <w:spacing w:after="0"/>
            </w:pPr>
            <w:r>
              <w:rPr>
                <w:rFonts w:ascii="Aptos" w:hAnsi="Aptos"/>
                <w:sz w:val="15"/>
              </w:rPr>
              <w:t>CTA behavior should match buyer intent.</w:t>
            </w:r>
          </w:p>
        </w:tc>
      </w:tr>
      <w:tr>
        <w:tc>
          <w:tcPr>
            <w:tcW w:type="dxa" w:w="936"/>
            <w:tcMar>
              <w:top w:w="105" w:type="dxa"/>
              <w:start w:w="105" w:type="dxa"/>
              <w:bottom w:w="105" w:type="dxa"/>
              <w:end w:w="105" w:type="dxa"/>
            </w:tcMar>
            <w:vAlign w:val="center"/>
          </w:tcPr>
          <w:p>
            <w:pPr>
              <w:spacing w:after="0"/>
            </w:pPr>
            <w:r>
              <w:rPr>
                <w:rFonts w:ascii="Aptos" w:hAnsi="Aptos"/>
                <w:sz w:val="15"/>
              </w:rPr>
              <w:t>7</w:t>
            </w:r>
          </w:p>
        </w:tc>
        <w:tc>
          <w:tcPr>
            <w:tcW w:type="dxa" w:w="4320"/>
            <w:tcMar>
              <w:top w:w="105" w:type="dxa"/>
              <w:start w:w="105" w:type="dxa"/>
              <w:bottom w:w="105" w:type="dxa"/>
              <w:end w:w="105" w:type="dxa"/>
            </w:tcMar>
            <w:vAlign w:val="center"/>
          </w:tcPr>
          <w:p>
            <w:pPr>
              <w:spacing w:after="0"/>
            </w:pPr>
            <w:r>
              <w:rPr>
                <w:rFonts w:ascii="Aptos" w:hAnsi="Aptos"/>
                <w:sz w:val="15"/>
              </w:rPr>
              <w:t>Create a measurable experience.</w:t>
            </w:r>
          </w:p>
        </w:tc>
        <w:tc>
          <w:tcPr>
            <w:tcW w:type="dxa" w:w="4536"/>
            <w:tcMar>
              <w:top w:w="105" w:type="dxa"/>
              <w:start w:w="105" w:type="dxa"/>
              <w:bottom w:w="105" w:type="dxa"/>
              <w:end w:w="105" w:type="dxa"/>
            </w:tcMar>
            <w:vAlign w:val="center"/>
          </w:tcPr>
          <w:p>
            <w:pPr>
              <w:spacing w:after="0"/>
            </w:pPr>
            <w:r>
              <w:rPr>
                <w:rFonts w:ascii="Aptos" w:hAnsi="Aptos"/>
                <w:sz w:val="15"/>
              </w:rPr>
              <w:t>Important interactions must be intentionally trackable.</w:t>
            </w:r>
          </w:p>
        </w:tc>
      </w:tr>
    </w:tbl>
    <w:p/>
    <w:p>
      <w:pPr>
        <w:pStyle w:val="Heading1"/>
      </w:pPr>
      <w:r>
        <w:t>3. Strategic Story the Design Must Support</w:t>
      </w:r>
    </w:p>
    <w:p>
      <w:pPr>
        <w:spacing w:after="100"/>
      </w:pPr>
      <w:r>
        <w:rPr>
          <w:b w:val="0"/>
        </w:rPr>
        <w:t>The homepage should visually reinforce this progression:</w:t>
      </w:r>
    </w:p>
    <w:p>
      <w:pPr>
        <w:pStyle w:val="Callout"/>
        <w:spacing w:after="100"/>
      </w:pPr>
      <w:r>
        <w:rPr>
          <w:b w:val="0"/>
        </w:rPr>
        <w:t>RELEVANCE → RECOGNITION → APPROACH → BREADTH → PROOF → FIT → NEXT STEP</w:t>
      </w:r>
    </w:p>
    <w:tbl>
      <w:tblPr>
        <w:tblStyle w:val="TableGrid"/>
        <w:tblW w:type="auto" w:w="0"/>
        <w:jc w:val="center"/>
        <w:tblLook w:firstColumn="1" w:firstRow="1" w:lastColumn="0" w:lastRow="0" w:noHBand="0" w:noVBand="1" w:val="04A0"/>
      </w:tblPr>
      <w:tblGrid>
        <w:gridCol w:w="5112"/>
        <w:gridCol w:w="5112"/>
      </w:tblGrid>
      <w:tr>
        <w:tc>
          <w:tcPr>
            <w:tcW w:type="dxa" w:w="2160"/>
            <w:shd w:fill="173B56"/>
            <w:tcMar>
              <w:top w:w="105" w:type="dxa"/>
              <w:start w:w="105" w:type="dxa"/>
              <w:bottom w:w="105" w:type="dxa"/>
              <w:end w:w="105" w:type="dxa"/>
            </w:tcMar>
            <w:vAlign w:val="center"/>
          </w:tcPr>
          <w:p>
            <w:r>
              <w:rPr>
                <w:b/>
                <w:color w:val="FFFFFF"/>
                <w:sz w:val="16"/>
              </w:rPr>
              <w:t>Story beat</w:t>
            </w:r>
          </w:p>
        </w:tc>
        <w:tc>
          <w:tcPr>
            <w:tcW w:type="dxa" w:w="7632"/>
            <w:shd w:fill="173B56"/>
            <w:tcMar>
              <w:top w:w="105" w:type="dxa"/>
              <w:start w:w="105" w:type="dxa"/>
              <w:bottom w:w="105" w:type="dxa"/>
              <w:end w:w="105" w:type="dxa"/>
            </w:tcMar>
            <w:vAlign w:val="center"/>
          </w:tcPr>
          <w:p>
            <w:r>
              <w:rPr>
                <w:b/>
                <w:color w:val="FFFFFF"/>
                <w:sz w:val="16"/>
              </w:rPr>
              <w:t>What the visitor should feel / understand</w:t>
            </w:r>
          </w:p>
        </w:tc>
      </w:tr>
      <w:tr>
        <w:tc>
          <w:tcPr>
            <w:tcW w:type="dxa" w:w="2160"/>
            <w:tcMar>
              <w:top w:w="105" w:type="dxa"/>
              <w:start w:w="105" w:type="dxa"/>
              <w:bottom w:w="105" w:type="dxa"/>
              <w:end w:w="105" w:type="dxa"/>
            </w:tcMar>
            <w:vAlign w:val="center"/>
          </w:tcPr>
          <w:p>
            <w:pPr>
              <w:spacing w:after="0"/>
            </w:pPr>
            <w:r>
              <w:rPr>
                <w:rFonts w:ascii="Aptos" w:hAnsi="Aptos"/>
                <w:sz w:val="16"/>
              </w:rPr>
              <w:t>Relevance</w:t>
            </w:r>
          </w:p>
        </w:tc>
        <w:tc>
          <w:tcPr>
            <w:tcW w:type="dxa" w:w="7632"/>
            <w:tcMar>
              <w:top w:w="105" w:type="dxa"/>
              <w:start w:w="105" w:type="dxa"/>
              <w:bottom w:w="105" w:type="dxa"/>
              <w:end w:w="105" w:type="dxa"/>
            </w:tcMar>
            <w:vAlign w:val="center"/>
          </w:tcPr>
          <w:p>
            <w:pPr>
              <w:spacing w:after="0"/>
            </w:pPr>
            <w:r>
              <w:rPr>
                <w:rFonts w:ascii="Aptos" w:hAnsi="Aptos"/>
                <w:sz w:val="16"/>
              </w:rPr>
              <w:t>This is for organizations like mine and addresses a problem I recognize.</w:t>
            </w:r>
          </w:p>
        </w:tc>
      </w:tr>
      <w:tr>
        <w:tc>
          <w:tcPr>
            <w:tcW w:type="dxa" w:w="2160"/>
            <w:tcMar>
              <w:top w:w="105" w:type="dxa"/>
              <w:start w:w="105" w:type="dxa"/>
              <w:bottom w:w="105" w:type="dxa"/>
              <w:end w:w="105" w:type="dxa"/>
            </w:tcMar>
            <w:vAlign w:val="center"/>
          </w:tcPr>
          <w:p>
            <w:pPr>
              <w:spacing w:after="0"/>
            </w:pPr>
            <w:r>
              <w:rPr>
                <w:rFonts w:ascii="Aptos" w:hAnsi="Aptos"/>
                <w:sz w:val="16"/>
              </w:rPr>
              <w:t>Recognition</w:t>
            </w:r>
          </w:p>
        </w:tc>
        <w:tc>
          <w:tcPr>
            <w:tcW w:type="dxa" w:w="7632"/>
            <w:tcMar>
              <w:top w:w="105" w:type="dxa"/>
              <w:start w:w="105" w:type="dxa"/>
              <w:bottom w:w="105" w:type="dxa"/>
              <w:end w:w="105" w:type="dxa"/>
            </w:tcMar>
            <w:vAlign w:val="center"/>
          </w:tcPr>
          <w:p>
            <w:pPr>
              <w:spacing w:after="0"/>
            </w:pPr>
            <w:r>
              <w:rPr>
                <w:rFonts w:ascii="Aptos" w:hAnsi="Aptos"/>
                <w:sz w:val="16"/>
              </w:rPr>
              <w:t>Training only matters if people keep using what they learned.</w:t>
            </w:r>
          </w:p>
        </w:tc>
      </w:tr>
      <w:tr>
        <w:tc>
          <w:tcPr>
            <w:tcW w:type="dxa" w:w="2160"/>
            <w:tcMar>
              <w:top w:w="105" w:type="dxa"/>
              <w:start w:w="105" w:type="dxa"/>
              <w:bottom w:w="105" w:type="dxa"/>
              <w:end w:w="105" w:type="dxa"/>
            </w:tcMar>
            <w:vAlign w:val="center"/>
          </w:tcPr>
          <w:p>
            <w:pPr>
              <w:spacing w:after="0"/>
            </w:pPr>
            <w:r>
              <w:rPr>
                <w:rFonts w:ascii="Aptos" w:hAnsi="Aptos"/>
                <w:sz w:val="16"/>
              </w:rPr>
              <w:t>Approach</w:t>
            </w:r>
          </w:p>
        </w:tc>
        <w:tc>
          <w:tcPr>
            <w:tcW w:type="dxa" w:w="7632"/>
            <w:tcMar>
              <w:top w:w="105" w:type="dxa"/>
              <w:start w:w="105" w:type="dxa"/>
              <w:bottom w:w="105" w:type="dxa"/>
              <w:end w:w="105" w:type="dxa"/>
            </w:tcMar>
            <w:vAlign w:val="center"/>
          </w:tcPr>
          <w:p>
            <w:pPr>
              <w:spacing w:after="0"/>
            </w:pPr>
            <w:r>
              <w:rPr>
                <w:rFonts w:ascii="Aptos" w:hAnsi="Aptos"/>
                <w:sz w:val="16"/>
              </w:rPr>
              <w:t>NuVue reinforces application beyond the workshop.</w:t>
            </w:r>
          </w:p>
        </w:tc>
      </w:tr>
      <w:tr>
        <w:tc>
          <w:tcPr>
            <w:tcW w:type="dxa" w:w="2160"/>
            <w:tcMar>
              <w:top w:w="105" w:type="dxa"/>
              <w:start w:w="105" w:type="dxa"/>
              <w:bottom w:w="105" w:type="dxa"/>
              <w:end w:w="105" w:type="dxa"/>
            </w:tcMar>
            <w:vAlign w:val="center"/>
          </w:tcPr>
          <w:p>
            <w:pPr>
              <w:spacing w:after="0"/>
            </w:pPr>
            <w:r>
              <w:rPr>
                <w:rFonts w:ascii="Aptos" w:hAnsi="Aptos"/>
                <w:sz w:val="16"/>
              </w:rPr>
              <w:t>Breadth</w:t>
            </w:r>
          </w:p>
        </w:tc>
        <w:tc>
          <w:tcPr>
            <w:tcW w:type="dxa" w:w="7632"/>
            <w:tcMar>
              <w:top w:w="105" w:type="dxa"/>
              <w:start w:w="105" w:type="dxa"/>
              <w:bottom w:w="105" w:type="dxa"/>
              <w:end w:w="105" w:type="dxa"/>
            </w:tcMar>
            <w:vAlign w:val="center"/>
          </w:tcPr>
          <w:p>
            <w:pPr>
              <w:spacing w:after="0"/>
            </w:pPr>
            <w:r>
              <w:rPr>
                <w:rFonts w:ascii="Aptos" w:hAnsi="Aptos"/>
                <w:sz w:val="16"/>
              </w:rPr>
              <w:t>NuVue can support Sales Development, Leadership &amp; Executive Coaching, and Business Acumen.</w:t>
            </w:r>
          </w:p>
        </w:tc>
      </w:tr>
      <w:tr>
        <w:tc>
          <w:tcPr>
            <w:tcW w:type="dxa" w:w="2160"/>
            <w:tcMar>
              <w:top w:w="105" w:type="dxa"/>
              <w:start w:w="105" w:type="dxa"/>
              <w:bottom w:w="105" w:type="dxa"/>
              <w:end w:w="105" w:type="dxa"/>
            </w:tcMar>
            <w:vAlign w:val="center"/>
          </w:tcPr>
          <w:p>
            <w:pPr>
              <w:spacing w:after="0"/>
            </w:pPr>
            <w:r>
              <w:rPr>
                <w:rFonts w:ascii="Aptos" w:hAnsi="Aptos"/>
                <w:sz w:val="16"/>
              </w:rPr>
              <w:t>Proof</w:t>
            </w:r>
          </w:p>
        </w:tc>
        <w:tc>
          <w:tcPr>
            <w:tcW w:type="dxa" w:w="7632"/>
            <w:tcMar>
              <w:top w:w="105" w:type="dxa"/>
              <w:start w:w="105" w:type="dxa"/>
              <w:bottom w:w="105" w:type="dxa"/>
              <w:end w:w="105" w:type="dxa"/>
            </w:tcMar>
            <w:vAlign w:val="center"/>
          </w:tcPr>
          <w:p>
            <w:pPr>
              <w:spacing w:after="0"/>
            </w:pPr>
            <w:r>
              <w:rPr>
                <w:rFonts w:ascii="Aptos" w:hAnsi="Aptos"/>
                <w:sz w:val="16"/>
              </w:rPr>
              <w:t>There is real experience, evidence, and enterprise credibility behind the approach.</w:t>
            </w:r>
          </w:p>
        </w:tc>
      </w:tr>
      <w:tr>
        <w:tc>
          <w:tcPr>
            <w:tcW w:type="dxa" w:w="2160"/>
            <w:tcMar>
              <w:top w:w="105" w:type="dxa"/>
              <w:start w:w="105" w:type="dxa"/>
              <w:bottom w:w="105" w:type="dxa"/>
              <w:end w:w="105" w:type="dxa"/>
            </w:tcMar>
            <w:vAlign w:val="center"/>
          </w:tcPr>
          <w:p>
            <w:pPr>
              <w:spacing w:after="0"/>
            </w:pPr>
            <w:r>
              <w:rPr>
                <w:rFonts w:ascii="Aptos" w:hAnsi="Aptos"/>
                <w:sz w:val="16"/>
              </w:rPr>
              <w:t>Fit</w:t>
            </w:r>
          </w:p>
        </w:tc>
        <w:tc>
          <w:tcPr>
            <w:tcW w:type="dxa" w:w="7632"/>
            <w:tcMar>
              <w:top w:w="105" w:type="dxa"/>
              <w:start w:w="105" w:type="dxa"/>
              <w:bottom w:w="105" w:type="dxa"/>
              <w:end w:w="105" w:type="dxa"/>
            </w:tcMar>
            <w:vAlign w:val="center"/>
          </w:tcPr>
          <w:p>
            <w:pPr>
              <w:spacing w:after="0"/>
            </w:pPr>
            <w:r>
              <w:rPr>
                <w:rFonts w:ascii="Aptos" w:hAnsi="Aptos"/>
                <w:sz w:val="16"/>
              </w:rPr>
              <w:t>NuVue may be relevant to my team, industry, or current challenge.</w:t>
            </w:r>
          </w:p>
        </w:tc>
      </w:tr>
      <w:tr>
        <w:tc>
          <w:tcPr>
            <w:tcW w:type="dxa" w:w="2160"/>
            <w:tcMar>
              <w:top w:w="105" w:type="dxa"/>
              <w:start w:w="105" w:type="dxa"/>
              <w:bottom w:w="105" w:type="dxa"/>
              <w:end w:w="105" w:type="dxa"/>
            </w:tcMar>
            <w:vAlign w:val="center"/>
          </w:tcPr>
          <w:p>
            <w:pPr>
              <w:spacing w:after="0"/>
            </w:pPr>
            <w:r>
              <w:rPr>
                <w:rFonts w:ascii="Aptos" w:hAnsi="Aptos"/>
                <w:sz w:val="16"/>
              </w:rPr>
              <w:t>Next step</w:t>
            </w:r>
          </w:p>
        </w:tc>
        <w:tc>
          <w:tcPr>
            <w:tcW w:type="dxa" w:w="7632"/>
            <w:tcMar>
              <w:top w:w="105" w:type="dxa"/>
              <w:start w:w="105" w:type="dxa"/>
              <w:bottom w:w="105" w:type="dxa"/>
              <w:end w:w="105" w:type="dxa"/>
            </w:tcMar>
            <w:vAlign w:val="center"/>
          </w:tcPr>
          <w:p>
            <w:pPr>
              <w:spacing w:after="0"/>
            </w:pPr>
            <w:r>
              <w:rPr>
                <w:rFonts w:ascii="Aptos" w:hAnsi="Aptos"/>
                <w:sz w:val="16"/>
              </w:rPr>
              <w:t>I know what to do next based on how ready I am.</w:t>
            </w:r>
          </w:p>
        </w:tc>
      </w:tr>
    </w:tbl>
    <w:p/>
    <w:p>
      <w:pPr>
        <w:pStyle w:val="Heading1"/>
      </w:pPr>
      <w:r>
        <w:t>4. Messaging Hierarchy</w:t>
      </w:r>
    </w:p>
    <w:tbl>
      <w:tblPr>
        <w:tblStyle w:val="TableGrid"/>
        <w:tblW w:type="auto" w:w="0"/>
        <w:jc w:val="center"/>
        <w:tblLook w:firstColumn="1" w:firstRow="1" w:lastColumn="0" w:lastRow="0" w:noHBand="0" w:noVBand="1" w:val="04A0"/>
      </w:tblPr>
      <w:tblGrid>
        <w:gridCol w:w="3408"/>
        <w:gridCol w:w="3408"/>
        <w:gridCol w:w="3408"/>
      </w:tblGrid>
      <w:tr>
        <w:tc>
          <w:tcPr>
            <w:tcW w:type="dxa" w:w="1944"/>
            <w:shd w:fill="173B56"/>
            <w:tcMar>
              <w:top w:w="105" w:type="dxa"/>
              <w:start w:w="105" w:type="dxa"/>
              <w:bottom w:w="105" w:type="dxa"/>
              <w:end w:w="105" w:type="dxa"/>
            </w:tcMar>
            <w:vAlign w:val="center"/>
          </w:tcPr>
          <w:p>
            <w:r>
              <w:rPr>
                <w:b/>
                <w:color w:val="FFFFFF"/>
                <w:sz w:val="15"/>
              </w:rPr>
              <w:t>Level</w:t>
            </w:r>
          </w:p>
        </w:tc>
        <w:tc>
          <w:tcPr>
            <w:tcW w:type="dxa" w:w="3960"/>
            <w:shd w:fill="173B56"/>
            <w:tcMar>
              <w:top w:w="105" w:type="dxa"/>
              <w:start w:w="105" w:type="dxa"/>
              <w:bottom w:w="105" w:type="dxa"/>
              <w:end w:w="105" w:type="dxa"/>
            </w:tcMar>
            <w:vAlign w:val="center"/>
          </w:tcPr>
          <w:p>
            <w:r>
              <w:rPr>
                <w:b/>
                <w:color w:val="FFFFFF"/>
                <w:sz w:val="15"/>
              </w:rPr>
              <w:t>Message role</w:t>
            </w:r>
          </w:p>
        </w:tc>
        <w:tc>
          <w:tcPr>
            <w:tcW w:type="dxa" w:w="3888"/>
            <w:shd w:fill="173B56"/>
            <w:tcMar>
              <w:top w:w="105" w:type="dxa"/>
              <w:start w:w="105" w:type="dxa"/>
              <w:bottom w:w="105" w:type="dxa"/>
              <w:end w:w="105" w:type="dxa"/>
            </w:tcMar>
            <w:vAlign w:val="center"/>
          </w:tcPr>
          <w:p>
            <w:r>
              <w:rPr>
                <w:b/>
                <w:color w:val="FFFFFF"/>
                <w:sz w:val="15"/>
              </w:rPr>
              <w:t>Design implication</w:t>
            </w:r>
          </w:p>
        </w:tc>
      </w:tr>
      <w:tr>
        <w:tc>
          <w:tcPr>
            <w:tcW w:type="dxa" w:w="1944"/>
            <w:tcMar>
              <w:top w:w="105" w:type="dxa"/>
              <w:start w:w="105" w:type="dxa"/>
              <w:bottom w:w="105" w:type="dxa"/>
              <w:end w:w="105" w:type="dxa"/>
            </w:tcMar>
            <w:vAlign w:val="center"/>
          </w:tcPr>
          <w:p>
            <w:pPr>
              <w:spacing w:after="0"/>
            </w:pPr>
            <w:r>
              <w:rPr>
                <w:rFonts w:ascii="Aptos" w:hAnsi="Aptos"/>
                <w:sz w:val="15"/>
              </w:rPr>
              <w:t>Primary promise</w:t>
            </w:r>
          </w:p>
        </w:tc>
        <w:tc>
          <w:tcPr>
            <w:tcW w:type="dxa" w:w="3960"/>
            <w:tcMar>
              <w:top w:w="105" w:type="dxa"/>
              <w:start w:w="105" w:type="dxa"/>
              <w:bottom w:w="105" w:type="dxa"/>
              <w:end w:w="105" w:type="dxa"/>
            </w:tcMar>
            <w:vAlign w:val="center"/>
          </w:tcPr>
          <w:p>
            <w:pPr>
              <w:spacing w:after="0"/>
            </w:pPr>
            <w:r>
              <w:rPr>
                <w:rFonts w:ascii="Aptos" w:hAnsi="Aptos"/>
                <w:sz w:val="15"/>
              </w:rPr>
              <w:t>Build capability that lasts beyond the workshop.</w:t>
            </w:r>
          </w:p>
        </w:tc>
        <w:tc>
          <w:tcPr>
            <w:tcW w:type="dxa" w:w="3888"/>
            <w:tcMar>
              <w:top w:w="105" w:type="dxa"/>
              <w:start w:w="105" w:type="dxa"/>
              <w:bottom w:w="105" w:type="dxa"/>
              <w:end w:w="105" w:type="dxa"/>
            </w:tcMar>
            <w:vAlign w:val="center"/>
          </w:tcPr>
          <w:p>
            <w:pPr>
              <w:spacing w:after="0"/>
            </w:pPr>
            <w:r>
              <w:rPr>
                <w:rFonts w:ascii="Aptos" w:hAnsi="Aptos"/>
                <w:sz w:val="15"/>
              </w:rPr>
              <w:t>Hero must give this clear visual priority.</w:t>
            </w:r>
          </w:p>
        </w:tc>
      </w:tr>
      <w:tr>
        <w:tc>
          <w:tcPr>
            <w:tcW w:type="dxa" w:w="1944"/>
            <w:tcMar>
              <w:top w:w="105" w:type="dxa"/>
              <w:start w:w="105" w:type="dxa"/>
              <w:bottom w:w="105" w:type="dxa"/>
              <w:end w:w="105" w:type="dxa"/>
            </w:tcMar>
            <w:vAlign w:val="center"/>
          </w:tcPr>
          <w:p>
            <w:pPr>
              <w:spacing w:after="0"/>
            </w:pPr>
            <w:r>
              <w:rPr>
                <w:rFonts w:ascii="Aptos" w:hAnsi="Aptos"/>
                <w:sz w:val="15"/>
              </w:rPr>
              <w:t>Brand POV</w:t>
            </w:r>
          </w:p>
        </w:tc>
        <w:tc>
          <w:tcPr>
            <w:tcW w:type="dxa" w:w="3960"/>
            <w:tcMar>
              <w:top w:w="105" w:type="dxa"/>
              <w:start w:w="105" w:type="dxa"/>
              <w:bottom w:w="105" w:type="dxa"/>
              <w:end w:w="105" w:type="dxa"/>
            </w:tcMar>
            <w:vAlign w:val="center"/>
          </w:tcPr>
          <w:p>
            <w:pPr>
              <w:spacing w:after="0"/>
            </w:pPr>
            <w:r>
              <w:rPr>
                <w:rFonts w:ascii="Aptos" w:hAnsi="Aptos"/>
                <w:sz w:val="15"/>
              </w:rPr>
              <w:t>Training creates value when learning continues after the event.</w:t>
            </w:r>
          </w:p>
        </w:tc>
        <w:tc>
          <w:tcPr>
            <w:tcW w:type="dxa" w:w="3888"/>
            <w:tcMar>
              <w:top w:w="105" w:type="dxa"/>
              <w:start w:w="105" w:type="dxa"/>
              <w:bottom w:w="105" w:type="dxa"/>
              <w:end w:w="105" w:type="dxa"/>
            </w:tcMar>
            <w:vAlign w:val="center"/>
          </w:tcPr>
          <w:p>
            <w:pPr>
              <w:spacing w:after="0"/>
            </w:pPr>
            <w:r>
              <w:rPr>
                <w:rFonts w:ascii="Aptos" w:hAnsi="Aptos"/>
                <w:sz w:val="15"/>
              </w:rPr>
              <w:t>Give the POV enough space to feel meaningful, not buried as supporting text.</w:t>
            </w:r>
          </w:p>
        </w:tc>
      </w:tr>
      <w:tr>
        <w:tc>
          <w:tcPr>
            <w:tcW w:type="dxa" w:w="1944"/>
            <w:tcMar>
              <w:top w:w="105" w:type="dxa"/>
              <w:start w:w="105" w:type="dxa"/>
              <w:bottom w:w="105" w:type="dxa"/>
              <w:end w:w="105" w:type="dxa"/>
            </w:tcMar>
            <w:vAlign w:val="center"/>
          </w:tcPr>
          <w:p>
            <w:pPr>
              <w:spacing w:after="0"/>
            </w:pPr>
            <w:r>
              <w:rPr>
                <w:rFonts w:ascii="Aptos" w:hAnsi="Aptos"/>
                <w:sz w:val="15"/>
              </w:rPr>
              <w:t>Solution breadth</w:t>
            </w:r>
          </w:p>
        </w:tc>
        <w:tc>
          <w:tcPr>
            <w:tcW w:type="dxa" w:w="3960"/>
            <w:tcMar>
              <w:top w:w="105" w:type="dxa"/>
              <w:start w:w="105" w:type="dxa"/>
              <w:bottom w:w="105" w:type="dxa"/>
              <w:end w:w="105" w:type="dxa"/>
            </w:tcMar>
            <w:vAlign w:val="center"/>
          </w:tcPr>
          <w:p>
            <w:pPr>
              <w:spacing w:after="0"/>
            </w:pPr>
            <w:r>
              <w:rPr>
                <w:rFonts w:ascii="Aptos" w:hAnsi="Aptos"/>
                <w:sz w:val="15"/>
              </w:rPr>
              <w:t>Three pillars: Sales Development, Leadership &amp; Executive Coaching, Business Acumen.</w:t>
            </w:r>
          </w:p>
        </w:tc>
        <w:tc>
          <w:tcPr>
            <w:tcW w:type="dxa" w:w="3888"/>
            <w:tcMar>
              <w:top w:w="105" w:type="dxa"/>
              <w:start w:w="105" w:type="dxa"/>
              <w:bottom w:w="105" w:type="dxa"/>
              <w:end w:w="105" w:type="dxa"/>
            </w:tcMar>
            <w:vAlign w:val="center"/>
          </w:tcPr>
          <w:p>
            <w:pPr>
              <w:spacing w:after="0"/>
            </w:pPr>
            <w:r>
              <w:rPr>
                <w:rFonts w:ascii="Aptos" w:hAnsi="Aptos"/>
                <w:sz w:val="15"/>
              </w:rPr>
              <w:t>Present as a coherent system, not three unrelated service cards.</w:t>
            </w:r>
          </w:p>
        </w:tc>
      </w:tr>
      <w:tr>
        <w:tc>
          <w:tcPr>
            <w:tcW w:type="dxa" w:w="1944"/>
            <w:tcMar>
              <w:top w:w="105" w:type="dxa"/>
              <w:start w:w="105" w:type="dxa"/>
              <w:bottom w:w="105" w:type="dxa"/>
              <w:end w:w="105" w:type="dxa"/>
            </w:tcMar>
            <w:vAlign w:val="center"/>
          </w:tcPr>
          <w:p>
            <w:pPr>
              <w:spacing w:after="0"/>
            </w:pPr>
            <w:r>
              <w:rPr>
                <w:rFonts w:ascii="Aptos" w:hAnsi="Aptos"/>
                <w:sz w:val="15"/>
              </w:rPr>
              <w:t>Differentiation</w:t>
            </w:r>
          </w:p>
        </w:tc>
        <w:tc>
          <w:tcPr>
            <w:tcW w:type="dxa" w:w="3960"/>
            <w:tcMar>
              <w:top w:w="105" w:type="dxa"/>
              <w:start w:w="105" w:type="dxa"/>
              <w:bottom w:w="105" w:type="dxa"/>
              <w:end w:w="105" w:type="dxa"/>
            </w:tcMar>
            <w:vAlign w:val="center"/>
          </w:tcPr>
          <w:p>
            <w:pPr>
              <w:spacing w:after="0"/>
            </w:pPr>
            <w:r>
              <w:rPr>
                <w:rFonts w:ascii="Aptos" w:hAnsi="Aptos"/>
                <w:sz w:val="15"/>
              </w:rPr>
              <w:t>Reinforcement, coaching, measurable evaluation, industry relevance, enterprise proof, qualified guarantee.</w:t>
            </w:r>
          </w:p>
        </w:tc>
        <w:tc>
          <w:tcPr>
            <w:tcW w:type="dxa" w:w="3888"/>
            <w:tcMar>
              <w:top w:w="105" w:type="dxa"/>
              <w:start w:w="105" w:type="dxa"/>
              <w:bottom w:w="105" w:type="dxa"/>
              <w:end w:w="105" w:type="dxa"/>
            </w:tcMar>
            <w:vAlign w:val="center"/>
          </w:tcPr>
          <w:p>
            <w:pPr>
              <w:spacing w:after="0"/>
            </w:pPr>
            <w:r>
              <w:rPr>
                <w:rFonts w:ascii="Aptos" w:hAnsi="Aptos"/>
                <w:sz w:val="15"/>
              </w:rPr>
              <w:t>Use selective proof and visual hierarchy instead of a dense feature wall.</w:t>
            </w:r>
          </w:p>
        </w:tc>
      </w:tr>
      <w:tr>
        <w:tc>
          <w:tcPr>
            <w:tcW w:type="dxa" w:w="1944"/>
            <w:tcMar>
              <w:top w:w="105" w:type="dxa"/>
              <w:start w:w="105" w:type="dxa"/>
              <w:bottom w:w="105" w:type="dxa"/>
              <w:end w:w="105" w:type="dxa"/>
            </w:tcMar>
            <w:vAlign w:val="center"/>
          </w:tcPr>
          <w:p>
            <w:pPr>
              <w:spacing w:after="0"/>
            </w:pPr>
            <w:r>
              <w:rPr>
                <w:rFonts w:ascii="Aptos" w:hAnsi="Aptos"/>
                <w:sz w:val="15"/>
              </w:rPr>
              <w:t>Action</w:t>
            </w:r>
          </w:p>
        </w:tc>
        <w:tc>
          <w:tcPr>
            <w:tcW w:type="dxa" w:w="3960"/>
            <w:tcMar>
              <w:top w:w="105" w:type="dxa"/>
              <w:start w:w="105" w:type="dxa"/>
              <w:bottom w:w="105" w:type="dxa"/>
              <w:end w:w="105" w:type="dxa"/>
            </w:tcMar>
            <w:vAlign w:val="center"/>
          </w:tcPr>
          <w:p>
            <w:pPr>
              <w:spacing w:after="0"/>
            </w:pPr>
            <w:r>
              <w:rPr>
                <w:rFonts w:ascii="Aptos" w:hAnsi="Aptos"/>
                <w:sz w:val="15"/>
              </w:rPr>
              <w:t>Request Consultation / appropriate secondary path.</w:t>
            </w:r>
          </w:p>
        </w:tc>
        <w:tc>
          <w:tcPr>
            <w:tcW w:type="dxa" w:w="3888"/>
            <w:tcMar>
              <w:top w:w="105" w:type="dxa"/>
              <w:start w:w="105" w:type="dxa"/>
              <w:bottom w:w="105" w:type="dxa"/>
              <w:end w:w="105" w:type="dxa"/>
            </w:tcMar>
            <w:vAlign w:val="center"/>
          </w:tcPr>
          <w:p>
            <w:pPr>
              <w:spacing w:after="0"/>
            </w:pPr>
            <w:r>
              <w:rPr>
                <w:rFonts w:ascii="Aptos" w:hAnsi="Aptos"/>
                <w:sz w:val="15"/>
              </w:rPr>
              <w:t>Primary CTA clear, but secondary path remains visible.</w:t>
            </w:r>
          </w:p>
        </w:tc>
      </w:tr>
    </w:tbl>
    <w:p/>
    <w:p>
      <w:pPr>
        <w:pStyle w:val="Heading1"/>
      </w:pPr>
      <w:r>
        <w:t>5. Required Homepage Sections</w:t>
      </w:r>
    </w:p>
    <w:tbl>
      <w:tblPr>
        <w:tblStyle w:val="TableGrid"/>
        <w:tblW w:type="auto" w:w="0"/>
        <w:jc w:val="center"/>
        <w:tblLook w:firstColumn="1" w:firstRow="1" w:lastColumn="0" w:lastRow="0" w:noHBand="0" w:noVBand="1" w:val="04A0"/>
      </w:tblPr>
      <w:tblGrid>
        <w:gridCol w:w="3408"/>
        <w:gridCol w:w="3408"/>
        <w:gridCol w:w="3408"/>
      </w:tblGrid>
      <w:tr>
        <w:tc>
          <w:tcPr>
            <w:tcW w:type="dxa" w:w="1944"/>
            <w:shd w:fill="173B56"/>
            <w:tcMar>
              <w:top w:w="105" w:type="dxa"/>
              <w:start w:w="105" w:type="dxa"/>
              <w:bottom w:w="105" w:type="dxa"/>
              <w:end w:w="105" w:type="dxa"/>
            </w:tcMar>
            <w:vAlign w:val="center"/>
          </w:tcPr>
          <w:p>
            <w:r>
              <w:rPr>
                <w:b/>
                <w:color w:val="FFFFFF"/>
                <w:sz w:val="14"/>
              </w:rPr>
              <w:t>Section</w:t>
            </w:r>
          </w:p>
        </w:tc>
        <w:tc>
          <w:tcPr>
            <w:tcW w:type="dxa" w:w="3384"/>
            <w:shd w:fill="173B56"/>
            <w:tcMar>
              <w:top w:w="105" w:type="dxa"/>
              <w:start w:w="105" w:type="dxa"/>
              <w:bottom w:w="105" w:type="dxa"/>
              <w:end w:w="105" w:type="dxa"/>
            </w:tcMar>
            <w:vAlign w:val="center"/>
          </w:tcPr>
          <w:p>
            <w:r>
              <w:rPr>
                <w:b/>
                <w:color w:val="FFFFFF"/>
                <w:sz w:val="14"/>
              </w:rPr>
              <w:t>Strategic role</w:t>
            </w:r>
          </w:p>
        </w:tc>
        <w:tc>
          <w:tcPr>
            <w:tcW w:type="dxa" w:w="4464"/>
            <w:shd w:fill="173B56"/>
            <w:tcMar>
              <w:top w:w="105" w:type="dxa"/>
              <w:start w:w="105" w:type="dxa"/>
              <w:bottom w:w="105" w:type="dxa"/>
              <w:end w:w="105" w:type="dxa"/>
            </w:tcMar>
            <w:vAlign w:val="center"/>
          </w:tcPr>
          <w:p>
            <w:r>
              <w:rPr>
                <w:b/>
                <w:color w:val="FFFFFF"/>
                <w:sz w:val="14"/>
              </w:rPr>
              <w:t>Design requirement</w:t>
            </w:r>
          </w:p>
        </w:tc>
      </w:tr>
      <w:tr>
        <w:tc>
          <w:tcPr>
            <w:tcW w:type="dxa" w:w="1944"/>
            <w:tcMar>
              <w:top w:w="105" w:type="dxa"/>
              <w:start w:w="105" w:type="dxa"/>
              <w:bottom w:w="105" w:type="dxa"/>
              <w:end w:w="105" w:type="dxa"/>
            </w:tcMar>
            <w:vAlign w:val="center"/>
          </w:tcPr>
          <w:p>
            <w:pPr>
              <w:spacing w:after="0"/>
            </w:pPr>
            <w:r>
              <w:rPr>
                <w:rFonts w:ascii="Aptos" w:hAnsi="Aptos"/>
                <w:sz w:val="14"/>
              </w:rPr>
              <w:t>Navigation</w:t>
            </w:r>
          </w:p>
        </w:tc>
        <w:tc>
          <w:tcPr>
            <w:tcW w:type="dxa" w:w="3384"/>
            <w:tcMar>
              <w:top w:w="105" w:type="dxa"/>
              <w:start w:w="105" w:type="dxa"/>
              <w:bottom w:w="105" w:type="dxa"/>
              <w:end w:w="105" w:type="dxa"/>
            </w:tcMar>
            <w:vAlign w:val="center"/>
          </w:tcPr>
          <w:p>
            <w:pPr>
              <w:spacing w:after="0"/>
            </w:pPr>
            <w:r>
              <w:rPr>
                <w:rFonts w:ascii="Aptos" w:hAnsi="Aptos"/>
                <w:sz w:val="14"/>
              </w:rPr>
              <w:t>Route by audience and access deeper content.</w:t>
            </w:r>
          </w:p>
        </w:tc>
        <w:tc>
          <w:tcPr>
            <w:tcW w:type="dxa" w:w="4464"/>
            <w:tcMar>
              <w:top w:w="105" w:type="dxa"/>
              <w:start w:w="105" w:type="dxa"/>
              <w:bottom w:w="105" w:type="dxa"/>
              <w:end w:w="105" w:type="dxa"/>
            </w:tcMar>
            <w:vAlign w:val="center"/>
          </w:tcPr>
          <w:p>
            <w:pPr>
              <w:spacing w:after="0"/>
            </w:pPr>
            <w:r>
              <w:rPr>
                <w:rFonts w:ascii="Aptos" w:hAnsi="Aptos"/>
                <w:sz w:val="14"/>
              </w:rPr>
              <w:t>Make For My Team / For Myself visibly understandable. Do not overload the header.</w:t>
            </w:r>
          </w:p>
        </w:tc>
      </w:tr>
      <w:tr>
        <w:tc>
          <w:tcPr>
            <w:tcW w:type="dxa" w:w="1944"/>
            <w:tcMar>
              <w:top w:w="105" w:type="dxa"/>
              <w:start w:w="105" w:type="dxa"/>
              <w:bottom w:w="105" w:type="dxa"/>
              <w:end w:w="105" w:type="dxa"/>
            </w:tcMar>
            <w:vAlign w:val="center"/>
          </w:tcPr>
          <w:p>
            <w:pPr>
              <w:spacing w:after="0"/>
            </w:pPr>
            <w:r>
              <w:rPr>
                <w:rFonts w:ascii="Aptos" w:hAnsi="Aptos"/>
                <w:sz w:val="14"/>
              </w:rPr>
              <w:t>Hero</w:t>
            </w:r>
          </w:p>
        </w:tc>
        <w:tc>
          <w:tcPr>
            <w:tcW w:type="dxa" w:w="3384"/>
            <w:tcMar>
              <w:top w:w="105" w:type="dxa"/>
              <w:start w:w="105" w:type="dxa"/>
              <w:bottom w:w="105" w:type="dxa"/>
              <w:end w:w="105" w:type="dxa"/>
            </w:tcMar>
            <w:vAlign w:val="center"/>
          </w:tcPr>
          <w:p>
            <w:pPr>
              <w:spacing w:after="0"/>
            </w:pPr>
            <w:r>
              <w:rPr>
                <w:rFonts w:ascii="Aptos" w:hAnsi="Aptos"/>
                <w:sz w:val="14"/>
              </w:rPr>
              <w:t>Establish relevance, value, and primary action.</w:t>
            </w:r>
          </w:p>
        </w:tc>
        <w:tc>
          <w:tcPr>
            <w:tcW w:type="dxa" w:w="4464"/>
            <w:tcMar>
              <w:top w:w="105" w:type="dxa"/>
              <w:start w:w="105" w:type="dxa"/>
              <w:bottom w:w="105" w:type="dxa"/>
              <w:end w:w="105" w:type="dxa"/>
            </w:tcMar>
            <w:vAlign w:val="center"/>
          </w:tcPr>
          <w:p>
            <w:pPr>
              <w:spacing w:after="0"/>
            </w:pPr>
            <w:r>
              <w:rPr>
                <w:rFonts w:ascii="Aptos" w:hAnsi="Aptos"/>
                <w:sz w:val="14"/>
              </w:rPr>
              <w:t>Strong corporate-first hierarchy with visible secondary route.</w:t>
            </w:r>
          </w:p>
        </w:tc>
      </w:tr>
      <w:tr>
        <w:tc>
          <w:tcPr>
            <w:tcW w:type="dxa" w:w="1944"/>
            <w:tcMar>
              <w:top w:w="105" w:type="dxa"/>
              <w:start w:w="105" w:type="dxa"/>
              <w:bottom w:w="105" w:type="dxa"/>
              <w:end w:w="105" w:type="dxa"/>
            </w:tcMar>
            <w:vAlign w:val="center"/>
          </w:tcPr>
          <w:p>
            <w:pPr>
              <w:spacing w:after="0"/>
            </w:pPr>
            <w:r>
              <w:rPr>
                <w:rFonts w:ascii="Aptos" w:hAnsi="Aptos"/>
                <w:sz w:val="14"/>
              </w:rPr>
              <w:t>Credibility bar</w:t>
            </w:r>
          </w:p>
        </w:tc>
        <w:tc>
          <w:tcPr>
            <w:tcW w:type="dxa" w:w="3384"/>
            <w:tcMar>
              <w:top w:w="105" w:type="dxa"/>
              <w:start w:w="105" w:type="dxa"/>
              <w:bottom w:w="105" w:type="dxa"/>
              <w:end w:w="105" w:type="dxa"/>
            </w:tcMar>
            <w:vAlign w:val="center"/>
          </w:tcPr>
          <w:p>
            <w:pPr>
              <w:spacing w:after="0"/>
            </w:pPr>
            <w:r>
              <w:rPr>
                <w:rFonts w:ascii="Aptos" w:hAnsi="Aptos"/>
                <w:sz w:val="14"/>
              </w:rPr>
              <w:t>Reduce early uncertainty.</w:t>
            </w:r>
          </w:p>
        </w:tc>
        <w:tc>
          <w:tcPr>
            <w:tcW w:type="dxa" w:w="4464"/>
            <w:tcMar>
              <w:top w:w="105" w:type="dxa"/>
              <w:start w:w="105" w:type="dxa"/>
              <w:bottom w:w="105" w:type="dxa"/>
              <w:end w:w="105" w:type="dxa"/>
            </w:tcMar>
            <w:vAlign w:val="center"/>
          </w:tcPr>
          <w:p>
            <w:pPr>
              <w:spacing w:after="0"/>
            </w:pPr>
            <w:r>
              <w:rPr>
                <w:rFonts w:ascii="Aptos" w:hAnsi="Aptos"/>
                <w:sz w:val="14"/>
              </w:rPr>
              <w:t>Compact proof treatment using only approved claims / logos.</w:t>
            </w:r>
          </w:p>
        </w:tc>
      </w:tr>
      <w:tr>
        <w:tc>
          <w:tcPr>
            <w:tcW w:type="dxa" w:w="1944"/>
            <w:tcMar>
              <w:top w:w="105" w:type="dxa"/>
              <w:start w:w="105" w:type="dxa"/>
              <w:bottom w:w="105" w:type="dxa"/>
              <w:end w:w="105" w:type="dxa"/>
            </w:tcMar>
            <w:vAlign w:val="center"/>
          </w:tcPr>
          <w:p>
            <w:pPr>
              <w:spacing w:after="0"/>
            </w:pPr>
            <w:r>
              <w:rPr>
                <w:rFonts w:ascii="Aptos" w:hAnsi="Aptos"/>
                <w:sz w:val="14"/>
              </w:rPr>
              <w:t>Problem / POV</w:t>
            </w:r>
          </w:p>
        </w:tc>
        <w:tc>
          <w:tcPr>
            <w:tcW w:type="dxa" w:w="3384"/>
            <w:tcMar>
              <w:top w:w="105" w:type="dxa"/>
              <w:start w:w="105" w:type="dxa"/>
              <w:bottom w:w="105" w:type="dxa"/>
              <w:end w:w="105" w:type="dxa"/>
            </w:tcMar>
            <w:vAlign w:val="center"/>
          </w:tcPr>
          <w:p>
            <w:pPr>
              <w:spacing w:after="0"/>
            </w:pPr>
            <w:r>
              <w:rPr>
                <w:rFonts w:ascii="Aptos" w:hAnsi="Aptos"/>
                <w:sz w:val="14"/>
              </w:rPr>
              <w:t>Create recognition and explain the underlying belief.</w:t>
            </w:r>
          </w:p>
        </w:tc>
        <w:tc>
          <w:tcPr>
            <w:tcW w:type="dxa" w:w="4464"/>
            <w:tcMar>
              <w:top w:w="105" w:type="dxa"/>
              <w:start w:w="105" w:type="dxa"/>
              <w:bottom w:w="105" w:type="dxa"/>
              <w:end w:w="105" w:type="dxa"/>
            </w:tcMar>
            <w:vAlign w:val="center"/>
          </w:tcPr>
          <w:p>
            <w:pPr>
              <w:spacing w:after="0"/>
            </w:pPr>
            <w:r>
              <w:rPr>
                <w:rFonts w:ascii="Aptos" w:hAnsi="Aptos"/>
                <w:sz w:val="14"/>
              </w:rPr>
              <w:t>Visually distinct thought section, not another generic feature band.</w:t>
            </w:r>
          </w:p>
        </w:tc>
      </w:tr>
      <w:tr>
        <w:tc>
          <w:tcPr>
            <w:tcW w:type="dxa" w:w="1944"/>
            <w:tcMar>
              <w:top w:w="105" w:type="dxa"/>
              <w:start w:w="105" w:type="dxa"/>
              <w:bottom w:w="105" w:type="dxa"/>
              <w:end w:w="105" w:type="dxa"/>
            </w:tcMar>
            <w:vAlign w:val="center"/>
          </w:tcPr>
          <w:p>
            <w:pPr>
              <w:spacing w:after="0"/>
            </w:pPr>
            <w:r>
              <w:rPr>
                <w:rFonts w:ascii="Aptos" w:hAnsi="Aptos"/>
                <w:sz w:val="14"/>
              </w:rPr>
              <w:t>Three pillars</w:t>
            </w:r>
          </w:p>
        </w:tc>
        <w:tc>
          <w:tcPr>
            <w:tcW w:type="dxa" w:w="3384"/>
            <w:tcMar>
              <w:top w:w="105" w:type="dxa"/>
              <w:start w:w="105" w:type="dxa"/>
              <w:bottom w:w="105" w:type="dxa"/>
              <w:end w:w="105" w:type="dxa"/>
            </w:tcMar>
            <w:vAlign w:val="center"/>
          </w:tcPr>
          <w:p>
            <w:pPr>
              <w:spacing w:after="0"/>
            </w:pPr>
            <w:r>
              <w:rPr>
                <w:rFonts w:ascii="Aptos" w:hAnsi="Aptos"/>
                <w:sz w:val="14"/>
              </w:rPr>
              <w:t>Make breadth understandable.</w:t>
            </w:r>
          </w:p>
        </w:tc>
        <w:tc>
          <w:tcPr>
            <w:tcW w:type="dxa" w:w="4464"/>
            <w:tcMar>
              <w:top w:w="105" w:type="dxa"/>
              <w:start w:w="105" w:type="dxa"/>
              <w:bottom w:w="105" w:type="dxa"/>
              <w:end w:w="105" w:type="dxa"/>
            </w:tcMar>
            <w:vAlign w:val="center"/>
          </w:tcPr>
          <w:p>
            <w:pPr>
              <w:spacing w:after="0"/>
            </w:pPr>
            <w:r>
              <w:rPr>
                <w:rFonts w:ascii="Aptos" w:hAnsi="Aptos"/>
                <w:sz w:val="14"/>
              </w:rPr>
              <w:t>Show relationship among the three pillars while preserving individual click paths.</w:t>
            </w:r>
          </w:p>
        </w:tc>
      </w:tr>
      <w:tr>
        <w:tc>
          <w:tcPr>
            <w:tcW w:type="dxa" w:w="1944"/>
            <w:tcMar>
              <w:top w:w="105" w:type="dxa"/>
              <w:start w:w="105" w:type="dxa"/>
              <w:bottom w:w="105" w:type="dxa"/>
              <w:end w:w="105" w:type="dxa"/>
            </w:tcMar>
            <w:vAlign w:val="center"/>
          </w:tcPr>
          <w:p>
            <w:pPr>
              <w:spacing w:after="0"/>
            </w:pPr>
            <w:r>
              <w:rPr>
                <w:rFonts w:ascii="Aptos" w:hAnsi="Aptos"/>
                <w:sz w:val="14"/>
              </w:rPr>
              <w:t>How NuVue works</w:t>
            </w:r>
          </w:p>
        </w:tc>
        <w:tc>
          <w:tcPr>
            <w:tcW w:type="dxa" w:w="3384"/>
            <w:tcMar>
              <w:top w:w="105" w:type="dxa"/>
              <w:start w:w="105" w:type="dxa"/>
              <w:bottom w:w="105" w:type="dxa"/>
              <w:end w:w="105" w:type="dxa"/>
            </w:tcMar>
            <w:vAlign w:val="center"/>
          </w:tcPr>
          <w:p>
            <w:pPr>
              <w:spacing w:after="0"/>
            </w:pPr>
            <w:r>
              <w:rPr>
                <w:rFonts w:ascii="Aptos" w:hAnsi="Aptos"/>
                <w:sz w:val="14"/>
              </w:rPr>
              <w:t>Reduce process ambiguity.</w:t>
            </w:r>
          </w:p>
        </w:tc>
        <w:tc>
          <w:tcPr>
            <w:tcW w:type="dxa" w:w="4464"/>
            <w:tcMar>
              <w:top w:w="105" w:type="dxa"/>
              <w:start w:w="105" w:type="dxa"/>
              <w:bottom w:w="105" w:type="dxa"/>
              <w:end w:w="105" w:type="dxa"/>
            </w:tcMar>
            <w:vAlign w:val="center"/>
          </w:tcPr>
          <w:p>
            <w:pPr>
              <w:spacing w:after="0"/>
            </w:pPr>
            <w:r>
              <w:rPr>
                <w:rFonts w:ascii="Aptos" w:hAnsi="Aptos"/>
                <w:sz w:val="14"/>
              </w:rPr>
              <w:t>Use a clear progression that communicates learning journey, reinforcement, and evaluation.</w:t>
            </w:r>
          </w:p>
        </w:tc>
      </w:tr>
      <w:tr>
        <w:tc>
          <w:tcPr>
            <w:tcW w:type="dxa" w:w="1944"/>
            <w:tcMar>
              <w:top w:w="105" w:type="dxa"/>
              <w:start w:w="105" w:type="dxa"/>
              <w:bottom w:w="105" w:type="dxa"/>
              <w:end w:w="105" w:type="dxa"/>
            </w:tcMar>
            <w:vAlign w:val="center"/>
          </w:tcPr>
          <w:p>
            <w:pPr>
              <w:spacing w:after="0"/>
            </w:pPr>
            <w:r>
              <w:rPr>
                <w:rFonts w:ascii="Aptos" w:hAnsi="Aptos"/>
                <w:sz w:val="14"/>
              </w:rPr>
              <w:t>Proof / results</w:t>
            </w:r>
          </w:p>
        </w:tc>
        <w:tc>
          <w:tcPr>
            <w:tcW w:type="dxa" w:w="3384"/>
            <w:tcMar>
              <w:top w:w="105" w:type="dxa"/>
              <w:start w:w="105" w:type="dxa"/>
              <w:bottom w:w="105" w:type="dxa"/>
              <w:end w:w="105" w:type="dxa"/>
            </w:tcMar>
            <w:vAlign w:val="center"/>
          </w:tcPr>
          <w:p>
            <w:pPr>
              <w:spacing w:after="0"/>
            </w:pPr>
            <w:r>
              <w:rPr>
                <w:rFonts w:ascii="Aptos" w:hAnsi="Aptos"/>
                <w:sz w:val="14"/>
              </w:rPr>
              <w:t>Support provider evaluation.</w:t>
            </w:r>
          </w:p>
        </w:tc>
        <w:tc>
          <w:tcPr>
            <w:tcW w:type="dxa" w:w="4464"/>
            <w:tcMar>
              <w:top w:w="105" w:type="dxa"/>
              <w:start w:w="105" w:type="dxa"/>
              <w:bottom w:w="105" w:type="dxa"/>
              <w:end w:w="105" w:type="dxa"/>
            </w:tcMar>
            <w:vAlign w:val="center"/>
          </w:tcPr>
          <w:p>
            <w:pPr>
              <w:spacing w:after="0"/>
            </w:pPr>
            <w:r>
              <w:rPr>
                <w:rFonts w:ascii="Aptos" w:hAnsi="Aptos"/>
                <w:sz w:val="14"/>
              </w:rPr>
              <w:t>Case evidence / results should feel credible and specific, not decorative.</w:t>
            </w:r>
          </w:p>
        </w:tc>
      </w:tr>
      <w:tr>
        <w:tc>
          <w:tcPr>
            <w:tcW w:type="dxa" w:w="1944"/>
            <w:tcMar>
              <w:top w:w="105" w:type="dxa"/>
              <w:start w:w="105" w:type="dxa"/>
              <w:bottom w:w="105" w:type="dxa"/>
              <w:end w:w="105" w:type="dxa"/>
            </w:tcMar>
            <w:vAlign w:val="center"/>
          </w:tcPr>
          <w:p>
            <w:pPr>
              <w:spacing w:after="0"/>
            </w:pPr>
            <w:r>
              <w:rPr>
                <w:rFonts w:ascii="Aptos" w:hAnsi="Aptos"/>
                <w:sz w:val="14"/>
              </w:rPr>
              <w:t>Guarantee teaser</w:t>
            </w:r>
          </w:p>
        </w:tc>
        <w:tc>
          <w:tcPr>
            <w:tcW w:type="dxa" w:w="3384"/>
            <w:tcMar>
              <w:top w:w="105" w:type="dxa"/>
              <w:start w:w="105" w:type="dxa"/>
              <w:bottom w:w="105" w:type="dxa"/>
              <w:end w:w="105" w:type="dxa"/>
            </w:tcMar>
            <w:vAlign w:val="center"/>
          </w:tcPr>
          <w:p>
            <w:pPr>
              <w:spacing w:after="0"/>
            </w:pPr>
            <w:r>
              <w:rPr>
                <w:rFonts w:ascii="Aptos" w:hAnsi="Aptos"/>
                <w:sz w:val="14"/>
              </w:rPr>
              <w:t>Introduce enterprise risk reduction.</w:t>
            </w:r>
          </w:p>
        </w:tc>
        <w:tc>
          <w:tcPr>
            <w:tcW w:type="dxa" w:w="4464"/>
            <w:tcMar>
              <w:top w:w="105" w:type="dxa"/>
              <w:start w:w="105" w:type="dxa"/>
              <w:bottom w:w="105" w:type="dxa"/>
              <w:end w:w="105" w:type="dxa"/>
            </w:tcMar>
            <w:vAlign w:val="center"/>
          </w:tcPr>
          <w:p>
            <w:pPr>
              <w:spacing w:after="0"/>
            </w:pPr>
            <w:r>
              <w:rPr>
                <w:rFonts w:ascii="Aptos" w:hAnsi="Aptos"/>
                <w:sz w:val="14"/>
              </w:rPr>
              <w:t>Make it feel qualified and selective, not like a universal promotional banner.</w:t>
            </w:r>
          </w:p>
        </w:tc>
      </w:tr>
      <w:tr>
        <w:tc>
          <w:tcPr>
            <w:tcW w:type="dxa" w:w="1944"/>
            <w:tcMar>
              <w:top w:w="105" w:type="dxa"/>
              <w:start w:w="105" w:type="dxa"/>
              <w:bottom w:w="105" w:type="dxa"/>
              <w:end w:w="105" w:type="dxa"/>
            </w:tcMar>
            <w:vAlign w:val="center"/>
          </w:tcPr>
          <w:p>
            <w:pPr>
              <w:spacing w:after="0"/>
            </w:pPr>
            <w:r>
              <w:rPr>
                <w:rFonts w:ascii="Aptos" w:hAnsi="Aptos"/>
                <w:sz w:val="14"/>
              </w:rPr>
              <w:t>Industry relevance</w:t>
            </w:r>
          </w:p>
        </w:tc>
        <w:tc>
          <w:tcPr>
            <w:tcW w:type="dxa" w:w="3384"/>
            <w:tcMar>
              <w:top w:w="105" w:type="dxa"/>
              <w:start w:w="105" w:type="dxa"/>
              <w:bottom w:w="105" w:type="dxa"/>
              <w:end w:w="105" w:type="dxa"/>
            </w:tcMar>
            <w:vAlign w:val="center"/>
          </w:tcPr>
          <w:p>
            <w:pPr>
              <w:spacing w:after="0"/>
            </w:pPr>
            <w:r>
              <w:rPr>
                <w:rFonts w:ascii="Aptos" w:hAnsi="Aptos"/>
                <w:sz w:val="14"/>
              </w:rPr>
              <w:t>Demonstrate category context.</w:t>
            </w:r>
          </w:p>
        </w:tc>
        <w:tc>
          <w:tcPr>
            <w:tcW w:type="dxa" w:w="4464"/>
            <w:tcMar>
              <w:top w:w="105" w:type="dxa"/>
              <w:start w:w="105" w:type="dxa"/>
              <w:bottom w:w="105" w:type="dxa"/>
              <w:end w:w="105" w:type="dxa"/>
            </w:tcMar>
            <w:vAlign w:val="center"/>
          </w:tcPr>
          <w:p>
            <w:pPr>
              <w:spacing w:after="0"/>
            </w:pPr>
            <w:r>
              <w:rPr>
                <w:rFonts w:ascii="Aptos" w:hAnsi="Aptos"/>
                <w:sz w:val="14"/>
              </w:rPr>
              <w:t>Use industry specificity where approved; avoid generic stock imagery.</w:t>
            </w:r>
          </w:p>
        </w:tc>
      </w:tr>
      <w:tr>
        <w:tc>
          <w:tcPr>
            <w:tcW w:type="dxa" w:w="1944"/>
            <w:tcMar>
              <w:top w:w="105" w:type="dxa"/>
              <w:start w:w="105" w:type="dxa"/>
              <w:bottom w:w="105" w:type="dxa"/>
              <w:end w:w="105" w:type="dxa"/>
            </w:tcMar>
            <w:vAlign w:val="center"/>
          </w:tcPr>
          <w:p>
            <w:pPr>
              <w:spacing w:after="0"/>
            </w:pPr>
            <w:r>
              <w:rPr>
                <w:rFonts w:ascii="Aptos" w:hAnsi="Aptos"/>
                <w:sz w:val="14"/>
              </w:rPr>
              <w:t>Secondary conversion</w:t>
            </w:r>
          </w:p>
        </w:tc>
        <w:tc>
          <w:tcPr>
            <w:tcW w:type="dxa" w:w="3384"/>
            <w:tcMar>
              <w:top w:w="105" w:type="dxa"/>
              <w:start w:w="105" w:type="dxa"/>
              <w:bottom w:w="105" w:type="dxa"/>
              <w:end w:w="105" w:type="dxa"/>
            </w:tcMar>
            <w:vAlign w:val="center"/>
          </w:tcPr>
          <w:p>
            <w:pPr>
              <w:spacing w:after="0"/>
            </w:pPr>
            <w:r>
              <w:rPr>
                <w:rFonts w:ascii="Aptos" w:hAnsi="Aptos"/>
                <w:sz w:val="14"/>
              </w:rPr>
              <w:t>Serve visitors not ready for consultation.</w:t>
            </w:r>
          </w:p>
        </w:tc>
        <w:tc>
          <w:tcPr>
            <w:tcW w:type="dxa" w:w="4464"/>
            <w:tcMar>
              <w:top w:w="105" w:type="dxa"/>
              <w:start w:w="105" w:type="dxa"/>
              <w:bottom w:w="105" w:type="dxa"/>
              <w:end w:w="105" w:type="dxa"/>
            </w:tcMar>
            <w:vAlign w:val="center"/>
          </w:tcPr>
          <w:p>
            <w:pPr>
              <w:spacing w:after="0"/>
            </w:pPr>
            <w:r>
              <w:rPr>
                <w:rFonts w:ascii="Aptos" w:hAnsi="Aptos"/>
                <w:sz w:val="14"/>
              </w:rPr>
              <w:t>Make assessment feel like a real next step, not a weak fallback CTA.</w:t>
            </w:r>
          </w:p>
        </w:tc>
      </w:tr>
      <w:tr>
        <w:tc>
          <w:tcPr>
            <w:tcW w:type="dxa" w:w="1944"/>
            <w:tcMar>
              <w:top w:w="105" w:type="dxa"/>
              <w:start w:w="105" w:type="dxa"/>
              <w:bottom w:w="105" w:type="dxa"/>
              <w:end w:w="105" w:type="dxa"/>
            </w:tcMar>
            <w:vAlign w:val="center"/>
          </w:tcPr>
          <w:p>
            <w:pPr>
              <w:spacing w:after="0"/>
            </w:pPr>
            <w:r>
              <w:rPr>
                <w:rFonts w:ascii="Aptos" w:hAnsi="Aptos"/>
                <w:sz w:val="14"/>
              </w:rPr>
              <w:t>Insights</w:t>
            </w:r>
          </w:p>
        </w:tc>
        <w:tc>
          <w:tcPr>
            <w:tcW w:type="dxa" w:w="3384"/>
            <w:tcMar>
              <w:top w:w="105" w:type="dxa"/>
              <w:start w:w="105" w:type="dxa"/>
              <w:bottom w:w="105" w:type="dxa"/>
              <w:end w:w="105" w:type="dxa"/>
            </w:tcMar>
            <w:vAlign w:val="center"/>
          </w:tcPr>
          <w:p>
            <w:pPr>
              <w:spacing w:after="0"/>
            </w:pPr>
            <w:r>
              <w:rPr>
                <w:rFonts w:ascii="Aptos" w:hAnsi="Aptos"/>
                <w:sz w:val="14"/>
              </w:rPr>
              <w:t>Support authority and discovery.</w:t>
            </w:r>
          </w:p>
        </w:tc>
        <w:tc>
          <w:tcPr>
            <w:tcW w:type="dxa" w:w="4464"/>
            <w:tcMar>
              <w:top w:w="105" w:type="dxa"/>
              <w:start w:w="105" w:type="dxa"/>
              <w:bottom w:w="105" w:type="dxa"/>
              <w:end w:w="105" w:type="dxa"/>
            </w:tcMar>
            <w:vAlign w:val="center"/>
          </w:tcPr>
          <w:p>
            <w:pPr>
              <w:spacing w:after="0"/>
            </w:pPr>
            <w:r>
              <w:rPr>
                <w:rFonts w:ascii="Aptos" w:hAnsi="Aptos"/>
                <w:sz w:val="14"/>
              </w:rPr>
              <w:t>Feature useful content selectively. Do not create a generic blog grid.</w:t>
            </w:r>
          </w:p>
        </w:tc>
      </w:tr>
      <w:tr>
        <w:tc>
          <w:tcPr>
            <w:tcW w:type="dxa" w:w="1944"/>
            <w:tcMar>
              <w:top w:w="105" w:type="dxa"/>
              <w:start w:w="105" w:type="dxa"/>
              <w:bottom w:w="105" w:type="dxa"/>
              <w:end w:w="105" w:type="dxa"/>
            </w:tcMar>
            <w:vAlign w:val="center"/>
          </w:tcPr>
          <w:p>
            <w:pPr>
              <w:spacing w:after="0"/>
            </w:pPr>
            <w:r>
              <w:rPr>
                <w:rFonts w:ascii="Aptos" w:hAnsi="Aptos"/>
                <w:sz w:val="14"/>
              </w:rPr>
              <w:t>Final CTA</w:t>
            </w:r>
          </w:p>
        </w:tc>
        <w:tc>
          <w:tcPr>
            <w:tcW w:type="dxa" w:w="3384"/>
            <w:tcMar>
              <w:top w:w="105" w:type="dxa"/>
              <w:start w:w="105" w:type="dxa"/>
              <w:bottom w:w="105" w:type="dxa"/>
              <w:end w:w="105" w:type="dxa"/>
            </w:tcMar>
            <w:vAlign w:val="center"/>
          </w:tcPr>
          <w:p>
            <w:pPr>
              <w:spacing w:after="0"/>
            </w:pPr>
            <w:r>
              <w:rPr>
                <w:rFonts w:ascii="Aptos" w:hAnsi="Aptos"/>
                <w:sz w:val="14"/>
              </w:rPr>
              <w:t>Make action simple.</w:t>
            </w:r>
          </w:p>
        </w:tc>
        <w:tc>
          <w:tcPr>
            <w:tcW w:type="dxa" w:w="4464"/>
            <w:tcMar>
              <w:top w:w="105" w:type="dxa"/>
              <w:start w:w="105" w:type="dxa"/>
              <w:bottom w:w="105" w:type="dxa"/>
              <w:end w:w="105" w:type="dxa"/>
            </w:tcMar>
            <w:vAlign w:val="center"/>
          </w:tcPr>
          <w:p>
            <w:pPr>
              <w:spacing w:after="0"/>
            </w:pPr>
            <w:r>
              <w:rPr>
                <w:rFonts w:ascii="Aptos" w:hAnsi="Aptos"/>
                <w:sz w:val="14"/>
              </w:rPr>
              <w:t>Clear close with enough context to feel consultative, not pushy.</w:t>
            </w:r>
          </w:p>
        </w:tc>
      </w:tr>
    </w:tbl>
    <w:p/>
    <w:p>
      <w:pPr>
        <w:pStyle w:val="Heading1"/>
      </w:pPr>
      <w:r>
        <w:t>6. Buyer Intent &amp; CTA Behavior</w:t>
      </w:r>
    </w:p>
    <w:tbl>
      <w:tblPr>
        <w:tblStyle w:val="TableGrid"/>
        <w:tblW w:type="auto" w:w="0"/>
        <w:jc w:val="center"/>
        <w:tblLook w:firstColumn="1" w:firstRow="1" w:lastColumn="0" w:lastRow="0" w:noHBand="0" w:noVBand="1" w:val="04A0"/>
      </w:tblPr>
      <w:tblGrid>
        <w:gridCol w:w="3408"/>
        <w:gridCol w:w="3408"/>
        <w:gridCol w:w="3408"/>
      </w:tblGrid>
      <w:tr>
        <w:tc>
          <w:tcPr>
            <w:tcW w:type="dxa" w:w="1872"/>
            <w:shd w:fill="173B56"/>
            <w:tcMar>
              <w:top w:w="105" w:type="dxa"/>
              <w:start w:w="105" w:type="dxa"/>
              <w:bottom w:w="105" w:type="dxa"/>
              <w:end w:w="105" w:type="dxa"/>
            </w:tcMar>
            <w:vAlign w:val="center"/>
          </w:tcPr>
          <w:p>
            <w:r>
              <w:rPr>
                <w:b/>
                <w:color w:val="FFFFFF"/>
                <w:sz w:val="15"/>
              </w:rPr>
              <w:t>Intent</w:t>
            </w:r>
          </w:p>
        </w:tc>
        <w:tc>
          <w:tcPr>
            <w:tcW w:type="dxa" w:w="4752"/>
            <w:shd w:fill="173B56"/>
            <w:tcMar>
              <w:top w:w="105" w:type="dxa"/>
              <w:start w:w="105" w:type="dxa"/>
              <w:bottom w:w="105" w:type="dxa"/>
              <w:end w:w="105" w:type="dxa"/>
            </w:tcMar>
            <w:vAlign w:val="center"/>
          </w:tcPr>
          <w:p>
            <w:r>
              <w:rPr>
                <w:b/>
                <w:color w:val="FFFFFF"/>
                <w:sz w:val="15"/>
              </w:rPr>
              <w:t>Design behavior</w:t>
            </w:r>
          </w:p>
        </w:tc>
        <w:tc>
          <w:tcPr>
            <w:tcW w:type="dxa" w:w="3168"/>
            <w:shd w:fill="173B56"/>
            <w:tcMar>
              <w:top w:w="105" w:type="dxa"/>
              <w:start w:w="105" w:type="dxa"/>
              <w:bottom w:w="105" w:type="dxa"/>
              <w:end w:w="105" w:type="dxa"/>
            </w:tcMar>
            <w:vAlign w:val="center"/>
          </w:tcPr>
          <w:p>
            <w:r>
              <w:rPr>
                <w:b/>
                <w:color w:val="FFFFFF"/>
                <w:sz w:val="15"/>
              </w:rPr>
              <w:t>Do not force</w:t>
            </w:r>
          </w:p>
        </w:tc>
      </w:tr>
      <w:tr>
        <w:tc>
          <w:tcPr>
            <w:tcW w:type="dxa" w:w="1872"/>
            <w:tcMar>
              <w:top w:w="105" w:type="dxa"/>
              <w:start w:w="105" w:type="dxa"/>
              <w:bottom w:w="105" w:type="dxa"/>
              <w:end w:w="105" w:type="dxa"/>
            </w:tcMar>
            <w:vAlign w:val="center"/>
          </w:tcPr>
          <w:p>
            <w:pPr>
              <w:spacing w:after="0"/>
            </w:pPr>
            <w:r>
              <w:rPr>
                <w:rFonts w:ascii="Aptos" w:hAnsi="Aptos"/>
                <w:sz w:val="15"/>
              </w:rPr>
              <w:t>Problem Aware</w:t>
            </w:r>
          </w:p>
        </w:tc>
        <w:tc>
          <w:tcPr>
            <w:tcW w:type="dxa" w:w="4752"/>
            <w:tcMar>
              <w:top w:w="105" w:type="dxa"/>
              <w:start w:w="105" w:type="dxa"/>
              <w:bottom w:w="105" w:type="dxa"/>
              <w:end w:w="105" w:type="dxa"/>
            </w:tcMar>
            <w:vAlign w:val="center"/>
          </w:tcPr>
          <w:p>
            <w:pPr>
              <w:spacing w:after="0"/>
            </w:pPr>
            <w:r>
              <w:rPr>
                <w:rFonts w:ascii="Aptos" w:hAnsi="Aptos"/>
                <w:sz w:val="15"/>
              </w:rPr>
              <w:t>Create space for recognition, POV, and assessment.</w:t>
            </w:r>
          </w:p>
        </w:tc>
        <w:tc>
          <w:tcPr>
            <w:tcW w:type="dxa" w:w="3168"/>
            <w:tcMar>
              <w:top w:w="105" w:type="dxa"/>
              <w:start w:w="105" w:type="dxa"/>
              <w:bottom w:w="105" w:type="dxa"/>
              <w:end w:w="105" w:type="dxa"/>
            </w:tcMar>
            <w:vAlign w:val="center"/>
          </w:tcPr>
          <w:p>
            <w:pPr>
              <w:spacing w:after="0"/>
            </w:pPr>
            <w:r>
              <w:rPr>
                <w:rFonts w:ascii="Aptos" w:hAnsi="Aptos"/>
                <w:sz w:val="15"/>
              </w:rPr>
              <w:t>Immediate sales CTA as the only path.</w:t>
            </w:r>
          </w:p>
        </w:tc>
      </w:tr>
      <w:tr>
        <w:tc>
          <w:tcPr>
            <w:tcW w:type="dxa" w:w="1872"/>
            <w:tcMar>
              <w:top w:w="105" w:type="dxa"/>
              <w:start w:w="105" w:type="dxa"/>
              <w:bottom w:w="105" w:type="dxa"/>
              <w:end w:w="105" w:type="dxa"/>
            </w:tcMar>
            <w:vAlign w:val="center"/>
          </w:tcPr>
          <w:p>
            <w:pPr>
              <w:spacing w:after="0"/>
            </w:pPr>
            <w:r>
              <w:rPr>
                <w:rFonts w:ascii="Aptos" w:hAnsi="Aptos"/>
                <w:sz w:val="15"/>
              </w:rPr>
              <w:t>Solution Aware</w:t>
            </w:r>
          </w:p>
        </w:tc>
        <w:tc>
          <w:tcPr>
            <w:tcW w:type="dxa" w:w="4752"/>
            <w:tcMar>
              <w:top w:w="105" w:type="dxa"/>
              <w:start w:w="105" w:type="dxa"/>
              <w:bottom w:w="105" w:type="dxa"/>
              <w:end w:w="105" w:type="dxa"/>
            </w:tcMar>
            <w:vAlign w:val="center"/>
          </w:tcPr>
          <w:p>
            <w:pPr>
              <w:spacing w:after="0"/>
            </w:pPr>
            <w:r>
              <w:rPr>
                <w:rFonts w:ascii="Aptos" w:hAnsi="Aptos"/>
                <w:sz w:val="15"/>
              </w:rPr>
              <w:t>Show how NuVue works and how the three pillars fit together.</w:t>
            </w:r>
          </w:p>
        </w:tc>
        <w:tc>
          <w:tcPr>
            <w:tcW w:type="dxa" w:w="3168"/>
            <w:tcMar>
              <w:top w:w="105" w:type="dxa"/>
              <w:start w:w="105" w:type="dxa"/>
              <w:bottom w:w="105" w:type="dxa"/>
              <w:end w:w="105" w:type="dxa"/>
            </w:tcMar>
            <w:vAlign w:val="center"/>
          </w:tcPr>
          <w:p>
            <w:pPr>
              <w:spacing w:after="0"/>
            </w:pPr>
            <w:r>
              <w:rPr>
                <w:rFonts w:ascii="Aptos" w:hAnsi="Aptos"/>
                <w:sz w:val="15"/>
              </w:rPr>
              <w:t>Premature pricing or proposal behavior.</w:t>
            </w:r>
          </w:p>
        </w:tc>
      </w:tr>
      <w:tr>
        <w:tc>
          <w:tcPr>
            <w:tcW w:type="dxa" w:w="1872"/>
            <w:tcMar>
              <w:top w:w="105" w:type="dxa"/>
              <w:start w:w="105" w:type="dxa"/>
              <w:bottom w:w="105" w:type="dxa"/>
              <w:end w:w="105" w:type="dxa"/>
            </w:tcMar>
            <w:vAlign w:val="center"/>
          </w:tcPr>
          <w:p>
            <w:pPr>
              <w:spacing w:after="0"/>
            </w:pPr>
            <w:r>
              <w:rPr>
                <w:rFonts w:ascii="Aptos" w:hAnsi="Aptos"/>
                <w:sz w:val="15"/>
              </w:rPr>
              <w:t>Product Aware</w:t>
            </w:r>
          </w:p>
        </w:tc>
        <w:tc>
          <w:tcPr>
            <w:tcW w:type="dxa" w:w="4752"/>
            <w:tcMar>
              <w:top w:w="105" w:type="dxa"/>
              <w:start w:w="105" w:type="dxa"/>
              <w:bottom w:w="105" w:type="dxa"/>
              <w:end w:w="105" w:type="dxa"/>
            </w:tcMar>
            <w:vAlign w:val="center"/>
          </w:tcPr>
          <w:p>
            <w:pPr>
              <w:spacing w:after="0"/>
            </w:pPr>
            <w:r>
              <w:rPr>
                <w:rFonts w:ascii="Aptos" w:hAnsi="Aptos"/>
                <w:sz w:val="15"/>
              </w:rPr>
              <w:t>Increase proof, differentiation, fit cues, and process clarity.</w:t>
            </w:r>
          </w:p>
        </w:tc>
        <w:tc>
          <w:tcPr>
            <w:tcW w:type="dxa" w:w="3168"/>
            <w:tcMar>
              <w:top w:w="105" w:type="dxa"/>
              <w:start w:w="105" w:type="dxa"/>
              <w:bottom w:w="105" w:type="dxa"/>
              <w:end w:w="105" w:type="dxa"/>
            </w:tcMar>
            <w:vAlign w:val="center"/>
          </w:tcPr>
          <w:p>
            <w:pPr>
              <w:spacing w:after="0"/>
            </w:pPr>
            <w:r>
              <w:rPr>
                <w:rFonts w:ascii="Aptos" w:hAnsi="Aptos"/>
                <w:sz w:val="15"/>
              </w:rPr>
              <w:t>More introductory education that delays evaluation.</w:t>
            </w:r>
          </w:p>
        </w:tc>
      </w:tr>
      <w:tr>
        <w:tc>
          <w:tcPr>
            <w:tcW w:type="dxa" w:w="1872"/>
            <w:tcMar>
              <w:top w:w="105" w:type="dxa"/>
              <w:start w:w="105" w:type="dxa"/>
              <w:bottom w:w="105" w:type="dxa"/>
              <w:end w:w="105" w:type="dxa"/>
            </w:tcMar>
            <w:vAlign w:val="center"/>
          </w:tcPr>
          <w:p>
            <w:pPr>
              <w:spacing w:after="0"/>
            </w:pPr>
            <w:r>
              <w:rPr>
                <w:rFonts w:ascii="Aptos" w:hAnsi="Aptos"/>
                <w:sz w:val="15"/>
              </w:rPr>
              <w:t>Most Aware</w:t>
            </w:r>
          </w:p>
        </w:tc>
        <w:tc>
          <w:tcPr>
            <w:tcW w:type="dxa" w:w="4752"/>
            <w:tcMar>
              <w:top w:w="105" w:type="dxa"/>
              <w:start w:w="105" w:type="dxa"/>
              <w:bottom w:w="105" w:type="dxa"/>
              <w:end w:w="105" w:type="dxa"/>
            </w:tcMar>
            <w:vAlign w:val="center"/>
          </w:tcPr>
          <w:p>
            <w:pPr>
              <w:spacing w:after="0"/>
            </w:pPr>
            <w:r>
              <w:rPr>
                <w:rFonts w:ascii="Aptos" w:hAnsi="Aptos"/>
                <w:sz w:val="15"/>
              </w:rPr>
              <w:t>Make the direct action obvious and low-friction.</w:t>
            </w:r>
          </w:p>
        </w:tc>
        <w:tc>
          <w:tcPr>
            <w:tcW w:type="dxa" w:w="3168"/>
            <w:tcMar>
              <w:top w:w="105" w:type="dxa"/>
              <w:start w:w="105" w:type="dxa"/>
              <w:bottom w:w="105" w:type="dxa"/>
              <w:end w:w="105" w:type="dxa"/>
            </w:tcMar>
            <w:vAlign w:val="center"/>
          </w:tcPr>
          <w:p>
            <w:pPr>
              <w:spacing w:after="0"/>
            </w:pPr>
            <w:r>
              <w:rPr>
                <w:rFonts w:ascii="Aptos" w:hAnsi="Aptos"/>
                <w:sz w:val="15"/>
              </w:rPr>
              <w:t>Extra steps between intent and consultation / eligibility.</w:t>
            </w:r>
          </w:p>
        </w:tc>
      </w:tr>
    </w:tbl>
    <w:p/>
    <w:p>
      <w:pPr>
        <w:spacing w:after="100"/>
      </w:pPr>
      <w:r>
        <w:rPr>
          <w:b w:val="0"/>
        </w:rPr>
        <w:t>The homepage can serve multiple intent levels, but the design should not give every CTA equal visual weight. Primary and secondary actions should reflect readiness and page role.</w:t>
      </w:r>
    </w:p>
    <w:p>
      <w:pPr>
        <w:pStyle w:val="Heading1"/>
      </w:pPr>
      <w:r>
        <w:t>7. Proof &amp; Trust Design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173B56"/>
            <w:tcMar>
              <w:top w:w="105" w:type="dxa"/>
              <w:start w:w="105" w:type="dxa"/>
              <w:bottom w:w="105" w:type="dxa"/>
              <w:end w:w="105" w:type="dxa"/>
            </w:tcMar>
            <w:vAlign w:val="center"/>
          </w:tcPr>
          <w:p>
            <w:r>
              <w:rPr>
                <w:b/>
                <w:color w:val="FFFFFF"/>
                <w:sz w:val="15"/>
              </w:rPr>
              <w:t>Proof element</w:t>
            </w:r>
          </w:p>
        </w:tc>
        <w:tc>
          <w:tcPr>
            <w:tcW w:type="dxa" w:w="4896"/>
            <w:shd w:fill="173B56"/>
            <w:tcMar>
              <w:top w:w="105" w:type="dxa"/>
              <w:start w:w="105" w:type="dxa"/>
              <w:bottom w:w="105" w:type="dxa"/>
              <w:end w:w="105" w:type="dxa"/>
            </w:tcMar>
            <w:vAlign w:val="center"/>
          </w:tcPr>
          <w:p>
            <w:r>
              <w:rPr>
                <w:b/>
                <w:color w:val="FFFFFF"/>
                <w:sz w:val="15"/>
              </w:rPr>
              <w:t>How it should function visually</w:t>
            </w:r>
          </w:p>
        </w:tc>
        <w:tc>
          <w:tcPr>
            <w:tcW w:type="dxa" w:w="2736"/>
            <w:shd w:fill="173B56"/>
            <w:tcMar>
              <w:top w:w="105" w:type="dxa"/>
              <w:start w:w="105" w:type="dxa"/>
              <w:bottom w:w="105" w:type="dxa"/>
              <w:end w:w="105" w:type="dxa"/>
            </w:tcMar>
            <w:vAlign w:val="center"/>
          </w:tcPr>
          <w:p>
            <w:r>
              <w:rPr>
                <w:b/>
                <w:color w:val="FFFFFF"/>
                <w:sz w:val="15"/>
              </w:rPr>
              <w:t>Restriction</w:t>
            </w:r>
          </w:p>
        </w:tc>
      </w:tr>
      <w:tr>
        <w:tc>
          <w:tcPr>
            <w:tcW w:type="dxa" w:w="2160"/>
            <w:tcMar>
              <w:top w:w="105" w:type="dxa"/>
              <w:start w:w="105" w:type="dxa"/>
              <w:bottom w:w="105" w:type="dxa"/>
              <w:end w:w="105" w:type="dxa"/>
            </w:tcMar>
            <w:vAlign w:val="center"/>
          </w:tcPr>
          <w:p>
            <w:pPr>
              <w:spacing w:after="0"/>
            </w:pPr>
            <w:r>
              <w:rPr>
                <w:rFonts w:ascii="Aptos" w:hAnsi="Aptos"/>
                <w:sz w:val="15"/>
              </w:rPr>
              <w:t>24+ years / 101+ workshops</w:t>
            </w:r>
          </w:p>
        </w:tc>
        <w:tc>
          <w:tcPr>
            <w:tcW w:type="dxa" w:w="4896"/>
            <w:tcMar>
              <w:top w:w="105" w:type="dxa"/>
              <w:start w:w="105" w:type="dxa"/>
              <w:bottom w:w="105" w:type="dxa"/>
              <w:end w:w="105" w:type="dxa"/>
            </w:tcMar>
            <w:vAlign w:val="center"/>
          </w:tcPr>
          <w:p>
            <w:pPr>
              <w:spacing w:after="0"/>
            </w:pPr>
            <w:r>
              <w:rPr>
                <w:rFonts w:ascii="Aptos" w:hAnsi="Aptos"/>
                <w:sz w:val="15"/>
              </w:rPr>
              <w:t>Early authority cues, concise and scannable.</w:t>
            </w:r>
          </w:p>
        </w:tc>
        <w:tc>
          <w:tcPr>
            <w:tcW w:type="dxa" w:w="2736"/>
            <w:tcMar>
              <w:top w:w="105" w:type="dxa"/>
              <w:start w:w="105" w:type="dxa"/>
              <w:bottom w:w="105" w:type="dxa"/>
              <w:end w:w="105" w:type="dxa"/>
            </w:tcMar>
            <w:vAlign w:val="center"/>
          </w:tcPr>
          <w:p>
            <w:pPr>
              <w:spacing w:after="0"/>
            </w:pPr>
            <w:r>
              <w:rPr>
                <w:rFonts w:ascii="Aptos" w:hAnsi="Aptos"/>
                <w:sz w:val="15"/>
              </w:rPr>
              <w:t>Verify before production.</w:t>
            </w:r>
          </w:p>
        </w:tc>
      </w:tr>
      <w:tr>
        <w:tc>
          <w:tcPr>
            <w:tcW w:type="dxa" w:w="2160"/>
            <w:tcMar>
              <w:top w:w="105" w:type="dxa"/>
              <w:start w:w="105" w:type="dxa"/>
              <w:bottom w:w="105" w:type="dxa"/>
              <w:end w:w="105" w:type="dxa"/>
            </w:tcMar>
            <w:vAlign w:val="center"/>
          </w:tcPr>
          <w:p>
            <w:pPr>
              <w:spacing w:after="0"/>
            </w:pPr>
            <w:r>
              <w:rPr>
                <w:rFonts w:ascii="Aptos" w:hAnsi="Aptos"/>
                <w:sz w:val="15"/>
              </w:rPr>
              <w:t>Client logos</w:t>
            </w:r>
          </w:p>
        </w:tc>
        <w:tc>
          <w:tcPr>
            <w:tcW w:type="dxa" w:w="4896"/>
            <w:tcMar>
              <w:top w:w="105" w:type="dxa"/>
              <w:start w:w="105" w:type="dxa"/>
              <w:bottom w:w="105" w:type="dxa"/>
              <w:end w:w="105" w:type="dxa"/>
            </w:tcMar>
            <w:vAlign w:val="center"/>
          </w:tcPr>
          <w:p>
            <w:pPr>
              <w:spacing w:after="0"/>
            </w:pPr>
            <w:r>
              <w:rPr>
                <w:rFonts w:ascii="Aptos" w:hAnsi="Aptos"/>
                <w:sz w:val="15"/>
              </w:rPr>
              <w:t>Trust reinforcement, not logo wallpaper.</w:t>
            </w:r>
          </w:p>
        </w:tc>
        <w:tc>
          <w:tcPr>
            <w:tcW w:type="dxa" w:w="2736"/>
            <w:tcMar>
              <w:top w:w="105" w:type="dxa"/>
              <w:start w:w="105" w:type="dxa"/>
              <w:bottom w:w="105" w:type="dxa"/>
              <w:end w:w="105" w:type="dxa"/>
            </w:tcMar>
            <w:vAlign w:val="center"/>
          </w:tcPr>
          <w:p>
            <w:pPr>
              <w:spacing w:after="0"/>
            </w:pPr>
            <w:r>
              <w:rPr>
                <w:rFonts w:ascii="Aptos" w:hAnsi="Aptos"/>
                <w:sz w:val="15"/>
              </w:rPr>
              <w:t>Use only with current permission.</w:t>
            </w:r>
          </w:p>
        </w:tc>
      </w:tr>
      <w:tr>
        <w:tc>
          <w:tcPr>
            <w:tcW w:type="dxa" w:w="2160"/>
            <w:tcMar>
              <w:top w:w="105" w:type="dxa"/>
              <w:start w:w="105" w:type="dxa"/>
              <w:bottom w:w="105" w:type="dxa"/>
              <w:end w:w="105" w:type="dxa"/>
            </w:tcMar>
            <w:vAlign w:val="center"/>
          </w:tcPr>
          <w:p>
            <w:pPr>
              <w:spacing w:after="0"/>
            </w:pPr>
            <w:r>
              <w:rPr>
                <w:rFonts w:ascii="Aptos" w:hAnsi="Aptos"/>
                <w:sz w:val="15"/>
              </w:rPr>
              <w:t>ROI evidence</w:t>
            </w:r>
          </w:p>
        </w:tc>
        <w:tc>
          <w:tcPr>
            <w:tcW w:type="dxa" w:w="4896"/>
            <w:tcMar>
              <w:top w:w="105" w:type="dxa"/>
              <w:start w:w="105" w:type="dxa"/>
              <w:bottom w:w="105" w:type="dxa"/>
              <w:end w:w="105" w:type="dxa"/>
            </w:tcMar>
            <w:vAlign w:val="center"/>
          </w:tcPr>
          <w:p>
            <w:pPr>
              <w:spacing w:after="0"/>
            </w:pPr>
            <w:r>
              <w:rPr>
                <w:rFonts w:ascii="Aptos" w:hAnsi="Aptos"/>
                <w:sz w:val="15"/>
              </w:rPr>
              <w:t>Specific evidence unit with enough context to understand what was measured.</w:t>
            </w:r>
          </w:p>
        </w:tc>
        <w:tc>
          <w:tcPr>
            <w:tcW w:type="dxa" w:w="2736"/>
            <w:tcMar>
              <w:top w:w="105" w:type="dxa"/>
              <w:start w:w="105" w:type="dxa"/>
              <w:bottom w:w="105" w:type="dxa"/>
              <w:end w:w="105" w:type="dxa"/>
            </w:tcMar>
            <w:vAlign w:val="center"/>
          </w:tcPr>
          <w:p>
            <w:pPr>
              <w:spacing w:after="0"/>
            </w:pPr>
            <w:r>
              <w:rPr>
                <w:rFonts w:ascii="Aptos" w:hAnsi="Aptos"/>
                <w:sz w:val="15"/>
              </w:rPr>
              <w:t>Do not isolate a number from its source.</w:t>
            </w:r>
          </w:p>
        </w:tc>
      </w:tr>
      <w:tr>
        <w:tc>
          <w:tcPr>
            <w:tcW w:type="dxa" w:w="2160"/>
            <w:tcMar>
              <w:top w:w="105" w:type="dxa"/>
              <w:start w:w="105" w:type="dxa"/>
              <w:bottom w:w="105" w:type="dxa"/>
              <w:end w:w="105" w:type="dxa"/>
            </w:tcMar>
            <w:vAlign w:val="center"/>
          </w:tcPr>
          <w:p>
            <w:pPr>
              <w:spacing w:after="0"/>
            </w:pPr>
            <w:r>
              <w:rPr>
                <w:rFonts w:ascii="Aptos" w:hAnsi="Aptos"/>
                <w:sz w:val="15"/>
              </w:rPr>
              <w:t>Testimonials</w:t>
            </w:r>
          </w:p>
        </w:tc>
        <w:tc>
          <w:tcPr>
            <w:tcW w:type="dxa" w:w="4896"/>
            <w:tcMar>
              <w:top w:w="105" w:type="dxa"/>
              <w:start w:w="105" w:type="dxa"/>
              <w:bottom w:w="105" w:type="dxa"/>
              <w:end w:w="105" w:type="dxa"/>
            </w:tcMar>
            <w:vAlign w:val="center"/>
          </w:tcPr>
          <w:p>
            <w:pPr>
              <w:spacing w:after="0"/>
            </w:pPr>
            <w:r>
              <w:rPr>
                <w:rFonts w:ascii="Aptos" w:hAnsi="Aptos"/>
                <w:sz w:val="15"/>
              </w:rPr>
              <w:t>Use real name, role, company, and specific statement.</w:t>
            </w:r>
          </w:p>
        </w:tc>
        <w:tc>
          <w:tcPr>
            <w:tcW w:type="dxa" w:w="2736"/>
            <w:tcMar>
              <w:top w:w="105" w:type="dxa"/>
              <w:start w:w="105" w:type="dxa"/>
              <w:bottom w:w="105" w:type="dxa"/>
              <w:end w:w="105" w:type="dxa"/>
            </w:tcMar>
            <w:vAlign w:val="center"/>
          </w:tcPr>
          <w:p>
            <w:pPr>
              <w:spacing w:after="0"/>
            </w:pPr>
            <w:r>
              <w:rPr>
                <w:rFonts w:ascii="Aptos" w:hAnsi="Aptos"/>
                <w:sz w:val="15"/>
              </w:rPr>
              <w:t>No anonymous generic quotes.</w:t>
            </w:r>
          </w:p>
        </w:tc>
      </w:tr>
      <w:tr>
        <w:tc>
          <w:tcPr>
            <w:tcW w:type="dxa" w:w="2160"/>
            <w:tcMar>
              <w:top w:w="105" w:type="dxa"/>
              <w:start w:w="105" w:type="dxa"/>
              <w:bottom w:w="105" w:type="dxa"/>
              <w:end w:w="105" w:type="dxa"/>
            </w:tcMar>
            <w:vAlign w:val="center"/>
          </w:tcPr>
          <w:p>
            <w:pPr>
              <w:spacing w:after="0"/>
            </w:pPr>
            <w:r>
              <w:rPr>
                <w:rFonts w:ascii="Aptos" w:hAnsi="Aptos"/>
                <w:sz w:val="15"/>
              </w:rPr>
              <w:t>CSP Guarantee</w:t>
            </w:r>
          </w:p>
        </w:tc>
        <w:tc>
          <w:tcPr>
            <w:tcW w:type="dxa" w:w="4896"/>
            <w:tcMar>
              <w:top w:w="105" w:type="dxa"/>
              <w:start w:w="105" w:type="dxa"/>
              <w:bottom w:w="105" w:type="dxa"/>
              <w:end w:w="105" w:type="dxa"/>
            </w:tcMar>
            <w:vAlign w:val="center"/>
          </w:tcPr>
          <w:p>
            <w:pPr>
              <w:spacing w:after="0"/>
            </w:pPr>
            <w:r>
              <w:rPr>
                <w:rFonts w:ascii="Aptos" w:hAnsi="Aptos"/>
                <w:sz w:val="15"/>
              </w:rPr>
              <w:t>Selective enterprise risk-reduction cue.</w:t>
            </w:r>
          </w:p>
        </w:tc>
        <w:tc>
          <w:tcPr>
            <w:tcW w:type="dxa" w:w="2736"/>
            <w:tcMar>
              <w:top w:w="105" w:type="dxa"/>
              <w:start w:w="105" w:type="dxa"/>
              <w:bottom w:w="105" w:type="dxa"/>
              <w:end w:w="105" w:type="dxa"/>
            </w:tcMar>
            <w:vAlign w:val="center"/>
          </w:tcPr>
          <w:p>
            <w:pPr>
              <w:spacing w:after="0"/>
            </w:pPr>
            <w:r>
              <w:rPr>
                <w:rFonts w:ascii="Aptos" w:hAnsi="Aptos"/>
                <w:sz w:val="15"/>
              </w:rPr>
              <w:t>Terms and eligibility must be approved.</w:t>
            </w:r>
          </w:p>
        </w:tc>
      </w:tr>
      <w:tr>
        <w:tc>
          <w:tcPr>
            <w:tcW w:type="dxa" w:w="2160"/>
            <w:tcMar>
              <w:top w:w="105" w:type="dxa"/>
              <w:start w:w="105" w:type="dxa"/>
              <w:bottom w:w="105" w:type="dxa"/>
              <w:end w:w="105" w:type="dxa"/>
            </w:tcMar>
            <w:vAlign w:val="center"/>
          </w:tcPr>
          <w:p>
            <w:pPr>
              <w:spacing w:after="0"/>
            </w:pPr>
            <w:r>
              <w:rPr>
                <w:rFonts w:ascii="Aptos" w:hAnsi="Aptos"/>
                <w:sz w:val="15"/>
              </w:rPr>
              <w:t>Learning That Never Stops®</w:t>
            </w:r>
          </w:p>
        </w:tc>
        <w:tc>
          <w:tcPr>
            <w:tcW w:type="dxa" w:w="4896"/>
            <w:tcMar>
              <w:top w:w="105" w:type="dxa"/>
              <w:start w:w="105" w:type="dxa"/>
              <w:bottom w:w="105" w:type="dxa"/>
              <w:end w:w="105" w:type="dxa"/>
            </w:tcMar>
            <w:vAlign w:val="center"/>
          </w:tcPr>
          <w:p>
            <w:pPr>
              <w:spacing w:after="0"/>
            </w:pPr>
            <w:r>
              <w:rPr>
                <w:rFonts w:ascii="Aptos" w:hAnsi="Aptos"/>
                <w:sz w:val="15"/>
              </w:rPr>
              <w:t>Methodology / retention differentiation.</w:t>
            </w:r>
          </w:p>
        </w:tc>
        <w:tc>
          <w:tcPr>
            <w:tcW w:type="dxa" w:w="2736"/>
            <w:tcMar>
              <w:top w:w="105" w:type="dxa"/>
              <w:start w:w="105" w:type="dxa"/>
              <w:bottom w:w="105" w:type="dxa"/>
              <w:end w:w="105" w:type="dxa"/>
            </w:tcMar>
            <w:vAlign w:val="center"/>
          </w:tcPr>
          <w:p>
            <w:pPr>
              <w:spacing w:after="0"/>
            </w:pPr>
            <w:r>
              <w:rPr>
                <w:rFonts w:ascii="Aptos" w:hAnsi="Aptos"/>
                <w:sz w:val="15"/>
              </w:rPr>
              <w:t>Preserve trademark and approved naming.</w:t>
            </w:r>
          </w:p>
        </w:tc>
      </w:tr>
    </w:tbl>
    <w:p/>
    <w:p>
      <w:pPr>
        <w:pStyle w:val="Heading1"/>
      </w:pPr>
      <w:r>
        <w:t>8. Visual Direction</w:t>
      </w:r>
    </w:p>
    <w:p>
      <w:pPr>
        <w:spacing w:after="100"/>
      </w:pPr>
      <w:r>
        <w:rPr>
          <w:b w:val="0"/>
        </w:rPr>
        <w:t>The design should feel established, credible, intelligent, practical, and modern. NuVue should look like an experienced enterprise learning partner, not a generic seminar company or software platform.</w:t>
      </w:r>
    </w:p>
    <w:tbl>
      <w:tblPr>
        <w:tblStyle w:val="TableGrid"/>
        <w:tblW w:type="auto" w:w="0"/>
        <w:jc w:val="center"/>
        <w:tblLook w:firstColumn="1" w:firstRow="1" w:lastColumn="0" w:lastRow="0" w:noHBand="0" w:noVBand="1" w:val="04A0"/>
      </w:tblPr>
      <w:tblGrid>
        <w:gridCol w:w="5112"/>
        <w:gridCol w:w="5112"/>
      </w:tblGrid>
      <w:tr>
        <w:tc>
          <w:tcPr>
            <w:tcW w:type="dxa" w:w="4824"/>
            <w:shd w:fill="173B56"/>
            <w:tcMar>
              <w:top w:w="105" w:type="dxa"/>
              <w:start w:w="105" w:type="dxa"/>
              <w:bottom w:w="105" w:type="dxa"/>
              <w:end w:w="105" w:type="dxa"/>
            </w:tcMar>
            <w:vAlign w:val="center"/>
          </w:tcPr>
          <w:p>
            <w:r>
              <w:rPr>
                <w:b/>
                <w:color w:val="FFFFFF"/>
                <w:sz w:val="16"/>
              </w:rPr>
              <w:t>Aim for</w:t>
            </w:r>
          </w:p>
        </w:tc>
        <w:tc>
          <w:tcPr>
            <w:tcW w:type="dxa" w:w="4968"/>
            <w:shd w:fill="173B56"/>
            <w:tcMar>
              <w:top w:w="105" w:type="dxa"/>
              <w:start w:w="105" w:type="dxa"/>
              <w:bottom w:w="105" w:type="dxa"/>
              <w:end w:w="105" w:type="dxa"/>
            </w:tcMar>
            <w:vAlign w:val="center"/>
          </w:tcPr>
          <w:p>
            <w:r>
              <w:rPr>
                <w:b/>
                <w:color w:val="FFFFFF"/>
                <w:sz w:val="16"/>
              </w:rPr>
              <w:t>Avoid</w:t>
            </w:r>
          </w:p>
        </w:tc>
      </w:tr>
      <w:tr>
        <w:tc>
          <w:tcPr>
            <w:tcW w:type="dxa" w:w="4824"/>
            <w:tcMar>
              <w:top w:w="105" w:type="dxa"/>
              <w:start w:w="105" w:type="dxa"/>
              <w:bottom w:w="105" w:type="dxa"/>
              <w:end w:w="105" w:type="dxa"/>
            </w:tcMar>
            <w:vAlign w:val="center"/>
          </w:tcPr>
          <w:p>
            <w:pPr>
              <w:spacing w:after="0"/>
            </w:pPr>
            <w:r>
              <w:rPr>
                <w:rFonts w:ascii="Aptos" w:hAnsi="Aptos"/>
                <w:sz w:val="16"/>
              </w:rPr>
              <w:t>Clear executive hierarchy</w:t>
            </w:r>
          </w:p>
        </w:tc>
        <w:tc>
          <w:tcPr>
            <w:tcW w:type="dxa" w:w="4968"/>
            <w:tcMar>
              <w:top w:w="105" w:type="dxa"/>
              <w:start w:w="105" w:type="dxa"/>
              <w:bottom w:w="105" w:type="dxa"/>
              <w:end w:w="105" w:type="dxa"/>
            </w:tcMar>
            <w:vAlign w:val="center"/>
          </w:tcPr>
          <w:p>
            <w:pPr>
              <w:spacing w:after="0"/>
            </w:pPr>
            <w:r>
              <w:rPr>
                <w:rFonts w:ascii="Aptos" w:hAnsi="Aptos"/>
                <w:sz w:val="16"/>
              </w:rPr>
              <w:t>Over-designed marketing theatrics</w:t>
            </w:r>
          </w:p>
        </w:tc>
      </w:tr>
      <w:tr>
        <w:tc>
          <w:tcPr>
            <w:tcW w:type="dxa" w:w="4824"/>
            <w:tcMar>
              <w:top w:w="105" w:type="dxa"/>
              <w:start w:w="105" w:type="dxa"/>
              <w:bottom w:w="105" w:type="dxa"/>
              <w:end w:w="105" w:type="dxa"/>
            </w:tcMar>
            <w:vAlign w:val="center"/>
          </w:tcPr>
          <w:p>
            <w:pPr>
              <w:spacing w:after="0"/>
            </w:pPr>
            <w:r>
              <w:rPr>
                <w:rFonts w:ascii="Aptos" w:hAnsi="Aptos"/>
                <w:sz w:val="16"/>
              </w:rPr>
              <w:t>Real training / team / industry imagery where available</w:t>
            </w:r>
          </w:p>
        </w:tc>
        <w:tc>
          <w:tcPr>
            <w:tcW w:type="dxa" w:w="4968"/>
            <w:tcMar>
              <w:top w:w="105" w:type="dxa"/>
              <w:start w:w="105" w:type="dxa"/>
              <w:bottom w:w="105" w:type="dxa"/>
              <w:end w:w="105" w:type="dxa"/>
            </w:tcMar>
            <w:vAlign w:val="center"/>
          </w:tcPr>
          <w:p>
            <w:pPr>
              <w:spacing w:after="0"/>
            </w:pPr>
            <w:r>
              <w:rPr>
                <w:rFonts w:ascii="Aptos" w:hAnsi="Aptos"/>
                <w:sz w:val="16"/>
              </w:rPr>
              <w:t>Generic stock handshakes and staged boardrooms</w:t>
            </w:r>
          </w:p>
        </w:tc>
      </w:tr>
      <w:tr>
        <w:tc>
          <w:tcPr>
            <w:tcW w:type="dxa" w:w="4824"/>
            <w:tcMar>
              <w:top w:w="105" w:type="dxa"/>
              <w:start w:w="105" w:type="dxa"/>
              <w:bottom w:w="105" w:type="dxa"/>
              <w:end w:w="105" w:type="dxa"/>
            </w:tcMar>
            <w:vAlign w:val="center"/>
          </w:tcPr>
          <w:p>
            <w:pPr>
              <w:spacing w:after="0"/>
            </w:pPr>
            <w:r>
              <w:rPr>
                <w:rFonts w:ascii="Aptos" w:hAnsi="Aptos"/>
                <w:sz w:val="16"/>
              </w:rPr>
              <w:t>Structured use of the three solution pillars</w:t>
            </w:r>
          </w:p>
        </w:tc>
        <w:tc>
          <w:tcPr>
            <w:tcW w:type="dxa" w:w="4968"/>
            <w:tcMar>
              <w:top w:w="105" w:type="dxa"/>
              <w:start w:w="105" w:type="dxa"/>
              <w:bottom w:w="105" w:type="dxa"/>
              <w:end w:w="105" w:type="dxa"/>
            </w:tcMar>
            <w:vAlign w:val="center"/>
          </w:tcPr>
          <w:p>
            <w:pPr>
              <w:spacing w:after="0"/>
            </w:pPr>
            <w:r>
              <w:rPr>
                <w:rFonts w:ascii="Aptos" w:hAnsi="Aptos"/>
                <w:sz w:val="16"/>
              </w:rPr>
              <w:t>Three disconnected service-card styles</w:t>
            </w:r>
          </w:p>
        </w:tc>
      </w:tr>
      <w:tr>
        <w:tc>
          <w:tcPr>
            <w:tcW w:type="dxa" w:w="4824"/>
            <w:tcMar>
              <w:top w:w="105" w:type="dxa"/>
              <w:start w:w="105" w:type="dxa"/>
              <w:bottom w:w="105" w:type="dxa"/>
              <w:end w:w="105" w:type="dxa"/>
            </w:tcMar>
            <w:vAlign w:val="center"/>
          </w:tcPr>
          <w:p>
            <w:pPr>
              <w:spacing w:after="0"/>
            </w:pPr>
            <w:r>
              <w:rPr>
                <w:rFonts w:ascii="Aptos" w:hAnsi="Aptos"/>
                <w:sz w:val="16"/>
              </w:rPr>
              <w:t>Selective visual proof</w:t>
            </w:r>
          </w:p>
        </w:tc>
        <w:tc>
          <w:tcPr>
            <w:tcW w:type="dxa" w:w="4968"/>
            <w:tcMar>
              <w:top w:w="105" w:type="dxa"/>
              <w:start w:w="105" w:type="dxa"/>
              <w:bottom w:w="105" w:type="dxa"/>
              <w:end w:w="105" w:type="dxa"/>
            </w:tcMar>
            <w:vAlign w:val="center"/>
          </w:tcPr>
          <w:p>
            <w:pPr>
              <w:spacing w:after="0"/>
            </w:pPr>
            <w:r>
              <w:rPr>
                <w:rFonts w:ascii="Aptos" w:hAnsi="Aptos"/>
                <w:sz w:val="16"/>
              </w:rPr>
              <w:t>Decorative statistics without context</w:t>
            </w:r>
          </w:p>
        </w:tc>
      </w:tr>
      <w:tr>
        <w:tc>
          <w:tcPr>
            <w:tcW w:type="dxa" w:w="4824"/>
            <w:tcMar>
              <w:top w:w="105" w:type="dxa"/>
              <w:start w:w="105" w:type="dxa"/>
              <w:bottom w:w="105" w:type="dxa"/>
              <w:end w:w="105" w:type="dxa"/>
            </w:tcMar>
            <w:vAlign w:val="center"/>
          </w:tcPr>
          <w:p>
            <w:pPr>
              <w:spacing w:after="0"/>
            </w:pPr>
            <w:r>
              <w:rPr>
                <w:rFonts w:ascii="Aptos" w:hAnsi="Aptos"/>
                <w:sz w:val="16"/>
              </w:rPr>
              <w:t>Editorial whitespace and strong scanning</w:t>
            </w:r>
          </w:p>
        </w:tc>
        <w:tc>
          <w:tcPr>
            <w:tcW w:type="dxa" w:w="4968"/>
            <w:tcMar>
              <w:top w:w="105" w:type="dxa"/>
              <w:start w:w="105" w:type="dxa"/>
              <w:bottom w:w="105" w:type="dxa"/>
              <w:end w:w="105" w:type="dxa"/>
            </w:tcMar>
            <w:vAlign w:val="center"/>
          </w:tcPr>
          <w:p>
            <w:pPr>
              <w:spacing w:after="0"/>
            </w:pPr>
            <w:r>
              <w:rPr>
                <w:rFonts w:ascii="Aptos" w:hAnsi="Aptos"/>
                <w:sz w:val="16"/>
              </w:rPr>
              <w:t>Dense corporate brochure layouts</w:t>
            </w:r>
          </w:p>
        </w:tc>
      </w:tr>
      <w:tr>
        <w:tc>
          <w:tcPr>
            <w:tcW w:type="dxa" w:w="4824"/>
            <w:tcMar>
              <w:top w:w="105" w:type="dxa"/>
              <w:start w:w="105" w:type="dxa"/>
              <w:bottom w:w="105" w:type="dxa"/>
              <w:end w:w="105" w:type="dxa"/>
            </w:tcMar>
            <w:vAlign w:val="center"/>
          </w:tcPr>
          <w:p>
            <w:pPr>
              <w:spacing w:after="0"/>
            </w:pPr>
            <w:r>
              <w:rPr>
                <w:rFonts w:ascii="Aptos" w:hAnsi="Aptos"/>
                <w:sz w:val="16"/>
              </w:rPr>
              <w:t>Subtle signals of expertise and longevity</w:t>
            </w:r>
          </w:p>
        </w:tc>
        <w:tc>
          <w:tcPr>
            <w:tcW w:type="dxa" w:w="4968"/>
            <w:tcMar>
              <w:top w:w="105" w:type="dxa"/>
              <w:start w:w="105" w:type="dxa"/>
              <w:bottom w:w="105" w:type="dxa"/>
              <w:end w:w="105" w:type="dxa"/>
            </w:tcMar>
            <w:vAlign w:val="center"/>
          </w:tcPr>
          <w:p>
            <w:pPr>
              <w:spacing w:after="0"/>
            </w:pPr>
            <w:r>
              <w:rPr>
                <w:rFonts w:ascii="Aptos" w:hAnsi="Aptos"/>
                <w:sz w:val="16"/>
              </w:rPr>
              <w:t>Old-fashioned training-company aesthetics</w:t>
            </w:r>
          </w:p>
        </w:tc>
      </w:tr>
      <w:tr>
        <w:tc>
          <w:tcPr>
            <w:tcW w:type="dxa" w:w="4824"/>
            <w:tcMar>
              <w:top w:w="105" w:type="dxa"/>
              <w:start w:w="105" w:type="dxa"/>
              <w:bottom w:w="105" w:type="dxa"/>
              <w:end w:w="105" w:type="dxa"/>
            </w:tcMar>
            <w:vAlign w:val="center"/>
          </w:tcPr>
          <w:p>
            <w:pPr>
              <w:spacing w:after="0"/>
            </w:pPr>
            <w:r>
              <w:rPr>
                <w:rFonts w:ascii="Aptos" w:hAnsi="Aptos"/>
                <w:sz w:val="16"/>
              </w:rPr>
              <w:t>Flexible reusable component logic</w:t>
            </w:r>
          </w:p>
        </w:tc>
        <w:tc>
          <w:tcPr>
            <w:tcW w:type="dxa" w:w="4968"/>
            <w:tcMar>
              <w:top w:w="105" w:type="dxa"/>
              <w:start w:w="105" w:type="dxa"/>
              <w:bottom w:w="105" w:type="dxa"/>
              <w:end w:w="105" w:type="dxa"/>
            </w:tcMar>
            <w:vAlign w:val="center"/>
          </w:tcPr>
          <w:p>
            <w:pPr>
              <w:spacing w:after="0"/>
            </w:pPr>
            <w:r>
              <w:rPr>
                <w:rFonts w:ascii="Aptos" w:hAnsi="Aptos"/>
                <w:sz w:val="16"/>
              </w:rPr>
              <w:t>One-off sections that cannot scale to other pages</w:t>
            </w:r>
          </w:p>
        </w:tc>
      </w:tr>
      <w:tr>
        <w:tc>
          <w:tcPr>
            <w:tcW w:type="dxa" w:w="4824"/>
            <w:tcMar>
              <w:top w:w="105" w:type="dxa"/>
              <w:start w:w="105" w:type="dxa"/>
              <w:bottom w:w="105" w:type="dxa"/>
              <w:end w:w="105" w:type="dxa"/>
            </w:tcMar>
            <w:vAlign w:val="center"/>
          </w:tcPr>
          <w:p>
            <w:pPr>
              <w:spacing w:after="0"/>
            </w:pPr>
            <w:r>
              <w:rPr>
                <w:rFonts w:ascii="Aptos" w:hAnsi="Aptos"/>
                <w:sz w:val="16"/>
              </w:rPr>
              <w:t>Accessible contrast and readable typography</w:t>
            </w:r>
          </w:p>
        </w:tc>
        <w:tc>
          <w:tcPr>
            <w:tcW w:type="dxa" w:w="4968"/>
            <w:tcMar>
              <w:top w:w="105" w:type="dxa"/>
              <w:start w:w="105" w:type="dxa"/>
              <w:bottom w:w="105" w:type="dxa"/>
              <w:end w:w="105" w:type="dxa"/>
            </w:tcMar>
            <w:vAlign w:val="center"/>
          </w:tcPr>
          <w:p>
            <w:pPr>
              <w:spacing w:after="0"/>
            </w:pPr>
            <w:r>
              <w:rPr>
                <w:rFonts w:ascii="Aptos" w:hAnsi="Aptos"/>
                <w:sz w:val="16"/>
              </w:rPr>
              <w:t>Small type, low contrast, decorative text treatments</w:t>
            </w:r>
          </w:p>
        </w:tc>
      </w:tr>
    </w:tbl>
    <w:p/>
    <w:p>
      <w:pPr>
        <w:pStyle w:val="Heading1"/>
      </w:pPr>
      <w:r>
        <w:t>9. Content Hierarchy &amp; Readability</w:t>
      </w:r>
    </w:p>
    <w:tbl>
      <w:tblPr>
        <w:tblStyle w:val="TableGrid"/>
        <w:tblW w:type="auto" w:w="0"/>
        <w:jc w:val="center"/>
        <w:tblLook w:firstColumn="1" w:firstRow="1" w:lastColumn="0" w:lastRow="0" w:noHBand="0" w:noVBand="1" w:val="04A0"/>
      </w:tblPr>
      <w:tblGrid>
        <w:gridCol w:w="5112"/>
        <w:gridCol w:w="5112"/>
      </w:tblGrid>
      <w:tr>
        <w:tc>
          <w:tcPr>
            <w:tcW w:type="dxa" w:w="2880"/>
            <w:shd w:fill="173B56"/>
            <w:tcMar>
              <w:top w:w="105" w:type="dxa"/>
              <w:start w:w="105" w:type="dxa"/>
              <w:bottom w:w="105" w:type="dxa"/>
              <w:end w:w="105" w:type="dxa"/>
            </w:tcMar>
            <w:vAlign w:val="center"/>
          </w:tcPr>
          <w:p>
            <w:r>
              <w:rPr>
                <w:b/>
                <w:color w:val="FFFFFF"/>
                <w:sz w:val="16"/>
              </w:rPr>
              <w:t>Requirement</w:t>
            </w:r>
          </w:p>
        </w:tc>
        <w:tc>
          <w:tcPr>
            <w:tcW w:type="dxa" w:w="6912"/>
            <w:shd w:fill="173B56"/>
            <w:tcMar>
              <w:top w:w="105" w:type="dxa"/>
              <w:start w:w="105" w:type="dxa"/>
              <w:bottom w:w="105" w:type="dxa"/>
              <w:end w:w="105" w:type="dxa"/>
            </w:tcMar>
            <w:vAlign w:val="center"/>
          </w:tcPr>
          <w:p>
            <w:r>
              <w:rPr>
                <w:b/>
                <w:color w:val="FFFFFF"/>
                <w:sz w:val="16"/>
              </w:rPr>
              <w:t>Design implication</w:t>
            </w:r>
          </w:p>
        </w:tc>
      </w:tr>
      <w:tr>
        <w:tc>
          <w:tcPr>
            <w:tcW w:type="dxa" w:w="2880"/>
            <w:tcMar>
              <w:top w:w="105" w:type="dxa"/>
              <w:start w:w="105" w:type="dxa"/>
              <w:bottom w:w="105" w:type="dxa"/>
              <w:end w:w="105" w:type="dxa"/>
            </w:tcMar>
            <w:vAlign w:val="center"/>
          </w:tcPr>
          <w:p>
            <w:pPr>
              <w:spacing w:after="0"/>
            </w:pPr>
            <w:r>
              <w:rPr>
                <w:rFonts w:ascii="Aptos" w:hAnsi="Aptos"/>
                <w:sz w:val="16"/>
              </w:rPr>
              <w:t>Executive scanning</w:t>
            </w:r>
          </w:p>
        </w:tc>
        <w:tc>
          <w:tcPr>
            <w:tcW w:type="dxa" w:w="6912"/>
            <w:tcMar>
              <w:top w:w="105" w:type="dxa"/>
              <w:start w:w="105" w:type="dxa"/>
              <w:bottom w:w="105" w:type="dxa"/>
              <w:end w:w="105" w:type="dxa"/>
            </w:tcMar>
            <w:vAlign w:val="center"/>
          </w:tcPr>
          <w:p>
            <w:pPr>
              <w:spacing w:after="0"/>
            </w:pPr>
            <w:r>
              <w:rPr>
                <w:rFonts w:ascii="Aptos" w:hAnsi="Aptos"/>
                <w:sz w:val="16"/>
              </w:rPr>
              <w:t>Major sections should communicate their purpose within seconds.</w:t>
            </w:r>
          </w:p>
        </w:tc>
      </w:tr>
      <w:tr>
        <w:tc>
          <w:tcPr>
            <w:tcW w:type="dxa" w:w="2880"/>
            <w:tcMar>
              <w:top w:w="105" w:type="dxa"/>
              <w:start w:w="105" w:type="dxa"/>
              <w:bottom w:w="105" w:type="dxa"/>
              <w:end w:w="105" w:type="dxa"/>
            </w:tcMar>
            <w:vAlign w:val="center"/>
          </w:tcPr>
          <w:p>
            <w:pPr>
              <w:spacing w:after="0"/>
            </w:pPr>
            <w:r>
              <w:rPr>
                <w:rFonts w:ascii="Aptos" w:hAnsi="Aptos"/>
                <w:sz w:val="16"/>
              </w:rPr>
              <w:t>Short paragraph rhythm</w:t>
            </w:r>
          </w:p>
        </w:tc>
        <w:tc>
          <w:tcPr>
            <w:tcW w:type="dxa" w:w="6912"/>
            <w:tcMar>
              <w:top w:w="105" w:type="dxa"/>
              <w:start w:w="105" w:type="dxa"/>
              <w:bottom w:w="105" w:type="dxa"/>
              <w:end w:w="105" w:type="dxa"/>
            </w:tcMar>
            <w:vAlign w:val="center"/>
          </w:tcPr>
          <w:p>
            <w:pPr>
              <w:spacing w:after="0"/>
            </w:pPr>
            <w:r>
              <w:rPr>
                <w:rFonts w:ascii="Aptos" w:hAnsi="Aptos"/>
                <w:sz w:val="16"/>
              </w:rPr>
              <w:t>Design should not depend on long blocks of body copy.</w:t>
            </w:r>
          </w:p>
        </w:tc>
      </w:tr>
      <w:tr>
        <w:tc>
          <w:tcPr>
            <w:tcW w:type="dxa" w:w="2880"/>
            <w:tcMar>
              <w:top w:w="105" w:type="dxa"/>
              <w:start w:w="105" w:type="dxa"/>
              <w:bottom w:w="105" w:type="dxa"/>
              <w:end w:w="105" w:type="dxa"/>
            </w:tcMar>
            <w:vAlign w:val="center"/>
          </w:tcPr>
          <w:p>
            <w:pPr>
              <w:spacing w:after="0"/>
            </w:pPr>
            <w:r>
              <w:rPr>
                <w:rFonts w:ascii="Aptos" w:hAnsi="Aptos"/>
                <w:sz w:val="16"/>
              </w:rPr>
              <w:t>Proof near claims</w:t>
            </w:r>
          </w:p>
        </w:tc>
        <w:tc>
          <w:tcPr>
            <w:tcW w:type="dxa" w:w="6912"/>
            <w:tcMar>
              <w:top w:w="105" w:type="dxa"/>
              <w:start w:w="105" w:type="dxa"/>
              <w:bottom w:w="105" w:type="dxa"/>
              <w:end w:w="105" w:type="dxa"/>
            </w:tcMar>
            <w:vAlign w:val="center"/>
          </w:tcPr>
          <w:p>
            <w:pPr>
              <w:spacing w:after="0"/>
            </w:pPr>
            <w:r>
              <w:rPr>
                <w:rFonts w:ascii="Aptos" w:hAnsi="Aptos"/>
                <w:sz w:val="16"/>
              </w:rPr>
              <w:t>Keep evidence physically close to the statements it supports.</w:t>
            </w:r>
          </w:p>
        </w:tc>
      </w:tr>
      <w:tr>
        <w:tc>
          <w:tcPr>
            <w:tcW w:type="dxa" w:w="2880"/>
            <w:tcMar>
              <w:top w:w="105" w:type="dxa"/>
              <w:start w:w="105" w:type="dxa"/>
              <w:bottom w:w="105" w:type="dxa"/>
              <w:end w:w="105" w:type="dxa"/>
            </w:tcMar>
            <w:vAlign w:val="center"/>
          </w:tcPr>
          <w:p>
            <w:pPr>
              <w:spacing w:after="0"/>
            </w:pPr>
            <w:r>
              <w:rPr>
                <w:rFonts w:ascii="Aptos" w:hAnsi="Aptos"/>
                <w:sz w:val="16"/>
              </w:rPr>
              <w:t>Clear CTA contrast</w:t>
            </w:r>
          </w:p>
        </w:tc>
        <w:tc>
          <w:tcPr>
            <w:tcW w:type="dxa" w:w="6912"/>
            <w:tcMar>
              <w:top w:w="105" w:type="dxa"/>
              <w:start w:w="105" w:type="dxa"/>
              <w:bottom w:w="105" w:type="dxa"/>
              <w:end w:w="105" w:type="dxa"/>
            </w:tcMar>
            <w:vAlign w:val="center"/>
          </w:tcPr>
          <w:p>
            <w:pPr>
              <w:spacing w:after="0"/>
            </w:pPr>
            <w:r>
              <w:rPr>
                <w:rFonts w:ascii="Aptos" w:hAnsi="Aptos"/>
                <w:sz w:val="16"/>
              </w:rPr>
              <w:t>Primary action should be visually distinct without overwhelming the page.</w:t>
            </w:r>
          </w:p>
        </w:tc>
      </w:tr>
      <w:tr>
        <w:tc>
          <w:tcPr>
            <w:tcW w:type="dxa" w:w="2880"/>
            <w:tcMar>
              <w:top w:w="105" w:type="dxa"/>
              <w:start w:w="105" w:type="dxa"/>
              <w:bottom w:w="105" w:type="dxa"/>
              <w:end w:w="105" w:type="dxa"/>
            </w:tcMar>
            <w:vAlign w:val="center"/>
          </w:tcPr>
          <w:p>
            <w:pPr>
              <w:spacing w:after="0"/>
            </w:pPr>
            <w:r>
              <w:rPr>
                <w:rFonts w:ascii="Aptos" w:hAnsi="Aptos"/>
                <w:sz w:val="16"/>
              </w:rPr>
              <w:t>Section differentiation</w:t>
            </w:r>
          </w:p>
        </w:tc>
        <w:tc>
          <w:tcPr>
            <w:tcW w:type="dxa" w:w="6912"/>
            <w:tcMar>
              <w:top w:w="105" w:type="dxa"/>
              <w:start w:w="105" w:type="dxa"/>
              <w:bottom w:w="105" w:type="dxa"/>
              <w:end w:w="105" w:type="dxa"/>
            </w:tcMar>
            <w:vAlign w:val="center"/>
          </w:tcPr>
          <w:p>
            <w:pPr>
              <w:spacing w:after="0"/>
            </w:pPr>
            <w:r>
              <w:rPr>
                <w:rFonts w:ascii="Aptos" w:hAnsi="Aptos"/>
                <w:sz w:val="16"/>
              </w:rPr>
              <w:t>Use layout, spacing, and visual rhythm to signal shifts in the narrative.</w:t>
            </w:r>
          </w:p>
        </w:tc>
      </w:tr>
      <w:tr>
        <w:tc>
          <w:tcPr>
            <w:tcW w:type="dxa" w:w="2880"/>
            <w:tcMar>
              <w:top w:w="105" w:type="dxa"/>
              <w:start w:w="105" w:type="dxa"/>
              <w:bottom w:w="105" w:type="dxa"/>
              <w:end w:w="105" w:type="dxa"/>
            </w:tcMar>
            <w:vAlign w:val="center"/>
          </w:tcPr>
          <w:p>
            <w:pPr>
              <w:spacing w:after="0"/>
            </w:pPr>
            <w:r>
              <w:rPr>
                <w:rFonts w:ascii="Aptos" w:hAnsi="Aptos"/>
                <w:sz w:val="16"/>
              </w:rPr>
              <w:t>Responsive hierarchy</w:t>
            </w:r>
          </w:p>
        </w:tc>
        <w:tc>
          <w:tcPr>
            <w:tcW w:type="dxa" w:w="6912"/>
            <w:tcMar>
              <w:top w:w="105" w:type="dxa"/>
              <w:start w:w="105" w:type="dxa"/>
              <w:bottom w:w="105" w:type="dxa"/>
              <w:end w:w="105" w:type="dxa"/>
            </w:tcMar>
            <w:vAlign w:val="center"/>
          </w:tcPr>
          <w:p>
            <w:pPr>
              <w:spacing w:after="0"/>
            </w:pPr>
            <w:r>
              <w:rPr>
                <w:rFonts w:ascii="Aptos" w:hAnsi="Aptos"/>
                <w:sz w:val="16"/>
              </w:rPr>
              <w:t>The intended message order must survive mobile reflow.</w:t>
            </w:r>
          </w:p>
        </w:tc>
      </w:tr>
    </w:tbl>
    <w:p/>
    <w:p>
      <w:pPr>
        <w:pStyle w:val="Heading1"/>
      </w:pPr>
      <w:r>
        <w:t>10. Functional Requirements</w:t>
      </w:r>
    </w:p>
    <w:tbl>
      <w:tblPr>
        <w:tblStyle w:val="TableGrid"/>
        <w:tblW w:type="auto" w:w="0"/>
        <w:jc w:val="center"/>
        <w:tblLook w:firstColumn="1" w:firstRow="1" w:lastColumn="0" w:lastRow="0" w:noHBand="0" w:noVBand="1" w:val="04A0"/>
      </w:tblPr>
      <w:tblGrid>
        <w:gridCol w:w="5112"/>
        <w:gridCol w:w="5112"/>
      </w:tblGrid>
      <w:tr>
        <w:tc>
          <w:tcPr>
            <w:tcW w:type="dxa" w:w="2448"/>
            <w:shd w:fill="173B56"/>
            <w:tcMar>
              <w:top w:w="105" w:type="dxa"/>
              <w:start w:w="105" w:type="dxa"/>
              <w:bottom w:w="105" w:type="dxa"/>
              <w:end w:w="105" w:type="dxa"/>
            </w:tcMar>
            <w:vAlign w:val="center"/>
          </w:tcPr>
          <w:p>
            <w:r>
              <w:rPr>
                <w:b/>
                <w:color w:val="FFFFFF"/>
                <w:sz w:val="16"/>
              </w:rPr>
              <w:t>Area</w:t>
            </w:r>
          </w:p>
        </w:tc>
        <w:tc>
          <w:tcPr>
            <w:tcW w:type="dxa" w:w="7344"/>
            <w:shd w:fill="173B56"/>
            <w:tcMar>
              <w:top w:w="105" w:type="dxa"/>
              <w:start w:w="105" w:type="dxa"/>
              <w:bottom w:w="105" w:type="dxa"/>
              <w:end w:w="105" w:type="dxa"/>
            </w:tcMar>
            <w:vAlign w:val="center"/>
          </w:tcPr>
          <w:p>
            <w:r>
              <w:rPr>
                <w:b/>
                <w:color w:val="FFFFFF"/>
                <w:sz w:val="16"/>
              </w:rPr>
              <w:t>Requirement</w:t>
            </w:r>
          </w:p>
        </w:tc>
      </w:tr>
      <w:tr>
        <w:tc>
          <w:tcPr>
            <w:tcW w:type="dxa" w:w="2448"/>
            <w:tcMar>
              <w:top w:w="105" w:type="dxa"/>
              <w:start w:w="105" w:type="dxa"/>
              <w:bottom w:w="105" w:type="dxa"/>
              <w:end w:w="105" w:type="dxa"/>
            </w:tcMar>
            <w:vAlign w:val="center"/>
          </w:tcPr>
          <w:p>
            <w:pPr>
              <w:spacing w:after="0"/>
            </w:pPr>
            <w:r>
              <w:rPr>
                <w:rFonts w:ascii="Aptos" w:hAnsi="Aptos"/>
                <w:sz w:val="16"/>
              </w:rPr>
              <w:t>Navigation</w:t>
            </w:r>
          </w:p>
        </w:tc>
        <w:tc>
          <w:tcPr>
            <w:tcW w:type="dxa" w:w="7344"/>
            <w:tcMar>
              <w:top w:w="105" w:type="dxa"/>
              <w:start w:w="105" w:type="dxa"/>
              <w:bottom w:w="105" w:type="dxa"/>
              <w:end w:w="105" w:type="dxa"/>
            </w:tcMar>
            <w:vAlign w:val="center"/>
          </w:tcPr>
          <w:p>
            <w:pPr>
              <w:spacing w:after="0"/>
            </w:pPr>
            <w:r>
              <w:rPr>
                <w:rFonts w:ascii="Aptos" w:hAnsi="Aptos"/>
                <w:sz w:val="16"/>
              </w:rPr>
              <w:t>Responsive menu, audience routes, access to solutions / industries / proof / contact.</w:t>
            </w:r>
          </w:p>
        </w:tc>
      </w:tr>
      <w:tr>
        <w:tc>
          <w:tcPr>
            <w:tcW w:type="dxa" w:w="2448"/>
            <w:tcMar>
              <w:top w:w="105" w:type="dxa"/>
              <w:start w:w="105" w:type="dxa"/>
              <w:bottom w:w="105" w:type="dxa"/>
              <w:end w:w="105" w:type="dxa"/>
            </w:tcMar>
            <w:vAlign w:val="center"/>
          </w:tcPr>
          <w:p>
            <w:pPr>
              <w:spacing w:after="0"/>
            </w:pPr>
            <w:r>
              <w:rPr>
                <w:rFonts w:ascii="Aptos" w:hAnsi="Aptos"/>
                <w:sz w:val="16"/>
              </w:rPr>
              <w:t>CTAs</w:t>
            </w:r>
          </w:p>
        </w:tc>
        <w:tc>
          <w:tcPr>
            <w:tcW w:type="dxa" w:w="7344"/>
            <w:tcMar>
              <w:top w:w="105" w:type="dxa"/>
              <w:start w:w="105" w:type="dxa"/>
              <w:bottom w:w="105" w:type="dxa"/>
              <w:end w:w="105" w:type="dxa"/>
            </w:tcMar>
            <w:vAlign w:val="center"/>
          </w:tcPr>
          <w:p>
            <w:pPr>
              <w:spacing w:after="0"/>
            </w:pPr>
            <w:r>
              <w:rPr>
                <w:rFonts w:ascii="Aptos" w:hAnsi="Aptos"/>
                <w:sz w:val="16"/>
              </w:rPr>
              <w:t>Trackable buttons and links with consistent naming.</w:t>
            </w:r>
          </w:p>
        </w:tc>
      </w:tr>
      <w:tr>
        <w:tc>
          <w:tcPr>
            <w:tcW w:type="dxa" w:w="2448"/>
            <w:tcMar>
              <w:top w:w="105" w:type="dxa"/>
              <w:start w:w="105" w:type="dxa"/>
              <w:bottom w:w="105" w:type="dxa"/>
              <w:end w:w="105" w:type="dxa"/>
            </w:tcMar>
            <w:vAlign w:val="center"/>
          </w:tcPr>
          <w:p>
            <w:pPr>
              <w:spacing w:after="0"/>
            </w:pPr>
            <w:r>
              <w:rPr>
                <w:rFonts w:ascii="Aptos" w:hAnsi="Aptos"/>
                <w:sz w:val="16"/>
              </w:rPr>
              <w:t>Assessment</w:t>
            </w:r>
          </w:p>
        </w:tc>
        <w:tc>
          <w:tcPr>
            <w:tcW w:type="dxa" w:w="7344"/>
            <w:tcMar>
              <w:top w:w="105" w:type="dxa"/>
              <w:start w:w="105" w:type="dxa"/>
              <w:bottom w:w="105" w:type="dxa"/>
              <w:end w:w="105" w:type="dxa"/>
            </w:tcMar>
            <w:vAlign w:val="center"/>
          </w:tcPr>
          <w:p>
            <w:pPr>
              <w:spacing w:after="0"/>
            </w:pPr>
            <w:r>
              <w:rPr>
                <w:rFonts w:ascii="Aptos" w:hAnsi="Aptos"/>
                <w:sz w:val="16"/>
              </w:rPr>
              <w:t>Secondary conversion path, if available at launch.</w:t>
            </w:r>
          </w:p>
        </w:tc>
      </w:tr>
      <w:tr>
        <w:tc>
          <w:tcPr>
            <w:tcW w:type="dxa" w:w="2448"/>
            <w:tcMar>
              <w:top w:w="105" w:type="dxa"/>
              <w:start w:w="105" w:type="dxa"/>
              <w:bottom w:w="105" w:type="dxa"/>
              <w:end w:w="105" w:type="dxa"/>
            </w:tcMar>
            <w:vAlign w:val="center"/>
          </w:tcPr>
          <w:p>
            <w:pPr>
              <w:spacing w:after="0"/>
            </w:pPr>
            <w:r>
              <w:rPr>
                <w:rFonts w:ascii="Aptos" w:hAnsi="Aptos"/>
                <w:sz w:val="16"/>
              </w:rPr>
              <w:t>Pillar navigation</w:t>
            </w:r>
          </w:p>
        </w:tc>
        <w:tc>
          <w:tcPr>
            <w:tcW w:type="dxa" w:w="7344"/>
            <w:tcMar>
              <w:top w:w="105" w:type="dxa"/>
              <w:start w:w="105" w:type="dxa"/>
              <w:bottom w:w="105" w:type="dxa"/>
              <w:end w:w="105" w:type="dxa"/>
            </w:tcMar>
            <w:vAlign w:val="center"/>
          </w:tcPr>
          <w:p>
            <w:pPr>
              <w:spacing w:after="0"/>
            </w:pPr>
            <w:r>
              <w:rPr>
                <w:rFonts w:ascii="Aptos" w:hAnsi="Aptos"/>
                <w:sz w:val="16"/>
              </w:rPr>
              <w:t>Each pillar should route to its approved destination.</w:t>
            </w:r>
          </w:p>
        </w:tc>
      </w:tr>
      <w:tr>
        <w:tc>
          <w:tcPr>
            <w:tcW w:type="dxa" w:w="2448"/>
            <w:tcMar>
              <w:top w:w="105" w:type="dxa"/>
              <w:start w:w="105" w:type="dxa"/>
              <w:bottom w:w="105" w:type="dxa"/>
              <w:end w:w="105" w:type="dxa"/>
            </w:tcMar>
            <w:vAlign w:val="center"/>
          </w:tcPr>
          <w:p>
            <w:pPr>
              <w:spacing w:after="0"/>
            </w:pPr>
            <w:r>
              <w:rPr>
                <w:rFonts w:ascii="Aptos" w:hAnsi="Aptos"/>
                <w:sz w:val="16"/>
              </w:rPr>
              <w:t>Industry navigation</w:t>
            </w:r>
          </w:p>
        </w:tc>
        <w:tc>
          <w:tcPr>
            <w:tcW w:type="dxa" w:w="7344"/>
            <w:tcMar>
              <w:top w:w="105" w:type="dxa"/>
              <w:start w:w="105" w:type="dxa"/>
              <w:bottom w:w="105" w:type="dxa"/>
              <w:end w:w="105" w:type="dxa"/>
            </w:tcMar>
            <w:vAlign w:val="center"/>
          </w:tcPr>
          <w:p>
            <w:pPr>
              <w:spacing w:after="0"/>
            </w:pPr>
            <w:r>
              <w:rPr>
                <w:rFonts w:ascii="Aptos" w:hAnsi="Aptos"/>
                <w:sz w:val="16"/>
              </w:rPr>
              <w:t>Each industry item should route to an approved page.</w:t>
            </w:r>
          </w:p>
        </w:tc>
      </w:tr>
      <w:tr>
        <w:tc>
          <w:tcPr>
            <w:tcW w:type="dxa" w:w="2448"/>
            <w:tcMar>
              <w:top w:w="105" w:type="dxa"/>
              <w:start w:w="105" w:type="dxa"/>
              <w:bottom w:w="105" w:type="dxa"/>
              <w:end w:w="105" w:type="dxa"/>
            </w:tcMar>
            <w:vAlign w:val="center"/>
          </w:tcPr>
          <w:p>
            <w:pPr>
              <w:spacing w:after="0"/>
            </w:pPr>
            <w:r>
              <w:rPr>
                <w:rFonts w:ascii="Aptos" w:hAnsi="Aptos"/>
                <w:sz w:val="16"/>
              </w:rPr>
              <w:t>Proof modules</w:t>
            </w:r>
          </w:p>
        </w:tc>
        <w:tc>
          <w:tcPr>
            <w:tcW w:type="dxa" w:w="7344"/>
            <w:tcMar>
              <w:top w:w="105" w:type="dxa"/>
              <w:start w:w="105" w:type="dxa"/>
              <w:bottom w:w="105" w:type="dxa"/>
              <w:end w:w="105" w:type="dxa"/>
            </w:tcMar>
            <w:vAlign w:val="center"/>
          </w:tcPr>
          <w:p>
            <w:pPr>
              <w:spacing w:after="0"/>
            </w:pPr>
            <w:r>
              <w:rPr>
                <w:rFonts w:ascii="Aptos" w:hAnsi="Aptos"/>
                <w:sz w:val="16"/>
              </w:rPr>
              <w:t>Reusable case / testimonial / result component.</w:t>
            </w:r>
          </w:p>
        </w:tc>
      </w:tr>
      <w:tr>
        <w:tc>
          <w:tcPr>
            <w:tcW w:type="dxa" w:w="2448"/>
            <w:tcMar>
              <w:top w:w="105" w:type="dxa"/>
              <w:start w:w="105" w:type="dxa"/>
              <w:bottom w:w="105" w:type="dxa"/>
              <w:end w:w="105" w:type="dxa"/>
            </w:tcMar>
            <w:vAlign w:val="center"/>
          </w:tcPr>
          <w:p>
            <w:pPr>
              <w:spacing w:after="0"/>
            </w:pPr>
            <w:r>
              <w:rPr>
                <w:rFonts w:ascii="Aptos" w:hAnsi="Aptos"/>
                <w:sz w:val="16"/>
              </w:rPr>
              <w:t>Content cards</w:t>
            </w:r>
          </w:p>
        </w:tc>
        <w:tc>
          <w:tcPr>
            <w:tcW w:type="dxa" w:w="7344"/>
            <w:tcMar>
              <w:top w:w="105" w:type="dxa"/>
              <w:start w:w="105" w:type="dxa"/>
              <w:bottom w:w="105" w:type="dxa"/>
              <w:end w:w="105" w:type="dxa"/>
            </w:tcMar>
            <w:vAlign w:val="center"/>
          </w:tcPr>
          <w:p>
            <w:pPr>
              <w:spacing w:after="0"/>
            </w:pPr>
            <w:r>
              <w:rPr>
                <w:rFonts w:ascii="Aptos" w:hAnsi="Aptos"/>
                <w:sz w:val="16"/>
              </w:rPr>
              <w:t>Reusable resource-card component.</w:t>
            </w:r>
          </w:p>
        </w:tc>
      </w:tr>
      <w:tr>
        <w:tc>
          <w:tcPr>
            <w:tcW w:type="dxa" w:w="2448"/>
            <w:tcMar>
              <w:top w:w="105" w:type="dxa"/>
              <w:start w:w="105" w:type="dxa"/>
              <w:bottom w:w="105" w:type="dxa"/>
              <w:end w:w="105" w:type="dxa"/>
            </w:tcMar>
            <w:vAlign w:val="center"/>
          </w:tcPr>
          <w:p>
            <w:pPr>
              <w:spacing w:after="0"/>
            </w:pPr>
            <w:r>
              <w:rPr>
                <w:rFonts w:ascii="Aptos" w:hAnsi="Aptos"/>
                <w:sz w:val="16"/>
              </w:rPr>
              <w:t>Forms</w:t>
            </w:r>
          </w:p>
        </w:tc>
        <w:tc>
          <w:tcPr>
            <w:tcW w:type="dxa" w:w="7344"/>
            <w:tcMar>
              <w:top w:w="105" w:type="dxa"/>
              <w:start w:w="105" w:type="dxa"/>
              <w:bottom w:w="105" w:type="dxa"/>
              <w:end w:w="105" w:type="dxa"/>
            </w:tcMar>
            <w:vAlign w:val="center"/>
          </w:tcPr>
          <w:p>
            <w:pPr>
              <w:spacing w:after="0"/>
            </w:pPr>
            <w:r>
              <w:rPr>
                <w:rFonts w:ascii="Aptos" w:hAnsi="Aptos"/>
                <w:sz w:val="16"/>
              </w:rPr>
              <w:t>Primary consultation flow must align with approved qualification requirements.</w:t>
            </w:r>
          </w:p>
        </w:tc>
      </w:tr>
      <w:tr>
        <w:tc>
          <w:tcPr>
            <w:tcW w:type="dxa" w:w="2448"/>
            <w:tcMar>
              <w:top w:w="105" w:type="dxa"/>
              <w:start w:w="105" w:type="dxa"/>
              <w:bottom w:w="105" w:type="dxa"/>
              <w:end w:w="105" w:type="dxa"/>
            </w:tcMar>
            <w:vAlign w:val="center"/>
          </w:tcPr>
          <w:p>
            <w:pPr>
              <w:spacing w:after="0"/>
            </w:pPr>
            <w:r>
              <w:rPr>
                <w:rFonts w:ascii="Aptos" w:hAnsi="Aptos"/>
                <w:sz w:val="16"/>
              </w:rPr>
              <w:t>CMS</w:t>
            </w:r>
          </w:p>
        </w:tc>
        <w:tc>
          <w:tcPr>
            <w:tcW w:type="dxa" w:w="7344"/>
            <w:tcMar>
              <w:top w:w="105" w:type="dxa"/>
              <w:start w:w="105" w:type="dxa"/>
              <w:bottom w:w="105" w:type="dxa"/>
              <w:end w:w="105" w:type="dxa"/>
            </w:tcMar>
            <w:vAlign w:val="center"/>
          </w:tcPr>
          <w:p>
            <w:pPr>
              <w:spacing w:after="0"/>
            </w:pPr>
            <w:r>
              <w:rPr>
                <w:rFonts w:ascii="Aptos" w:hAnsi="Aptos"/>
                <w:sz w:val="16"/>
              </w:rPr>
              <w:t>Major content modules should be manageable without unnecessary developer dependence where feasible.</w:t>
            </w:r>
          </w:p>
        </w:tc>
      </w:tr>
    </w:tbl>
    <w:p/>
    <w:p>
      <w:pPr>
        <w:pStyle w:val="Heading1"/>
      </w:pPr>
      <w:r>
        <w:t>11. Measurement Requirements</w:t>
      </w:r>
    </w:p>
    <w:tbl>
      <w:tblPr>
        <w:tblStyle w:val="TableGrid"/>
        <w:tblW w:type="auto" w:w="0"/>
        <w:jc w:val="center"/>
        <w:tblLook w:firstColumn="1" w:firstRow="1" w:lastColumn="0" w:lastRow="0" w:noHBand="0" w:noVBand="1" w:val="04A0"/>
      </w:tblPr>
      <w:tblGrid>
        <w:gridCol w:w="5112"/>
        <w:gridCol w:w="5112"/>
      </w:tblGrid>
      <w:tr>
        <w:tc>
          <w:tcPr>
            <w:tcW w:type="dxa" w:w="3240"/>
            <w:shd w:fill="173B56"/>
            <w:tcMar>
              <w:top w:w="105" w:type="dxa"/>
              <w:start w:w="105" w:type="dxa"/>
              <w:bottom w:w="105" w:type="dxa"/>
              <w:end w:w="105" w:type="dxa"/>
            </w:tcMar>
            <w:vAlign w:val="center"/>
          </w:tcPr>
          <w:p>
            <w:r>
              <w:rPr>
                <w:b/>
                <w:color w:val="FFFFFF"/>
                <w:sz w:val="16"/>
              </w:rPr>
              <w:t>Interaction</w:t>
            </w:r>
          </w:p>
        </w:tc>
        <w:tc>
          <w:tcPr>
            <w:tcW w:type="dxa" w:w="6552"/>
            <w:shd w:fill="173B56"/>
            <w:tcMar>
              <w:top w:w="105" w:type="dxa"/>
              <w:start w:w="105" w:type="dxa"/>
              <w:bottom w:w="105" w:type="dxa"/>
              <w:end w:w="105" w:type="dxa"/>
            </w:tcMar>
            <w:vAlign w:val="center"/>
          </w:tcPr>
          <w:p>
            <w:r>
              <w:rPr>
                <w:b/>
                <w:color w:val="FFFFFF"/>
                <w:sz w:val="16"/>
              </w:rPr>
              <w:t>Design implication</w:t>
            </w:r>
          </w:p>
        </w:tc>
      </w:tr>
      <w:tr>
        <w:tc>
          <w:tcPr>
            <w:tcW w:type="dxa" w:w="3240"/>
            <w:tcMar>
              <w:top w:w="105" w:type="dxa"/>
              <w:start w:w="105" w:type="dxa"/>
              <w:bottom w:w="105" w:type="dxa"/>
              <w:end w:w="105" w:type="dxa"/>
            </w:tcMar>
            <w:vAlign w:val="center"/>
          </w:tcPr>
          <w:p>
            <w:pPr>
              <w:spacing w:after="0"/>
            </w:pPr>
            <w:r>
              <w:rPr>
                <w:rFonts w:ascii="Aptos" w:hAnsi="Aptos"/>
                <w:sz w:val="16"/>
              </w:rPr>
              <w:t>For My Team / For Myself</w:t>
            </w:r>
          </w:p>
        </w:tc>
        <w:tc>
          <w:tcPr>
            <w:tcW w:type="dxa" w:w="6552"/>
            <w:tcMar>
              <w:top w:w="105" w:type="dxa"/>
              <w:start w:w="105" w:type="dxa"/>
              <w:bottom w:w="105" w:type="dxa"/>
              <w:end w:w="105" w:type="dxa"/>
            </w:tcMar>
            <w:vAlign w:val="center"/>
          </w:tcPr>
          <w:p>
            <w:pPr>
              <w:spacing w:after="0"/>
            </w:pPr>
            <w:r>
              <w:rPr>
                <w:rFonts w:ascii="Aptos" w:hAnsi="Aptos"/>
                <w:sz w:val="16"/>
              </w:rPr>
              <w:t>Make both trackable as explicit path-selection events.</w:t>
            </w:r>
          </w:p>
        </w:tc>
      </w:tr>
      <w:tr>
        <w:tc>
          <w:tcPr>
            <w:tcW w:type="dxa" w:w="3240"/>
            <w:tcMar>
              <w:top w:w="105" w:type="dxa"/>
              <w:start w:w="105" w:type="dxa"/>
              <w:bottom w:w="105" w:type="dxa"/>
              <w:end w:w="105" w:type="dxa"/>
            </w:tcMar>
            <w:vAlign w:val="center"/>
          </w:tcPr>
          <w:p>
            <w:pPr>
              <w:spacing w:after="0"/>
            </w:pPr>
            <w:r>
              <w:rPr>
                <w:rFonts w:ascii="Aptos" w:hAnsi="Aptos"/>
                <w:sz w:val="16"/>
              </w:rPr>
              <w:t>Consultation CTA</w:t>
            </w:r>
          </w:p>
        </w:tc>
        <w:tc>
          <w:tcPr>
            <w:tcW w:type="dxa" w:w="6552"/>
            <w:tcMar>
              <w:top w:w="105" w:type="dxa"/>
              <w:start w:w="105" w:type="dxa"/>
              <w:bottom w:w="105" w:type="dxa"/>
              <w:end w:w="105" w:type="dxa"/>
            </w:tcMar>
            <w:vAlign w:val="center"/>
          </w:tcPr>
          <w:p>
            <w:pPr>
              <w:spacing w:after="0"/>
            </w:pPr>
            <w:r>
              <w:rPr>
                <w:rFonts w:ascii="Aptos" w:hAnsi="Aptos"/>
                <w:sz w:val="16"/>
              </w:rPr>
              <w:t>Consistent event naming across hero, mid-page, and final CTA.</w:t>
            </w:r>
          </w:p>
        </w:tc>
      </w:tr>
      <w:tr>
        <w:tc>
          <w:tcPr>
            <w:tcW w:type="dxa" w:w="3240"/>
            <w:tcMar>
              <w:top w:w="105" w:type="dxa"/>
              <w:start w:w="105" w:type="dxa"/>
              <w:bottom w:w="105" w:type="dxa"/>
              <w:end w:w="105" w:type="dxa"/>
            </w:tcMar>
            <w:vAlign w:val="center"/>
          </w:tcPr>
          <w:p>
            <w:pPr>
              <w:spacing w:after="0"/>
            </w:pPr>
            <w:r>
              <w:rPr>
                <w:rFonts w:ascii="Aptos" w:hAnsi="Aptos"/>
                <w:sz w:val="16"/>
              </w:rPr>
              <w:t>Assessment</w:t>
            </w:r>
          </w:p>
        </w:tc>
        <w:tc>
          <w:tcPr>
            <w:tcW w:type="dxa" w:w="6552"/>
            <w:tcMar>
              <w:top w:w="105" w:type="dxa"/>
              <w:start w:w="105" w:type="dxa"/>
              <w:bottom w:w="105" w:type="dxa"/>
              <w:end w:w="105" w:type="dxa"/>
            </w:tcMar>
            <w:vAlign w:val="center"/>
          </w:tcPr>
          <w:p>
            <w:pPr>
              <w:spacing w:after="0"/>
            </w:pPr>
            <w:r>
              <w:rPr>
                <w:rFonts w:ascii="Aptos" w:hAnsi="Aptos"/>
                <w:sz w:val="16"/>
              </w:rPr>
              <w:t>Track starts and completions where implemented.</w:t>
            </w:r>
          </w:p>
        </w:tc>
      </w:tr>
      <w:tr>
        <w:tc>
          <w:tcPr>
            <w:tcW w:type="dxa" w:w="3240"/>
            <w:tcMar>
              <w:top w:w="105" w:type="dxa"/>
              <w:start w:w="105" w:type="dxa"/>
              <w:bottom w:w="105" w:type="dxa"/>
              <w:end w:w="105" w:type="dxa"/>
            </w:tcMar>
            <w:vAlign w:val="center"/>
          </w:tcPr>
          <w:p>
            <w:pPr>
              <w:spacing w:after="0"/>
            </w:pPr>
            <w:r>
              <w:rPr>
                <w:rFonts w:ascii="Aptos" w:hAnsi="Aptos"/>
                <w:sz w:val="16"/>
              </w:rPr>
              <w:t>Pillar clicks</w:t>
            </w:r>
          </w:p>
        </w:tc>
        <w:tc>
          <w:tcPr>
            <w:tcW w:type="dxa" w:w="6552"/>
            <w:tcMar>
              <w:top w:w="105" w:type="dxa"/>
              <w:start w:w="105" w:type="dxa"/>
              <w:bottom w:w="105" w:type="dxa"/>
              <w:end w:w="105" w:type="dxa"/>
            </w:tcMar>
            <w:vAlign w:val="center"/>
          </w:tcPr>
          <w:p>
            <w:pPr>
              <w:spacing w:after="0"/>
            </w:pPr>
            <w:r>
              <w:rPr>
                <w:rFonts w:ascii="Aptos" w:hAnsi="Aptos"/>
                <w:sz w:val="16"/>
              </w:rPr>
              <w:t>Each pillar route should be individually measurable.</w:t>
            </w:r>
          </w:p>
        </w:tc>
      </w:tr>
      <w:tr>
        <w:tc>
          <w:tcPr>
            <w:tcW w:type="dxa" w:w="3240"/>
            <w:tcMar>
              <w:top w:w="105" w:type="dxa"/>
              <w:start w:w="105" w:type="dxa"/>
              <w:bottom w:w="105" w:type="dxa"/>
              <w:end w:w="105" w:type="dxa"/>
            </w:tcMar>
            <w:vAlign w:val="center"/>
          </w:tcPr>
          <w:p>
            <w:pPr>
              <w:spacing w:after="0"/>
            </w:pPr>
            <w:r>
              <w:rPr>
                <w:rFonts w:ascii="Aptos" w:hAnsi="Aptos"/>
                <w:sz w:val="16"/>
              </w:rPr>
              <w:t>Results / proof interaction</w:t>
            </w:r>
          </w:p>
        </w:tc>
        <w:tc>
          <w:tcPr>
            <w:tcW w:type="dxa" w:w="6552"/>
            <w:tcMar>
              <w:top w:w="105" w:type="dxa"/>
              <w:start w:w="105" w:type="dxa"/>
              <w:bottom w:w="105" w:type="dxa"/>
              <w:end w:w="105" w:type="dxa"/>
            </w:tcMar>
            <w:vAlign w:val="center"/>
          </w:tcPr>
          <w:p>
            <w:pPr>
              <w:spacing w:after="0"/>
            </w:pPr>
            <w:r>
              <w:rPr>
                <w:rFonts w:ascii="Aptos" w:hAnsi="Aptos"/>
                <w:sz w:val="16"/>
              </w:rPr>
              <w:t>Where meaningful, enable trackable progression to case evidence.</w:t>
            </w:r>
          </w:p>
        </w:tc>
      </w:tr>
      <w:tr>
        <w:tc>
          <w:tcPr>
            <w:tcW w:type="dxa" w:w="3240"/>
            <w:tcMar>
              <w:top w:w="105" w:type="dxa"/>
              <w:start w:w="105" w:type="dxa"/>
              <w:bottom w:w="105" w:type="dxa"/>
              <w:end w:w="105" w:type="dxa"/>
            </w:tcMar>
            <w:vAlign w:val="center"/>
          </w:tcPr>
          <w:p>
            <w:pPr>
              <w:spacing w:after="0"/>
            </w:pPr>
            <w:r>
              <w:rPr>
                <w:rFonts w:ascii="Aptos" w:hAnsi="Aptos"/>
                <w:sz w:val="16"/>
              </w:rPr>
              <w:t>Guarantee interest</w:t>
            </w:r>
          </w:p>
        </w:tc>
        <w:tc>
          <w:tcPr>
            <w:tcW w:type="dxa" w:w="6552"/>
            <w:tcMar>
              <w:top w:w="105" w:type="dxa"/>
              <w:start w:w="105" w:type="dxa"/>
              <w:bottom w:w="105" w:type="dxa"/>
              <w:end w:w="105" w:type="dxa"/>
            </w:tcMar>
            <w:vAlign w:val="center"/>
          </w:tcPr>
          <w:p>
            <w:pPr>
              <w:spacing w:after="0"/>
            </w:pPr>
            <w:r>
              <w:rPr>
                <w:rFonts w:ascii="Aptos" w:hAnsi="Aptos"/>
                <w:sz w:val="16"/>
              </w:rPr>
              <w:t>Track entry into the guarantee journey.</w:t>
            </w:r>
          </w:p>
        </w:tc>
      </w:tr>
      <w:tr>
        <w:tc>
          <w:tcPr>
            <w:tcW w:type="dxa" w:w="3240"/>
            <w:tcMar>
              <w:top w:w="105" w:type="dxa"/>
              <w:start w:w="105" w:type="dxa"/>
              <w:bottom w:w="105" w:type="dxa"/>
              <w:end w:w="105" w:type="dxa"/>
            </w:tcMar>
            <w:vAlign w:val="center"/>
          </w:tcPr>
          <w:p>
            <w:pPr>
              <w:spacing w:after="0"/>
            </w:pPr>
            <w:r>
              <w:rPr>
                <w:rFonts w:ascii="Aptos" w:hAnsi="Aptos"/>
                <w:sz w:val="16"/>
              </w:rPr>
              <w:t>Public seminar path</w:t>
            </w:r>
          </w:p>
        </w:tc>
        <w:tc>
          <w:tcPr>
            <w:tcW w:type="dxa" w:w="6552"/>
            <w:tcMar>
              <w:top w:w="105" w:type="dxa"/>
              <w:start w:w="105" w:type="dxa"/>
              <w:bottom w:w="105" w:type="dxa"/>
              <w:end w:w="105" w:type="dxa"/>
            </w:tcMar>
            <w:vAlign w:val="center"/>
          </w:tcPr>
          <w:p>
            <w:pPr>
              <w:spacing w:after="0"/>
            </w:pPr>
            <w:r>
              <w:rPr>
                <w:rFonts w:ascii="Aptos" w:hAnsi="Aptos"/>
                <w:sz w:val="16"/>
              </w:rPr>
              <w:t>Track movement into the individual route.</w:t>
            </w:r>
          </w:p>
        </w:tc>
      </w:tr>
    </w:tbl>
    <w:p/>
    <w:p>
      <w:pPr>
        <w:pStyle w:val="Heading1"/>
      </w:pPr>
      <w:r>
        <w:t>12. Accessibility &amp; Usability Requirements</w:t>
      </w:r>
    </w:p>
    <w:tbl>
      <w:tblPr>
        <w:tblStyle w:val="TableGrid"/>
        <w:tblW w:type="auto" w:w="0"/>
        <w:jc w:val="center"/>
        <w:tblLook w:firstColumn="1" w:firstRow="1" w:lastColumn="0" w:lastRow="0" w:noHBand="0" w:noVBand="1" w:val="04A0"/>
      </w:tblPr>
      <w:tblGrid>
        <w:gridCol w:w="5112"/>
        <w:gridCol w:w="5112"/>
      </w:tblGrid>
      <w:tr>
        <w:tc>
          <w:tcPr>
            <w:tcW w:type="dxa" w:w="2520"/>
            <w:shd w:fill="173B56"/>
            <w:tcMar>
              <w:top w:w="105" w:type="dxa"/>
              <w:start w:w="105" w:type="dxa"/>
              <w:bottom w:w="105" w:type="dxa"/>
              <w:end w:w="105" w:type="dxa"/>
            </w:tcMar>
            <w:vAlign w:val="center"/>
          </w:tcPr>
          <w:p>
            <w:r>
              <w:rPr>
                <w:b/>
                <w:color w:val="FFFFFF"/>
                <w:sz w:val="16"/>
              </w:rPr>
              <w:t>Requirement</w:t>
            </w:r>
          </w:p>
        </w:tc>
        <w:tc>
          <w:tcPr>
            <w:tcW w:type="dxa" w:w="7272"/>
            <w:shd w:fill="173B56"/>
            <w:tcMar>
              <w:top w:w="105" w:type="dxa"/>
              <w:start w:w="105" w:type="dxa"/>
              <w:bottom w:w="105" w:type="dxa"/>
              <w:end w:w="105" w:type="dxa"/>
            </w:tcMar>
            <w:vAlign w:val="center"/>
          </w:tcPr>
          <w:p>
            <w:r>
              <w:rPr>
                <w:b/>
                <w:color w:val="FFFFFF"/>
                <w:sz w:val="16"/>
              </w:rPr>
              <w:t>Design standard</w:t>
            </w:r>
          </w:p>
        </w:tc>
      </w:tr>
      <w:tr>
        <w:tc>
          <w:tcPr>
            <w:tcW w:type="dxa" w:w="2520"/>
            <w:tcMar>
              <w:top w:w="105" w:type="dxa"/>
              <w:start w:w="105" w:type="dxa"/>
              <w:bottom w:w="105" w:type="dxa"/>
              <w:end w:w="105" w:type="dxa"/>
            </w:tcMar>
            <w:vAlign w:val="center"/>
          </w:tcPr>
          <w:p>
            <w:pPr>
              <w:spacing w:after="0"/>
            </w:pPr>
            <w:r>
              <w:rPr>
                <w:rFonts w:ascii="Aptos" w:hAnsi="Aptos"/>
                <w:sz w:val="16"/>
              </w:rPr>
              <w:t>Contrast</w:t>
            </w:r>
          </w:p>
        </w:tc>
        <w:tc>
          <w:tcPr>
            <w:tcW w:type="dxa" w:w="7272"/>
            <w:tcMar>
              <w:top w:w="105" w:type="dxa"/>
              <w:start w:w="105" w:type="dxa"/>
              <w:bottom w:w="105" w:type="dxa"/>
              <w:end w:w="105" w:type="dxa"/>
            </w:tcMar>
            <w:vAlign w:val="center"/>
          </w:tcPr>
          <w:p>
            <w:pPr>
              <w:spacing w:after="0"/>
            </w:pPr>
            <w:r>
              <w:rPr>
                <w:rFonts w:ascii="Aptos" w:hAnsi="Aptos"/>
                <w:sz w:val="16"/>
              </w:rPr>
              <w:t>Use sufficient contrast for text, controls, and interactive states.</w:t>
            </w:r>
          </w:p>
        </w:tc>
      </w:tr>
      <w:tr>
        <w:tc>
          <w:tcPr>
            <w:tcW w:type="dxa" w:w="2520"/>
            <w:tcMar>
              <w:top w:w="105" w:type="dxa"/>
              <w:start w:w="105" w:type="dxa"/>
              <w:bottom w:w="105" w:type="dxa"/>
              <w:end w:w="105" w:type="dxa"/>
            </w:tcMar>
            <w:vAlign w:val="center"/>
          </w:tcPr>
          <w:p>
            <w:pPr>
              <w:spacing w:after="0"/>
            </w:pPr>
            <w:r>
              <w:rPr>
                <w:rFonts w:ascii="Aptos" w:hAnsi="Aptos"/>
                <w:sz w:val="16"/>
              </w:rPr>
              <w:t>Typography</w:t>
            </w:r>
          </w:p>
        </w:tc>
        <w:tc>
          <w:tcPr>
            <w:tcW w:type="dxa" w:w="7272"/>
            <w:tcMar>
              <w:top w:w="105" w:type="dxa"/>
              <w:start w:w="105" w:type="dxa"/>
              <w:bottom w:w="105" w:type="dxa"/>
              <w:end w:w="105" w:type="dxa"/>
            </w:tcMar>
            <w:vAlign w:val="center"/>
          </w:tcPr>
          <w:p>
            <w:pPr>
              <w:spacing w:after="0"/>
            </w:pPr>
            <w:r>
              <w:rPr>
                <w:rFonts w:ascii="Aptos" w:hAnsi="Aptos"/>
                <w:sz w:val="16"/>
              </w:rPr>
              <w:t>Prioritize readability and comfortable scale across devices.</w:t>
            </w:r>
          </w:p>
        </w:tc>
      </w:tr>
      <w:tr>
        <w:tc>
          <w:tcPr>
            <w:tcW w:type="dxa" w:w="2520"/>
            <w:tcMar>
              <w:top w:w="105" w:type="dxa"/>
              <w:start w:w="105" w:type="dxa"/>
              <w:bottom w:w="105" w:type="dxa"/>
              <w:end w:w="105" w:type="dxa"/>
            </w:tcMar>
            <w:vAlign w:val="center"/>
          </w:tcPr>
          <w:p>
            <w:pPr>
              <w:spacing w:after="0"/>
            </w:pPr>
            <w:r>
              <w:rPr>
                <w:rFonts w:ascii="Aptos" w:hAnsi="Aptos"/>
                <w:sz w:val="16"/>
              </w:rPr>
              <w:t>Keyboard behavior</w:t>
            </w:r>
          </w:p>
        </w:tc>
        <w:tc>
          <w:tcPr>
            <w:tcW w:type="dxa" w:w="7272"/>
            <w:tcMar>
              <w:top w:w="105" w:type="dxa"/>
              <w:start w:w="105" w:type="dxa"/>
              <w:bottom w:w="105" w:type="dxa"/>
              <w:end w:w="105" w:type="dxa"/>
            </w:tcMar>
            <w:vAlign w:val="center"/>
          </w:tcPr>
          <w:p>
            <w:pPr>
              <w:spacing w:after="0"/>
            </w:pPr>
            <w:r>
              <w:rPr>
                <w:rFonts w:ascii="Aptos" w:hAnsi="Aptos"/>
                <w:sz w:val="16"/>
              </w:rPr>
              <w:t>Navigation and controls must support keyboard interaction in development.</w:t>
            </w:r>
          </w:p>
        </w:tc>
      </w:tr>
      <w:tr>
        <w:tc>
          <w:tcPr>
            <w:tcW w:type="dxa" w:w="2520"/>
            <w:tcMar>
              <w:top w:w="105" w:type="dxa"/>
              <w:start w:w="105" w:type="dxa"/>
              <w:bottom w:w="105" w:type="dxa"/>
              <w:end w:w="105" w:type="dxa"/>
            </w:tcMar>
            <w:vAlign w:val="center"/>
          </w:tcPr>
          <w:p>
            <w:pPr>
              <w:spacing w:after="0"/>
            </w:pPr>
            <w:r>
              <w:rPr>
                <w:rFonts w:ascii="Aptos" w:hAnsi="Aptos"/>
                <w:sz w:val="16"/>
              </w:rPr>
              <w:t>Focus states</w:t>
            </w:r>
          </w:p>
        </w:tc>
        <w:tc>
          <w:tcPr>
            <w:tcW w:type="dxa" w:w="7272"/>
            <w:tcMar>
              <w:top w:w="105" w:type="dxa"/>
              <w:start w:w="105" w:type="dxa"/>
              <w:bottom w:w="105" w:type="dxa"/>
              <w:end w:w="105" w:type="dxa"/>
            </w:tcMar>
            <w:vAlign w:val="center"/>
          </w:tcPr>
          <w:p>
            <w:pPr>
              <w:spacing w:after="0"/>
            </w:pPr>
            <w:r>
              <w:rPr>
                <w:rFonts w:ascii="Aptos" w:hAnsi="Aptos"/>
                <w:sz w:val="16"/>
              </w:rPr>
              <w:t>Interactive elements require visible focus states.</w:t>
            </w:r>
          </w:p>
        </w:tc>
      </w:tr>
      <w:tr>
        <w:tc>
          <w:tcPr>
            <w:tcW w:type="dxa" w:w="2520"/>
            <w:tcMar>
              <w:top w:w="105" w:type="dxa"/>
              <w:start w:w="105" w:type="dxa"/>
              <w:bottom w:w="105" w:type="dxa"/>
              <w:end w:w="105" w:type="dxa"/>
            </w:tcMar>
            <w:vAlign w:val="center"/>
          </w:tcPr>
          <w:p>
            <w:pPr>
              <w:spacing w:after="0"/>
            </w:pPr>
            <w:r>
              <w:rPr>
                <w:rFonts w:ascii="Aptos" w:hAnsi="Aptos"/>
                <w:sz w:val="16"/>
              </w:rPr>
              <w:t>Link clarity</w:t>
            </w:r>
          </w:p>
        </w:tc>
        <w:tc>
          <w:tcPr>
            <w:tcW w:type="dxa" w:w="7272"/>
            <w:tcMar>
              <w:top w:w="105" w:type="dxa"/>
              <w:start w:w="105" w:type="dxa"/>
              <w:bottom w:w="105" w:type="dxa"/>
              <w:end w:w="105" w:type="dxa"/>
            </w:tcMar>
            <w:vAlign w:val="center"/>
          </w:tcPr>
          <w:p>
            <w:pPr>
              <w:spacing w:after="0"/>
            </w:pPr>
            <w:r>
              <w:rPr>
                <w:rFonts w:ascii="Aptos" w:hAnsi="Aptos"/>
                <w:sz w:val="16"/>
              </w:rPr>
              <w:t>CTA and link labels should communicate destination / action clearly.</w:t>
            </w:r>
          </w:p>
        </w:tc>
      </w:tr>
      <w:tr>
        <w:tc>
          <w:tcPr>
            <w:tcW w:type="dxa" w:w="2520"/>
            <w:tcMar>
              <w:top w:w="105" w:type="dxa"/>
              <w:start w:w="105" w:type="dxa"/>
              <w:bottom w:w="105" w:type="dxa"/>
              <w:end w:w="105" w:type="dxa"/>
            </w:tcMar>
            <w:vAlign w:val="center"/>
          </w:tcPr>
          <w:p>
            <w:pPr>
              <w:spacing w:after="0"/>
            </w:pPr>
            <w:r>
              <w:rPr>
                <w:rFonts w:ascii="Aptos" w:hAnsi="Aptos"/>
                <w:sz w:val="16"/>
              </w:rPr>
              <w:t>Image text</w:t>
            </w:r>
          </w:p>
        </w:tc>
        <w:tc>
          <w:tcPr>
            <w:tcW w:type="dxa" w:w="7272"/>
            <w:tcMar>
              <w:top w:w="105" w:type="dxa"/>
              <w:start w:w="105" w:type="dxa"/>
              <w:bottom w:w="105" w:type="dxa"/>
              <w:end w:w="105" w:type="dxa"/>
            </w:tcMar>
            <w:vAlign w:val="center"/>
          </w:tcPr>
          <w:p>
            <w:pPr>
              <w:spacing w:after="0"/>
            </w:pPr>
            <w:r>
              <w:rPr>
                <w:rFonts w:ascii="Aptos" w:hAnsi="Aptos"/>
                <w:sz w:val="16"/>
              </w:rPr>
              <w:t>Do not embed essential copy inside images.</w:t>
            </w:r>
          </w:p>
        </w:tc>
      </w:tr>
      <w:tr>
        <w:tc>
          <w:tcPr>
            <w:tcW w:type="dxa" w:w="2520"/>
            <w:tcMar>
              <w:top w:w="105" w:type="dxa"/>
              <w:start w:w="105" w:type="dxa"/>
              <w:bottom w:w="105" w:type="dxa"/>
              <w:end w:w="105" w:type="dxa"/>
            </w:tcMar>
            <w:vAlign w:val="center"/>
          </w:tcPr>
          <w:p>
            <w:pPr>
              <w:spacing w:after="0"/>
            </w:pPr>
            <w:r>
              <w:rPr>
                <w:rFonts w:ascii="Aptos" w:hAnsi="Aptos"/>
                <w:sz w:val="16"/>
              </w:rPr>
              <w:t>Motion</w:t>
            </w:r>
          </w:p>
        </w:tc>
        <w:tc>
          <w:tcPr>
            <w:tcW w:type="dxa" w:w="7272"/>
            <w:tcMar>
              <w:top w:w="105" w:type="dxa"/>
              <w:start w:w="105" w:type="dxa"/>
              <w:bottom w:w="105" w:type="dxa"/>
              <w:end w:w="105" w:type="dxa"/>
            </w:tcMar>
            <w:vAlign w:val="center"/>
          </w:tcPr>
          <w:p>
            <w:pPr>
              <w:spacing w:after="0"/>
            </w:pPr>
            <w:r>
              <w:rPr>
                <w:rFonts w:ascii="Aptos" w:hAnsi="Aptos"/>
                <w:sz w:val="16"/>
              </w:rPr>
              <w:t>Any motion should support comprehension and respect reduced-motion preferences.</w:t>
            </w:r>
          </w:p>
        </w:tc>
      </w:tr>
      <w:tr>
        <w:tc>
          <w:tcPr>
            <w:tcW w:type="dxa" w:w="2520"/>
            <w:tcMar>
              <w:top w:w="105" w:type="dxa"/>
              <w:start w:w="105" w:type="dxa"/>
              <w:bottom w:w="105" w:type="dxa"/>
              <w:end w:w="105" w:type="dxa"/>
            </w:tcMar>
            <w:vAlign w:val="center"/>
          </w:tcPr>
          <w:p>
            <w:pPr>
              <w:spacing w:after="0"/>
            </w:pPr>
            <w:r>
              <w:rPr>
                <w:rFonts w:ascii="Aptos" w:hAnsi="Aptos"/>
                <w:sz w:val="16"/>
              </w:rPr>
              <w:t>Forms</w:t>
            </w:r>
          </w:p>
        </w:tc>
        <w:tc>
          <w:tcPr>
            <w:tcW w:type="dxa" w:w="7272"/>
            <w:tcMar>
              <w:top w:w="105" w:type="dxa"/>
              <w:start w:w="105" w:type="dxa"/>
              <w:bottom w:w="105" w:type="dxa"/>
              <w:end w:w="105" w:type="dxa"/>
            </w:tcMar>
            <w:vAlign w:val="center"/>
          </w:tcPr>
          <w:p>
            <w:pPr>
              <w:spacing w:after="0"/>
            </w:pPr>
            <w:r>
              <w:rPr>
                <w:rFonts w:ascii="Aptos" w:hAnsi="Aptos"/>
                <w:sz w:val="16"/>
              </w:rPr>
              <w:t>Labels, errors, instructions, and required states must be clear.</w:t>
            </w:r>
          </w:p>
        </w:tc>
      </w:tr>
    </w:tbl>
    <w:p/>
    <w:p>
      <w:pPr>
        <w:pStyle w:val="Heading1"/>
      </w:pPr>
      <w:r>
        <w:t>13. Design Constraints &amp; Open Decisions</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73B56"/>
            <w:tcMar>
              <w:top w:w="105" w:type="dxa"/>
              <w:start w:w="105" w:type="dxa"/>
              <w:bottom w:w="105" w:type="dxa"/>
              <w:end w:w="105" w:type="dxa"/>
            </w:tcMar>
            <w:vAlign w:val="center"/>
          </w:tcPr>
          <w:p>
            <w:r>
              <w:rPr>
                <w:b/>
                <w:color w:val="FFFFFF"/>
                <w:sz w:val="14"/>
              </w:rPr>
              <w:t>Item</w:t>
            </w:r>
          </w:p>
        </w:tc>
        <w:tc>
          <w:tcPr>
            <w:tcW w:type="dxa" w:w="3672"/>
            <w:shd w:fill="173B56"/>
            <w:tcMar>
              <w:top w:w="105" w:type="dxa"/>
              <w:start w:w="105" w:type="dxa"/>
              <w:bottom w:w="105" w:type="dxa"/>
              <w:end w:w="105" w:type="dxa"/>
            </w:tcMar>
            <w:vAlign w:val="center"/>
          </w:tcPr>
          <w:p>
            <w:r>
              <w:rPr>
                <w:b/>
                <w:color w:val="FFFFFF"/>
                <w:sz w:val="14"/>
              </w:rPr>
              <w:t>Current state</w:t>
            </w:r>
          </w:p>
        </w:tc>
        <w:tc>
          <w:tcPr>
            <w:tcW w:type="dxa" w:w="3816"/>
            <w:shd w:fill="173B56"/>
            <w:tcMar>
              <w:top w:w="105" w:type="dxa"/>
              <w:start w:w="105" w:type="dxa"/>
              <w:bottom w:w="105" w:type="dxa"/>
              <w:end w:w="105" w:type="dxa"/>
            </w:tcMar>
            <w:vAlign w:val="center"/>
          </w:tcPr>
          <w:p>
            <w:r>
              <w:rPr>
                <w:b/>
                <w:color w:val="FFFFFF"/>
                <w:sz w:val="14"/>
              </w:rPr>
              <w:t>Design handling</w:t>
            </w:r>
          </w:p>
        </w:tc>
      </w:tr>
      <w:tr>
        <w:tc>
          <w:tcPr>
            <w:tcW w:type="dxa" w:w="2304"/>
            <w:tcMar>
              <w:top w:w="105" w:type="dxa"/>
              <w:start w:w="105" w:type="dxa"/>
              <w:bottom w:w="105" w:type="dxa"/>
              <w:end w:w="105" w:type="dxa"/>
            </w:tcMar>
            <w:vAlign w:val="center"/>
          </w:tcPr>
          <w:p>
            <w:pPr>
              <w:spacing w:after="0"/>
            </w:pPr>
            <w:r>
              <w:rPr>
                <w:rFonts w:ascii="Aptos" w:hAnsi="Aptos"/>
                <w:sz w:val="14"/>
              </w:rPr>
              <w:t>Brand template / final visual system</w:t>
            </w:r>
          </w:p>
        </w:tc>
        <w:tc>
          <w:tcPr>
            <w:tcW w:type="dxa" w:w="3672"/>
            <w:tcMar>
              <w:top w:w="105" w:type="dxa"/>
              <w:start w:w="105" w:type="dxa"/>
              <w:bottom w:w="105" w:type="dxa"/>
              <w:end w:w="105" w:type="dxa"/>
            </w:tcMar>
            <w:vAlign w:val="center"/>
          </w:tcPr>
          <w:p>
            <w:pPr>
              <w:spacing w:after="0"/>
            </w:pPr>
            <w:r>
              <w:rPr>
                <w:rFonts w:ascii="Aptos" w:hAnsi="Aptos"/>
                <w:sz w:val="14"/>
              </w:rPr>
              <w:t>Still evolving in the demo context.</w:t>
            </w:r>
          </w:p>
        </w:tc>
        <w:tc>
          <w:tcPr>
            <w:tcW w:type="dxa" w:w="3816"/>
            <w:tcMar>
              <w:top w:w="105" w:type="dxa"/>
              <w:start w:w="105" w:type="dxa"/>
              <w:bottom w:w="105" w:type="dxa"/>
              <w:end w:w="105" w:type="dxa"/>
            </w:tcMar>
            <w:vAlign w:val="center"/>
          </w:tcPr>
          <w:p>
            <w:pPr>
              <w:spacing w:after="0"/>
            </w:pPr>
            <w:r>
              <w:rPr>
                <w:rFonts w:ascii="Aptos" w:hAnsi="Aptos"/>
                <w:sz w:val="14"/>
              </w:rPr>
              <w:t>Use current NuVue brand assets as direction, but avoid hard-coding assumptions that prevent later refinement.</w:t>
            </w:r>
          </w:p>
        </w:tc>
      </w:tr>
      <w:tr>
        <w:tc>
          <w:tcPr>
            <w:tcW w:type="dxa" w:w="2304"/>
            <w:tcMar>
              <w:top w:w="105" w:type="dxa"/>
              <w:start w:w="105" w:type="dxa"/>
              <w:bottom w:w="105" w:type="dxa"/>
              <w:end w:w="105" w:type="dxa"/>
            </w:tcMar>
            <w:vAlign w:val="center"/>
          </w:tcPr>
          <w:p>
            <w:pPr>
              <w:spacing w:after="0"/>
            </w:pPr>
            <w:r>
              <w:rPr>
                <w:rFonts w:ascii="Aptos" w:hAnsi="Aptos"/>
                <w:sz w:val="14"/>
              </w:rPr>
              <w:t>Guarantee wording</w:t>
            </w:r>
          </w:p>
        </w:tc>
        <w:tc>
          <w:tcPr>
            <w:tcW w:type="dxa" w:w="3672"/>
            <w:tcMar>
              <w:top w:w="105" w:type="dxa"/>
              <w:start w:w="105" w:type="dxa"/>
              <w:bottom w:w="105" w:type="dxa"/>
              <w:end w:w="105" w:type="dxa"/>
            </w:tcMar>
            <w:vAlign w:val="center"/>
          </w:tcPr>
          <w:p>
            <w:pPr>
              <w:spacing w:after="0"/>
            </w:pPr>
            <w:r>
              <w:rPr>
                <w:rFonts w:ascii="Aptos" w:hAnsi="Aptos"/>
                <w:sz w:val="14"/>
              </w:rPr>
              <w:t>Terms still require final confirmation.</w:t>
            </w:r>
          </w:p>
        </w:tc>
        <w:tc>
          <w:tcPr>
            <w:tcW w:type="dxa" w:w="3816"/>
            <w:tcMar>
              <w:top w:w="105" w:type="dxa"/>
              <w:start w:w="105" w:type="dxa"/>
              <w:bottom w:w="105" w:type="dxa"/>
              <w:end w:w="105" w:type="dxa"/>
            </w:tcMar>
            <w:vAlign w:val="center"/>
          </w:tcPr>
          <w:p>
            <w:pPr>
              <w:spacing w:after="0"/>
            </w:pPr>
            <w:r>
              <w:rPr>
                <w:rFonts w:ascii="Aptos" w:hAnsi="Aptos"/>
                <w:sz w:val="14"/>
              </w:rPr>
              <w:t>Design a qualified proof/offer module that can accommodate approved final language.</w:t>
            </w:r>
          </w:p>
        </w:tc>
      </w:tr>
      <w:tr>
        <w:tc>
          <w:tcPr>
            <w:tcW w:type="dxa" w:w="2304"/>
            <w:tcMar>
              <w:top w:w="105" w:type="dxa"/>
              <w:start w:w="105" w:type="dxa"/>
              <w:bottom w:w="105" w:type="dxa"/>
              <w:end w:w="105" w:type="dxa"/>
            </w:tcMar>
            <w:vAlign w:val="center"/>
          </w:tcPr>
          <w:p>
            <w:pPr>
              <w:spacing w:after="0"/>
            </w:pPr>
            <w:r>
              <w:rPr>
                <w:rFonts w:ascii="Aptos" w:hAnsi="Aptos"/>
                <w:sz w:val="14"/>
              </w:rPr>
              <w:t>ROI proof</w:t>
            </w:r>
          </w:p>
        </w:tc>
        <w:tc>
          <w:tcPr>
            <w:tcW w:type="dxa" w:w="3672"/>
            <w:tcMar>
              <w:top w:w="105" w:type="dxa"/>
              <w:start w:w="105" w:type="dxa"/>
              <w:bottom w:w="105" w:type="dxa"/>
              <w:end w:w="105" w:type="dxa"/>
            </w:tcMar>
            <w:vAlign w:val="center"/>
          </w:tcPr>
          <w:p>
            <w:pPr>
              <w:spacing w:after="0"/>
            </w:pPr>
            <w:r>
              <w:rPr>
                <w:rFonts w:ascii="Aptos" w:hAnsi="Aptos"/>
                <w:sz w:val="14"/>
              </w:rPr>
              <w:t>Source library not fully attached in sample.</w:t>
            </w:r>
          </w:p>
        </w:tc>
        <w:tc>
          <w:tcPr>
            <w:tcW w:type="dxa" w:w="3816"/>
            <w:tcMar>
              <w:top w:w="105" w:type="dxa"/>
              <w:start w:w="105" w:type="dxa"/>
              <w:bottom w:w="105" w:type="dxa"/>
              <w:end w:w="105" w:type="dxa"/>
            </w:tcMar>
            <w:vAlign w:val="center"/>
          </w:tcPr>
          <w:p>
            <w:pPr>
              <w:spacing w:after="0"/>
            </w:pPr>
            <w:r>
              <w:rPr>
                <w:rFonts w:ascii="Aptos" w:hAnsi="Aptos"/>
                <w:sz w:val="14"/>
              </w:rPr>
              <w:t>Use placeholder content structure, not invented proof.</w:t>
            </w:r>
          </w:p>
        </w:tc>
      </w:tr>
      <w:tr>
        <w:tc>
          <w:tcPr>
            <w:tcW w:type="dxa" w:w="2304"/>
            <w:tcMar>
              <w:top w:w="105" w:type="dxa"/>
              <w:start w:w="105" w:type="dxa"/>
              <w:bottom w:w="105" w:type="dxa"/>
              <w:end w:w="105" w:type="dxa"/>
            </w:tcMar>
            <w:vAlign w:val="center"/>
          </w:tcPr>
          <w:p>
            <w:pPr>
              <w:spacing w:after="0"/>
            </w:pPr>
            <w:r>
              <w:rPr>
                <w:rFonts w:ascii="Aptos" w:hAnsi="Aptos"/>
                <w:sz w:val="14"/>
              </w:rPr>
              <w:t>Self-assessment</w:t>
            </w:r>
          </w:p>
        </w:tc>
        <w:tc>
          <w:tcPr>
            <w:tcW w:type="dxa" w:w="3672"/>
            <w:tcMar>
              <w:top w:w="105" w:type="dxa"/>
              <w:start w:w="105" w:type="dxa"/>
              <w:bottom w:w="105" w:type="dxa"/>
              <w:end w:w="105" w:type="dxa"/>
            </w:tcMar>
            <w:vAlign w:val="center"/>
          </w:tcPr>
          <w:p>
            <w:pPr>
              <w:spacing w:after="0"/>
            </w:pPr>
            <w:r>
              <w:rPr>
                <w:rFonts w:ascii="Aptos" w:hAnsi="Aptos"/>
                <w:sz w:val="14"/>
              </w:rPr>
              <w:t>Strategically recommended but launch availability must be confirmed.</w:t>
            </w:r>
          </w:p>
        </w:tc>
        <w:tc>
          <w:tcPr>
            <w:tcW w:type="dxa" w:w="3816"/>
            <w:tcMar>
              <w:top w:w="105" w:type="dxa"/>
              <w:start w:w="105" w:type="dxa"/>
              <w:bottom w:w="105" w:type="dxa"/>
              <w:end w:w="105" w:type="dxa"/>
            </w:tcMar>
            <w:vAlign w:val="center"/>
          </w:tcPr>
          <w:p>
            <w:pPr>
              <w:spacing w:after="0"/>
            </w:pPr>
            <w:r>
              <w:rPr>
                <w:rFonts w:ascii="Aptos" w:hAnsi="Aptos"/>
                <w:sz w:val="14"/>
              </w:rPr>
              <w:t>Design as optional module / CTA state.</w:t>
            </w:r>
          </w:p>
        </w:tc>
      </w:tr>
      <w:tr>
        <w:tc>
          <w:tcPr>
            <w:tcW w:type="dxa" w:w="2304"/>
            <w:tcMar>
              <w:top w:w="105" w:type="dxa"/>
              <w:start w:w="105" w:type="dxa"/>
              <w:bottom w:w="105" w:type="dxa"/>
              <w:end w:w="105" w:type="dxa"/>
            </w:tcMar>
            <w:vAlign w:val="center"/>
          </w:tcPr>
          <w:p>
            <w:pPr>
              <w:spacing w:after="0"/>
            </w:pPr>
            <w:r>
              <w:rPr>
                <w:rFonts w:ascii="Aptos" w:hAnsi="Aptos"/>
                <w:sz w:val="14"/>
              </w:rPr>
              <w:t>Photography</w:t>
            </w:r>
          </w:p>
        </w:tc>
        <w:tc>
          <w:tcPr>
            <w:tcW w:type="dxa" w:w="3672"/>
            <w:tcMar>
              <w:top w:w="105" w:type="dxa"/>
              <w:start w:w="105" w:type="dxa"/>
              <w:bottom w:w="105" w:type="dxa"/>
              <w:end w:w="105" w:type="dxa"/>
            </w:tcMar>
            <w:vAlign w:val="center"/>
          </w:tcPr>
          <w:p>
            <w:pPr>
              <w:spacing w:after="0"/>
            </w:pPr>
            <w:r>
              <w:rPr>
                <w:rFonts w:ascii="Aptos" w:hAnsi="Aptos"/>
                <w:sz w:val="14"/>
              </w:rPr>
              <w:t>Final library not supplied in this demo.</w:t>
            </w:r>
          </w:p>
        </w:tc>
        <w:tc>
          <w:tcPr>
            <w:tcW w:type="dxa" w:w="3816"/>
            <w:tcMar>
              <w:top w:w="105" w:type="dxa"/>
              <w:start w:w="105" w:type="dxa"/>
              <w:bottom w:w="105" w:type="dxa"/>
              <w:end w:w="105" w:type="dxa"/>
            </w:tcMar>
            <w:vAlign w:val="center"/>
          </w:tcPr>
          <w:p>
            <w:pPr>
              <w:spacing w:after="0"/>
            </w:pPr>
            <w:r>
              <w:rPr>
                <w:rFonts w:ascii="Aptos" w:hAnsi="Aptos"/>
                <w:sz w:val="14"/>
              </w:rPr>
              <w:t>Use clear image requirements rather than generic stand-ins where possible.</w:t>
            </w:r>
          </w:p>
        </w:tc>
      </w:tr>
      <w:tr>
        <w:tc>
          <w:tcPr>
            <w:tcW w:type="dxa" w:w="2304"/>
            <w:tcMar>
              <w:top w:w="105" w:type="dxa"/>
              <w:start w:w="105" w:type="dxa"/>
              <w:bottom w:w="105" w:type="dxa"/>
              <w:end w:w="105" w:type="dxa"/>
            </w:tcMar>
            <w:vAlign w:val="center"/>
          </w:tcPr>
          <w:p>
            <w:pPr>
              <w:spacing w:after="0"/>
            </w:pPr>
            <w:r>
              <w:rPr>
                <w:rFonts w:ascii="Aptos" w:hAnsi="Aptos"/>
                <w:sz w:val="14"/>
              </w:rPr>
              <w:t>Corporate form logic</w:t>
            </w:r>
          </w:p>
        </w:tc>
        <w:tc>
          <w:tcPr>
            <w:tcW w:type="dxa" w:w="3672"/>
            <w:tcMar>
              <w:top w:w="105" w:type="dxa"/>
              <w:start w:w="105" w:type="dxa"/>
              <w:bottom w:w="105" w:type="dxa"/>
              <w:end w:w="105" w:type="dxa"/>
            </w:tcMar>
            <w:vAlign w:val="center"/>
          </w:tcPr>
          <w:p>
            <w:pPr>
              <w:spacing w:after="0"/>
            </w:pPr>
            <w:r>
              <w:rPr>
                <w:rFonts w:ascii="Aptos" w:hAnsi="Aptos"/>
                <w:sz w:val="14"/>
              </w:rPr>
              <w:t>Qualification fields require final approval.</w:t>
            </w:r>
          </w:p>
        </w:tc>
        <w:tc>
          <w:tcPr>
            <w:tcW w:type="dxa" w:w="3816"/>
            <w:tcMar>
              <w:top w:w="105" w:type="dxa"/>
              <w:start w:w="105" w:type="dxa"/>
              <w:bottom w:w="105" w:type="dxa"/>
              <w:end w:w="105" w:type="dxa"/>
            </w:tcMar>
            <w:vAlign w:val="center"/>
          </w:tcPr>
          <w:p>
            <w:pPr>
              <w:spacing w:after="0"/>
            </w:pPr>
            <w:r>
              <w:rPr>
                <w:rFonts w:ascii="Aptos" w:hAnsi="Aptos"/>
                <w:sz w:val="14"/>
              </w:rPr>
              <w:t>Design for the expected information hierarchy without inventing fields.</w:t>
            </w:r>
          </w:p>
        </w:tc>
      </w:tr>
    </w:tbl>
    <w:p/>
    <w:p>
      <w:pPr>
        <w:pStyle w:val="Heading1"/>
      </w:pPr>
      <w:r>
        <w:t>14. Designer Handoff Source Order</w:t>
      </w:r>
    </w:p>
    <w:p>
      <w:pPr>
        <w:spacing w:after="100"/>
      </w:pPr>
      <w:r>
        <w:rPr>
          <w:b w:val="0"/>
        </w:rPr>
        <w:t>Use the following sources in this order when making design decisions:</w:t>
      </w:r>
    </w:p>
    <w:p>
      <w:pPr>
        <w:pStyle w:val="Callout"/>
        <w:spacing w:after="100"/>
      </w:pPr>
      <w:r>
        <w:rPr>
          <w:b w:val="0"/>
        </w:rPr>
        <w:t>Approved Blueprint Strategy → Website Messaging &amp; Content Blueprint → Brand Voice &amp; Editorial Guide → Homepage Content &amp; Messaging Brief → Approved Homepage Copy → this Creative Brief → approved brand assets / client decisions.</w:t>
      </w:r>
    </w:p>
    <w:p>
      <w:pPr>
        <w:spacing w:after="100"/>
      </w:pPr>
      <w:r>
        <w:rPr>
          <w:b w:val="0"/>
        </w:rPr>
        <w:t>If a visual preference conflicts with the approved page job, buyer intent, proof requirement, or conversion logic, bring the issue back to the Strategist rather than silently redesigning the strategy.</w:t>
      </w:r>
    </w:p>
    <w:p>
      <w:pPr>
        <w:pStyle w:val="Heading1"/>
      </w:pPr>
      <w:r>
        <w:t>15. Design Review Criteria</w:t>
      </w:r>
    </w:p>
    <w:tbl>
      <w:tblPr>
        <w:tblStyle w:val="TableGrid"/>
        <w:tblW w:type="auto" w:w="0"/>
        <w:jc w:val="center"/>
        <w:tblLook w:firstColumn="1" w:firstRow="1" w:lastColumn="0" w:lastRow="0" w:noHBand="0" w:noVBand="1" w:val="04A0"/>
      </w:tblPr>
      <w:tblGrid>
        <w:gridCol w:w="5112"/>
        <w:gridCol w:w="5112"/>
      </w:tblGrid>
      <w:tr>
        <w:tc>
          <w:tcPr>
            <w:tcW w:type="dxa" w:w="4608"/>
            <w:shd w:fill="173B56"/>
            <w:tcMar>
              <w:top w:w="105" w:type="dxa"/>
              <w:start w:w="105" w:type="dxa"/>
              <w:bottom w:w="105" w:type="dxa"/>
              <w:end w:w="105" w:type="dxa"/>
            </w:tcMar>
            <w:vAlign w:val="center"/>
          </w:tcPr>
          <w:p>
            <w:r>
              <w:rPr>
                <w:b/>
                <w:color w:val="FFFFFF"/>
                <w:sz w:val="15"/>
              </w:rPr>
              <w:t>Review question</w:t>
            </w:r>
          </w:p>
        </w:tc>
        <w:tc>
          <w:tcPr>
            <w:tcW w:type="dxa" w:w="5184"/>
            <w:shd w:fill="173B56"/>
            <w:tcMar>
              <w:top w:w="105" w:type="dxa"/>
              <w:start w:w="105" w:type="dxa"/>
              <w:bottom w:w="105" w:type="dxa"/>
              <w:end w:w="105" w:type="dxa"/>
            </w:tcMar>
            <w:vAlign w:val="center"/>
          </w:tcPr>
          <w:p>
            <w:r>
              <w:rPr>
                <w:b/>
                <w:color w:val="FFFFFF"/>
                <w:sz w:val="15"/>
              </w:rPr>
              <w:t>Pass condition</w:t>
            </w:r>
          </w:p>
        </w:tc>
      </w:tr>
      <w:tr>
        <w:tc>
          <w:tcPr>
            <w:tcW w:type="dxa" w:w="4608"/>
            <w:tcMar>
              <w:top w:w="105" w:type="dxa"/>
              <w:start w:w="105" w:type="dxa"/>
              <w:bottom w:w="105" w:type="dxa"/>
              <w:end w:w="105" w:type="dxa"/>
            </w:tcMar>
            <w:vAlign w:val="center"/>
          </w:tcPr>
          <w:p>
            <w:pPr>
              <w:spacing w:after="0"/>
            </w:pPr>
            <w:r>
              <w:rPr>
                <w:rFonts w:ascii="Aptos" w:hAnsi="Aptos"/>
                <w:sz w:val="15"/>
              </w:rPr>
              <w:t>Can the corporate buyer identify relevance quickly?</w:t>
            </w:r>
          </w:p>
        </w:tc>
        <w:tc>
          <w:tcPr>
            <w:tcW w:type="dxa" w:w="5184"/>
            <w:tcMar>
              <w:top w:w="105" w:type="dxa"/>
              <w:start w:w="105" w:type="dxa"/>
              <w:bottom w:w="105" w:type="dxa"/>
              <w:end w:w="105" w:type="dxa"/>
            </w:tcMar>
            <w:vAlign w:val="center"/>
          </w:tcPr>
          <w:p>
            <w:pPr>
              <w:spacing w:after="0"/>
            </w:pPr>
            <w:r>
              <w:rPr>
                <w:rFonts w:ascii="Aptos" w:hAnsi="Aptos"/>
                <w:sz w:val="15"/>
              </w:rPr>
              <w:t>The page communicates audience, value, and primary route without explanation from the team.</w:t>
            </w:r>
          </w:p>
        </w:tc>
      </w:tr>
      <w:tr>
        <w:tc>
          <w:tcPr>
            <w:tcW w:type="dxa" w:w="4608"/>
            <w:tcMar>
              <w:top w:w="105" w:type="dxa"/>
              <w:start w:w="105" w:type="dxa"/>
              <w:bottom w:w="105" w:type="dxa"/>
              <w:end w:w="105" w:type="dxa"/>
            </w:tcMar>
            <w:vAlign w:val="center"/>
          </w:tcPr>
          <w:p>
            <w:pPr>
              <w:spacing w:after="0"/>
            </w:pPr>
            <w:r>
              <w:rPr>
                <w:rFonts w:ascii="Aptos" w:hAnsi="Aptos"/>
                <w:sz w:val="15"/>
              </w:rPr>
              <w:t>Is the individual path still clear?</w:t>
            </w:r>
          </w:p>
        </w:tc>
        <w:tc>
          <w:tcPr>
            <w:tcW w:type="dxa" w:w="5184"/>
            <w:tcMar>
              <w:top w:w="105" w:type="dxa"/>
              <w:start w:w="105" w:type="dxa"/>
              <w:bottom w:w="105" w:type="dxa"/>
              <w:end w:w="105" w:type="dxa"/>
            </w:tcMar>
            <w:vAlign w:val="center"/>
          </w:tcPr>
          <w:p>
            <w:pPr>
              <w:spacing w:after="0"/>
            </w:pPr>
            <w:r>
              <w:rPr>
                <w:rFonts w:ascii="Aptos" w:hAnsi="Aptos"/>
                <w:sz w:val="15"/>
              </w:rPr>
              <w:t>It is visible and usable without competing with the primary corporate hierarchy.</w:t>
            </w:r>
          </w:p>
        </w:tc>
      </w:tr>
      <w:tr>
        <w:tc>
          <w:tcPr>
            <w:tcW w:type="dxa" w:w="4608"/>
            <w:tcMar>
              <w:top w:w="105" w:type="dxa"/>
              <w:start w:w="105" w:type="dxa"/>
              <w:bottom w:w="105" w:type="dxa"/>
              <w:end w:w="105" w:type="dxa"/>
            </w:tcMar>
            <w:vAlign w:val="center"/>
          </w:tcPr>
          <w:p>
            <w:pPr>
              <w:spacing w:after="0"/>
            </w:pPr>
            <w:r>
              <w:rPr>
                <w:rFonts w:ascii="Aptos" w:hAnsi="Aptos"/>
                <w:sz w:val="15"/>
              </w:rPr>
              <w:t>Does the design make NuVue's three-pillar breadth understandable?</w:t>
            </w:r>
          </w:p>
        </w:tc>
        <w:tc>
          <w:tcPr>
            <w:tcW w:type="dxa" w:w="5184"/>
            <w:tcMar>
              <w:top w:w="105" w:type="dxa"/>
              <w:start w:w="105" w:type="dxa"/>
              <w:bottom w:w="105" w:type="dxa"/>
              <w:end w:w="105" w:type="dxa"/>
            </w:tcMar>
            <w:vAlign w:val="center"/>
          </w:tcPr>
          <w:p>
            <w:pPr>
              <w:spacing w:after="0"/>
            </w:pPr>
            <w:r>
              <w:rPr>
                <w:rFonts w:ascii="Aptos" w:hAnsi="Aptos"/>
                <w:sz w:val="15"/>
              </w:rPr>
              <w:t>The three pillars feel connected and easy to navigate.</w:t>
            </w:r>
          </w:p>
        </w:tc>
      </w:tr>
      <w:tr>
        <w:tc>
          <w:tcPr>
            <w:tcW w:type="dxa" w:w="4608"/>
            <w:tcMar>
              <w:top w:w="105" w:type="dxa"/>
              <w:start w:w="105" w:type="dxa"/>
              <w:bottom w:w="105" w:type="dxa"/>
              <w:end w:w="105" w:type="dxa"/>
            </w:tcMar>
            <w:vAlign w:val="center"/>
          </w:tcPr>
          <w:p>
            <w:pPr>
              <w:spacing w:after="0"/>
            </w:pPr>
            <w:r>
              <w:rPr>
                <w:rFonts w:ascii="Aptos" w:hAnsi="Aptos"/>
                <w:sz w:val="15"/>
              </w:rPr>
              <w:t>Is the POV visible?</w:t>
            </w:r>
          </w:p>
        </w:tc>
        <w:tc>
          <w:tcPr>
            <w:tcW w:type="dxa" w:w="5184"/>
            <w:tcMar>
              <w:top w:w="105" w:type="dxa"/>
              <w:start w:w="105" w:type="dxa"/>
              <w:bottom w:w="105" w:type="dxa"/>
              <w:end w:w="105" w:type="dxa"/>
            </w:tcMar>
            <w:vAlign w:val="center"/>
          </w:tcPr>
          <w:p>
            <w:pPr>
              <w:spacing w:after="0"/>
            </w:pPr>
            <w:r>
              <w:rPr>
                <w:rFonts w:ascii="Aptos" w:hAnsi="Aptos"/>
                <w:sz w:val="15"/>
              </w:rPr>
              <w:t>The page explains why sustained learning matters rather than relying only on service descriptions.</w:t>
            </w:r>
          </w:p>
        </w:tc>
      </w:tr>
      <w:tr>
        <w:tc>
          <w:tcPr>
            <w:tcW w:type="dxa" w:w="4608"/>
            <w:tcMar>
              <w:top w:w="105" w:type="dxa"/>
              <w:start w:w="105" w:type="dxa"/>
              <w:bottom w:w="105" w:type="dxa"/>
              <w:end w:w="105" w:type="dxa"/>
            </w:tcMar>
            <w:vAlign w:val="center"/>
          </w:tcPr>
          <w:p>
            <w:pPr>
              <w:spacing w:after="0"/>
            </w:pPr>
            <w:r>
              <w:rPr>
                <w:rFonts w:ascii="Aptos" w:hAnsi="Aptos"/>
                <w:sz w:val="15"/>
              </w:rPr>
              <w:t>Does proof reduce risk?</w:t>
            </w:r>
          </w:p>
        </w:tc>
        <w:tc>
          <w:tcPr>
            <w:tcW w:type="dxa" w:w="5184"/>
            <w:tcMar>
              <w:top w:w="105" w:type="dxa"/>
              <w:start w:w="105" w:type="dxa"/>
              <w:bottom w:w="105" w:type="dxa"/>
              <w:end w:w="105" w:type="dxa"/>
            </w:tcMar>
            <w:vAlign w:val="center"/>
          </w:tcPr>
          <w:p>
            <w:pPr>
              <w:spacing w:after="0"/>
            </w:pPr>
            <w:r>
              <w:rPr>
                <w:rFonts w:ascii="Aptos" w:hAnsi="Aptos"/>
                <w:sz w:val="15"/>
              </w:rPr>
              <w:t>Evidence is visible, specific, and connected to buyer questions.</w:t>
            </w:r>
          </w:p>
        </w:tc>
      </w:tr>
      <w:tr>
        <w:tc>
          <w:tcPr>
            <w:tcW w:type="dxa" w:w="4608"/>
            <w:tcMar>
              <w:top w:w="105" w:type="dxa"/>
              <w:start w:w="105" w:type="dxa"/>
              <w:bottom w:w="105" w:type="dxa"/>
              <w:end w:w="105" w:type="dxa"/>
            </w:tcMar>
            <w:vAlign w:val="center"/>
          </w:tcPr>
          <w:p>
            <w:pPr>
              <w:spacing w:after="0"/>
            </w:pPr>
            <w:r>
              <w:rPr>
                <w:rFonts w:ascii="Aptos" w:hAnsi="Aptos"/>
                <w:sz w:val="15"/>
              </w:rPr>
              <w:t>Do CTAs match buyer intent?</w:t>
            </w:r>
          </w:p>
        </w:tc>
        <w:tc>
          <w:tcPr>
            <w:tcW w:type="dxa" w:w="5184"/>
            <w:tcMar>
              <w:top w:w="105" w:type="dxa"/>
              <w:start w:w="105" w:type="dxa"/>
              <w:bottom w:w="105" w:type="dxa"/>
              <w:end w:w="105" w:type="dxa"/>
            </w:tcMar>
            <w:vAlign w:val="center"/>
          </w:tcPr>
          <w:p>
            <w:pPr>
              <w:spacing w:after="0"/>
            </w:pPr>
            <w:r>
              <w:rPr>
                <w:rFonts w:ascii="Aptos" w:hAnsi="Aptos"/>
                <w:sz w:val="15"/>
              </w:rPr>
              <w:t>The design offers appropriate next steps at different readiness levels.</w:t>
            </w:r>
          </w:p>
        </w:tc>
      </w:tr>
      <w:tr>
        <w:tc>
          <w:tcPr>
            <w:tcW w:type="dxa" w:w="4608"/>
            <w:tcMar>
              <w:top w:w="105" w:type="dxa"/>
              <w:start w:w="105" w:type="dxa"/>
              <w:bottom w:w="105" w:type="dxa"/>
              <w:end w:w="105" w:type="dxa"/>
            </w:tcMar>
            <w:vAlign w:val="center"/>
          </w:tcPr>
          <w:p>
            <w:pPr>
              <w:spacing w:after="0"/>
            </w:pPr>
            <w:r>
              <w:rPr>
                <w:rFonts w:ascii="Aptos" w:hAnsi="Aptos"/>
                <w:sz w:val="15"/>
              </w:rPr>
              <w:t>Does the page avoid generic training-company aesthetics?</w:t>
            </w:r>
          </w:p>
        </w:tc>
        <w:tc>
          <w:tcPr>
            <w:tcW w:type="dxa" w:w="5184"/>
            <w:tcMar>
              <w:top w:w="105" w:type="dxa"/>
              <w:start w:w="105" w:type="dxa"/>
              <w:bottom w:w="105" w:type="dxa"/>
              <w:end w:w="105" w:type="dxa"/>
            </w:tcMar>
            <w:vAlign w:val="center"/>
          </w:tcPr>
          <w:p>
            <w:pPr>
              <w:spacing w:after="0"/>
            </w:pPr>
            <w:r>
              <w:rPr>
                <w:rFonts w:ascii="Aptos" w:hAnsi="Aptos"/>
                <w:sz w:val="15"/>
              </w:rPr>
              <w:t>The experience feels specific to NuVue's positioning and audience.</w:t>
            </w:r>
          </w:p>
        </w:tc>
      </w:tr>
      <w:tr>
        <w:tc>
          <w:tcPr>
            <w:tcW w:type="dxa" w:w="4608"/>
            <w:tcMar>
              <w:top w:w="105" w:type="dxa"/>
              <w:start w:w="105" w:type="dxa"/>
              <w:bottom w:w="105" w:type="dxa"/>
              <w:end w:w="105" w:type="dxa"/>
            </w:tcMar>
            <w:vAlign w:val="center"/>
          </w:tcPr>
          <w:p>
            <w:pPr>
              <w:spacing w:after="0"/>
            </w:pPr>
            <w:r>
              <w:rPr>
                <w:rFonts w:ascii="Aptos" w:hAnsi="Aptos"/>
                <w:sz w:val="15"/>
              </w:rPr>
              <w:t>Will the design scale into the broader site system?</w:t>
            </w:r>
          </w:p>
        </w:tc>
        <w:tc>
          <w:tcPr>
            <w:tcW w:type="dxa" w:w="5184"/>
            <w:tcMar>
              <w:top w:w="105" w:type="dxa"/>
              <w:start w:w="105" w:type="dxa"/>
              <w:bottom w:w="105" w:type="dxa"/>
              <w:end w:w="105" w:type="dxa"/>
            </w:tcMar>
            <w:vAlign w:val="center"/>
          </w:tcPr>
          <w:p>
            <w:pPr>
              <w:spacing w:after="0"/>
            </w:pPr>
            <w:r>
              <w:rPr>
                <w:rFonts w:ascii="Aptos" w:hAnsi="Aptos"/>
                <w:sz w:val="15"/>
              </w:rPr>
              <w:t>Components can be reused and adapted across priority pages.</w:t>
            </w:r>
          </w:p>
        </w:tc>
      </w:tr>
      <w:tr>
        <w:tc>
          <w:tcPr>
            <w:tcW w:type="dxa" w:w="4608"/>
            <w:tcMar>
              <w:top w:w="105" w:type="dxa"/>
              <w:start w:w="105" w:type="dxa"/>
              <w:bottom w:w="105" w:type="dxa"/>
              <w:end w:w="105" w:type="dxa"/>
            </w:tcMar>
            <w:vAlign w:val="center"/>
          </w:tcPr>
          <w:p>
            <w:pPr>
              <w:spacing w:after="0"/>
            </w:pPr>
            <w:r>
              <w:rPr>
                <w:rFonts w:ascii="Aptos" w:hAnsi="Aptos"/>
                <w:sz w:val="15"/>
              </w:rPr>
              <w:t>Can the design be measured?</w:t>
            </w:r>
          </w:p>
        </w:tc>
        <w:tc>
          <w:tcPr>
            <w:tcW w:type="dxa" w:w="5184"/>
            <w:tcMar>
              <w:top w:w="105" w:type="dxa"/>
              <w:start w:w="105" w:type="dxa"/>
              <w:bottom w:w="105" w:type="dxa"/>
              <w:end w:w="105" w:type="dxa"/>
            </w:tcMar>
            <w:vAlign w:val="center"/>
          </w:tcPr>
          <w:p>
            <w:pPr>
              <w:spacing w:after="0"/>
            </w:pPr>
            <w:r>
              <w:rPr>
                <w:rFonts w:ascii="Aptos" w:hAnsi="Aptos"/>
                <w:sz w:val="15"/>
              </w:rPr>
              <w:t>Important interactions map to approved events.</w:t>
            </w:r>
          </w:p>
        </w:tc>
      </w:tr>
      <w:tr>
        <w:tc>
          <w:tcPr>
            <w:tcW w:type="dxa" w:w="4608"/>
            <w:tcMar>
              <w:top w:w="105" w:type="dxa"/>
              <w:start w:w="105" w:type="dxa"/>
              <w:bottom w:w="105" w:type="dxa"/>
              <w:end w:w="105" w:type="dxa"/>
            </w:tcMar>
            <w:vAlign w:val="center"/>
          </w:tcPr>
          <w:p>
            <w:pPr>
              <w:spacing w:after="0"/>
            </w:pPr>
            <w:r>
              <w:rPr>
                <w:rFonts w:ascii="Aptos" w:hAnsi="Aptos"/>
                <w:sz w:val="15"/>
              </w:rPr>
              <w:t>Is the experience accessible and responsive?</w:t>
            </w:r>
          </w:p>
        </w:tc>
        <w:tc>
          <w:tcPr>
            <w:tcW w:type="dxa" w:w="5184"/>
            <w:tcMar>
              <w:top w:w="105" w:type="dxa"/>
              <w:start w:w="105" w:type="dxa"/>
              <w:bottom w:w="105" w:type="dxa"/>
              <w:end w:w="105" w:type="dxa"/>
            </w:tcMar>
            <w:vAlign w:val="center"/>
          </w:tcPr>
          <w:p>
            <w:pPr>
              <w:spacing w:after="0"/>
            </w:pPr>
            <w:r>
              <w:rPr>
                <w:rFonts w:ascii="Aptos" w:hAnsi="Aptos"/>
                <w:sz w:val="15"/>
              </w:rPr>
              <w:t>Critical content, actions, and hierarchy survive across devices and interaction modes.</w:t>
            </w:r>
          </w:p>
        </w:tc>
      </w:tr>
    </w:tbl>
    <w:p/>
    <w:p>
      <w:pPr>
        <w:pStyle w:val="Heading1"/>
      </w:pPr>
      <w:r>
        <w:t>16. Approval State</w:t>
      </w:r>
    </w:p>
    <w:p>
      <w:pPr>
        <w:spacing w:after="100"/>
      </w:pPr>
      <w:r>
        <w:rPr>
          <w:b w:val="0"/>
        </w:rPr>
        <w:t>This Creative Brief is an internal Gold-Standard design handoff. It does not approve the final visual solution.</w:t>
      </w:r>
    </w:p>
    <w:p>
      <w:pPr>
        <w:spacing w:after="100"/>
      </w:pPr>
      <w:r>
        <w:rPr>
          <w:b w:val="0"/>
        </w:rPr>
        <w:t>Required next state:</w:t>
      </w:r>
    </w:p>
    <w:p>
      <w:pPr>
        <w:pStyle w:val="Callout"/>
        <w:spacing w:after="100"/>
      </w:pPr>
      <w:r>
        <w:rPr>
          <w:b w:val="0"/>
        </w:rPr>
        <w:t>Strategist review → Designer questions / clarification → Homepage design → Internal strategic review → Client design review → Approved design → Development handoff</w:t>
      </w:r>
    </w:p>
    <w:p>
      <w:pPr>
        <w:spacing w:after="100"/>
      </w:pPr>
      <w:r>
        <w:rPr>
          <w:b w:val="0"/>
        </w:rPr>
        <w:t>Design may improve presentation and usability. It may not silently change audience priority, messaging hierarchy, buyer journey, proof boundaries, conversion strategy, or the strategic job of the page.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B5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B7F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B56"/>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4B5563"/>
      <w:sz w:val="17"/>
    </w:rPr>
  </w:style>
  <w:style w:type="paragraph" w:customStyle="1" w:styleId="Callout">
    <w:name w:val="Callout"/>
    <w:rPr>
      <w:rFonts w:ascii="Aptos" w:hAnsi="Aptos"/>
      <w:b/>
      <w:color w:val="173B56"/>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