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B7F79"/>
          <w:sz w:val="20"/>
        </w:rPr>
        <w:t>SIMPLICREATIVE</w:t>
      </w:r>
    </w:p>
    <w:p>
      <w:pPr>
        <w:pStyle w:val="Title"/>
        <w:jc w:val="center"/>
      </w:pPr>
      <w:r>
        <w:t>Content &amp; Page Outline</w:t>
      </w:r>
    </w:p>
    <w:p>
      <w:pPr>
        <w:jc w:val="center"/>
      </w:pPr>
      <w:r>
        <w:rPr>
          <w:rFonts w:ascii="Aptos" w:hAnsi="Aptos"/>
          <w:b/>
          <w:color w:val="4B5563"/>
          <w:sz w:val="26"/>
        </w:rPr>
        <w:t>Templated WordPress Website | Ibar Special Needs Trust Advisors</w:t>
      </w:r>
    </w:p>
    <w:p>
      <w:pPr>
        <w:jc w:val="center"/>
      </w:pPr>
      <w:r>
        <w:rPr>
          <w:rFonts w:ascii="Aptos" w:hAnsi="Aptos"/>
          <w:b w:val="0"/>
          <w:color w:val="4B5563"/>
          <w:sz w:val="18"/>
        </w:rPr>
        <w:t>Gold Standard Demonstration | GS-TPL-002 |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2E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This outline turns approved discovery inputs into page-level implementation direction and sample copy. It does not reopen strategy. Final factual, fiduciary, benefits, legal, and compliance language remains subject to Ibar review and approval.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Approved Content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Approved direction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Primary website objective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Drive new business in the third-party / estate-planning lane, clearly educate visitors on what Ibar does, screen inquiries appropriately, and keep attorneys engaged as referral partners.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Primary audience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 are primary. Estate-planning attorneys are the most important referral audience to support directly.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Core positioning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serves as the bridge between the beneficiary and family and the corporate trustee, pairing personal, high-touch advocacy with the security and continuity of a bank.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Homepage takeaway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provides a lifetime solution for beneficiaries of special needs trusts.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Primary CTA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that Ibar contact the visitor for a conversation.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Trust / proof themes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Third-generation family business, founded 1962, 40+ years of SNT expertise, 800+ trusts overseen, dedicated advisor plus team continuity.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Language guidance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beneficiary rather than client. Prefer What We Do over Services. Avoid overly clinical or salesy language.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Important copy boundary: asset minimums, public-benefit implications, trustee requirements, guarantees, fees, fiduciary language, and legal/compliance statements must use Ibar-approved wording and supporting sources.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Proposed Sitemap &amp; Page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Page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audience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CTA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Home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the lifetime-solution promise, Ibar + trustee model, proof, and next step.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 first; attorneys secondary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Request Ibar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What We Do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SNT administration in everyday language and clarify the two primary trust situations.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Request Ibar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Who We Work With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Give families and estate-planning attorneys a clear path to the information they need.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 + attorneys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Request Ibar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Testimonials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Make trust and service quality visible through approved third-party proof.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All evaluating audiences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Request Ibar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About Us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Tell the family-business story and demonstrate continuity, expertise, and personal service.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All evaluating audiences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Meet the team / Request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Blog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Educate families and attorneys and build content-led authority.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 + attorneys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Read / Contact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Contact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Qualify inquiries while remaining helpful to lower-asset families.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Prospective families / referrers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Submit inquiry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Privacy / Legal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Publish counsel-approved privacy, legal, and compliance information.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All visitors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None / contextual</w:t>
            </w:r>
          </w:p>
        </w:tc>
      </w:tr>
    </w:tbl>
    <w:p>
      <w:pPr>
        <w:spacing w:after="20"/>
      </w:pPr>
    </w:p>
    <w:p>
      <w:pPr>
        <w:pStyle w:val="Heading1"/>
      </w:pPr>
      <w:r>
        <w:t>3.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Help a visitor understand what Ibar does, why the model is different, who it is for, and what to do next.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 first; estate-planning attorneys secondary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Problem aware to product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Hero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Establish the promise quickly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Lead with lifetime support and the combination of personal advocacy plus corporate-trustee continuity.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The problem families are solving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Create relevance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Reflect the fear and responsibility behind planning for a beneficiary with special needs, including support today and after a parent or caregiver is gone.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How Ibar works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the model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Show Ibar as the dedicated advisor/problem solver working alongside the corporate trustee.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Two ways families come to Ibar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Clarify fit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Estate-planning / third-party trust path and personal-injury / first-party trust path in plain language.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Why families choose Ibar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Differentiate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Dedicated advisor, team availability, continuity, 40+ years, 800+ trusts, third-generation family business.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6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Lifetime journey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Make the promise concrete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Adapt the approved Sam-style life-stage concept to show how needs evolve from childhood through adulthood.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7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Attorney referral path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Support referrers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Brief section for estate-planning attorneys explaining why Ibar can be a useful resource in planning conversations.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8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Final 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Make action easy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a conversation and set expectations that Ibar will follow up after the intake form.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Hero draft: “A lifetime solution for beneficiaries of special needs trusts.”</w:t>
              <w:br/>
              <w:br/>
              <w:t>Support line: “Ibar pairs the continuity of a corporate trustee with a dedicated advisor who knows the beneficiary and family, helps solve day-to-day issues, and guides trust decisions with special-needs expertise.”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Founded 1962; 40+ years of SNT expertise; 800+ trusts overseen; approved testimonials / referral proof; dedicated advisor + team model.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approved imagery that feels personal, capable, and reassuring. Do not imply universal eligibility or publish unapproved benefit/legal claims.</w:t>
            </w:r>
          </w:p>
        </w:tc>
      </w:tr>
    </w:tbl>
    <w:p>
      <w:pPr>
        <w:spacing w:after="20"/>
      </w:pPr>
    </w:p>
    <w:p>
      <w:pPr>
        <w:pStyle w:val="Heading1"/>
      </w:pPr>
      <w:r>
        <w:t>4. What We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Explain Ibar’s role in administering special needs trusts and what the work looks like in practice.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 researching trustee / administration options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Solution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Intro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Replace confusing service labels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“What We Do” and explain SNT administration rather than “SNT Advisory Services” or “Testamentary Trust Estate Planning.”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Estate-planning trusts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third-party path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Describe administration for trusts funded by parents/grandparents as part of an estate plan.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Personal-injury settlements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first-party path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Describe administration for trusts funded from a beneficiary’s settlement or own assets.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What Ibar handles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Make service tangible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Coordination with trustee and family; payment requests; vendor/care coordination; guidance intended to protect benefits; problem solving.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Real-life examples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Show practical value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Examples may include mobility van, group-home move, TrueLink card, SSI/Medi-Cal issues, care providers, therapists, case managers, contractors.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6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Cost / structure explanation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Address misconception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approved fee positioning carefully: Ibar + corporate trustee may align with trustee published fee schedules in qualifying arrangements.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7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FAQ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Reduce friction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Minimum assets, how Ibar coordinates care, benefits of naming a bank as trustee, continuity versus private fiduciary.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8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Move to conversation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visitors to request contact.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Intro draft: “Special needs trust administration is more than paying bills. It means helping the trustee and family navigate real-life decisions while keeping the beneficiary’s needs, trust requirements, and public benefits in view.”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Approved process examples; approved fee explanation; approved benefits guidance; specialist/vendor examples.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All public-benefit and fiduciary guidance must be fact-checked by Ibar. Avoid implying legal advice.</w:t>
            </w:r>
          </w:p>
        </w:tc>
      </w:tr>
    </w:tbl>
    <w:p>
      <w:pPr>
        <w:spacing w:after="20"/>
      </w:pPr>
    </w:p>
    <w:p>
      <w:pPr>
        <w:pStyle w:val="Heading1"/>
      </w:pPr>
      <w:r>
        <w:t>5. Who We Work With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Give families and attorneys clear, concise pathways without creating a complex custom buyer journey.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Families; estate-planning attorneys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Solution aware to product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Address the primary buyer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Speak to parents/grandparents planning ahead and families needing help with an already-funded SNT.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When support may be needed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Clarify scenarios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Planning for life after a caregiver, trustee selection, current administration complexity, vendor/care coordination, benefits-sensitive spending.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Estate-planning attorneys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Support referral research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Ibar’s role, why the model can complement a bank trustee, and how attorneys can introduce Ibar in planning conversations.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Personal-injury attorneys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Acknowledge secondary referral lane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Retain access to PI-relevant information without making it the primary attorney story.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Fit / asset context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Set expectations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approved language explaining that many professional trustees and bank trust departments require minimum trust assets.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6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Make referral / inquiry easy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family or attorney to submit an inquiry.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Families draft: “You may be planning for a loved one’s future, or you may need help managing a special needs trust that already exists. Ibar works with families and professional trustees to make the administration more personal, practical, and continuous.”</w:t>
              <w:br/>
              <w:br/>
              <w:t>Attorney draft: “For estate-planning attorneys, Ibar can help bridge the gap between the long-term security of a corporate trustee and the personal guidance families expect.”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Approved family scenarios; attorney relationships; approved videos if retained; referral proof.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the family voice first. Estate-planning attorneys should receive the strongest referral emphasis.</w:t>
            </w:r>
          </w:p>
        </w:tc>
      </w:tr>
    </w:tbl>
    <w:p>
      <w:pPr>
        <w:spacing w:after="20"/>
      </w:pPr>
    </w:p>
    <w:p>
      <w:pPr>
        <w:pStyle w:val="Heading1"/>
      </w:pPr>
      <w:r>
        <w:t>6. Testimonials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Provide credible third-party evidence that reinforces trust, responsiveness, continuity, and care.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All evaluating visitors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Product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Intro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Frame proof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Briefly explain that trust administration is a long-term relationship.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Family testimonials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Demonstrate lived experience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approved quotes focused on responsiveness, advocacy, problem-solving, and personal knowledge.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Attorney / referral testimonials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Demonstrate professional confidence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approved quotes from attorneys or partners where available.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Proof strip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Reinforce authority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40+ years of SNT experience, 800+ trusts, third-generation business, team continuity.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Move from proof to action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a conversation.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Section lead draft: “The strongest measure of our work is the confidence families and professional partners place in us over time.”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Approved testimonial text and permissions only.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No invented testimonials, metrics, or paraphrased praise without approval.</w:t>
            </w:r>
          </w:p>
        </w:tc>
      </w:tr>
    </w:tbl>
    <w:p>
      <w:pPr>
        <w:spacing w:after="20"/>
      </w:pPr>
    </w:p>
    <w:p>
      <w:pPr>
        <w:pStyle w:val="Heading1"/>
      </w:pPr>
      <w:r>
        <w:t>7. About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Build confidence in the people, continuity, and experience behind Ibar.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 and attorneys evaluating trust and credibility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Product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Mission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State the human purpose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the approved mission language around advocacy, compassionate guidance, trusted stewardship, and peace of mind.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Family-business story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Create continuity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Founded 1962; SNT specialty built by Stan Schultz; Tyler and Cameron lead the business today.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Why the team model matters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Connect story to buyer value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Dedicated advisor relationship plus team availability and continuity.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Leadership bios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Humanize expertise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Short approved bios and credentials for Tyler and Cameron; add updated headshots.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How Ibar works with banks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Reinforce model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Explain partnership with corporate trustees and Ibar’s problem-solving / family-facing role.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6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conversation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Request Ibar contact.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Opening draft: “Ibar is a third-generation family business built around a simple idea: beneficiaries and families deserve both long-term fiduciary continuity and a person who knows them well enough to help when real-life needs arise.”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Founded 1962; approved leadership bios / credentials; approved mission; 800+ trusts where substantiated.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new leadership headshots when available. Keep the story warm but professional.</w:t>
            </w:r>
          </w:p>
        </w:tc>
      </w:tr>
    </w:tbl>
    <w:p>
      <w:pPr>
        <w:spacing w:after="20"/>
      </w:pPr>
    </w:p>
    <w:p>
      <w:pPr>
        <w:pStyle w:val="Heading1"/>
      </w:pPr>
      <w:r>
        <w:t>8. Blog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Create a practical educational hub that supports families, attorneys, search visibility, and long-term authority.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Families and estate-planning attorneys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Unaware through solution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Blog index intro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Set editorial purpose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Position the blog as practical education about special needs trusts, administration, trustee decisions, and family planning.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Families topics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Answer recurring questions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Trustee options, planning ahead, asset minimums, benefits-sensitive spending, care coordination, what administration looks like.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Attorney topics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Support referral authority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Choosing trustees, coordinating professional roles, estate-plan implementation considerations, common family questions.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Featured / recent posts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Keep content useful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Lead with evergreen questions rather than company news.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CTA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Connect education to inquiry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visitors with a specific situation to contact Ibar.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Blog intro draft: “Clear guidance for families and professionals navigating special needs trusts, trustee decisions, and the practical realities of long-term administration.”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Approved SME content; legal/compliance review where needed.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Read article / Request Ibar contact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Editorial content should educate, not provide personalized legal advice.</w:t>
            </w:r>
          </w:p>
        </w:tc>
      </w:tr>
    </w:tbl>
    <w:p>
      <w:pPr>
        <w:spacing w:after="20"/>
      </w:pPr>
    </w:p>
    <w:p>
      <w:pPr>
        <w:pStyle w:val="Heading1"/>
      </w:pPr>
      <w:r>
        <w:t>9.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Make it easy for a family or referral partner to request a conversation while collecting enough information for Ibar to respond appropriately.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High-intent families and referral partners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Most aware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Intro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Set expectations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Invite a conversation and explain that the form helps Ibar understand the situation.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Contact form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Capture required context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Name, contact information, relationship to beneficiary / referral role, trust stage/type as appropriate, message.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Asset question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Support qualification without rejection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Ibar-approved wording and ranges; lower-asset submissions still route to Ibar for resources / guidance.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Confirmation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Close the loop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Thank the visitor and say Ibar will respond as soon as it can, without promising a fixed 24-hour response.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5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Contact details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Provide approved public information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Phone 626-570-4888; San Marino office. Do not list public email addresses.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6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Service area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Clarify reach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Serve the entire state of California; San Marino is the physical office; remote advisors may be mentioned only if useful.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Intro draft: “Tell us a little about your situation. We’ll review your information and get back to you as soon as we can.”</w:t>
              <w:br/>
              <w:br/>
              <w:t>Asset question draft: “Many of the professional trustees and bank trust departments we work with require a minimum of $700,000 in trust assets, which can include real estate. Approximately how much would be available to fund the trust at the time of its creation?”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Ibar-approved qualification language and routing; approved phone/address.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Submit inquiry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Asset ranges: Less than $700,000; $700,000-$1M; $1M-$3M; $3M-$5M; More than $5M. Lower-asset inquiries are not automatically rejected.</w:t>
            </w:r>
          </w:p>
        </w:tc>
      </w:tr>
    </w:tbl>
    <w:p>
      <w:pPr>
        <w:spacing w:after="20"/>
      </w:pPr>
    </w:p>
    <w:p>
      <w:pPr>
        <w:pStyle w:val="Heading1"/>
      </w:pPr>
      <w:r>
        <w:t>10. Privacy /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Page job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Buyer intent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Publish only approved legal, privacy, entity, fiduciary, and compliance information required for the site.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All visitors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Administrative / compliance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content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2541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Content direction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1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Privacy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Publish approved policy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Use current counsel-approved privacy language.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2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Entity / disclosures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Clarify legal identity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Confirm entity language before publication.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3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Licensing / fiduciary disclaimers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Meet approved requirements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Publish only counsel/client-supplied requirements.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5"/>
              </w:rPr>
              <w:t>4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Contact / effective date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Maintain governance</w:t>
            </w:r>
          </w:p>
        </w:tc>
        <w:tc>
          <w:tcPr>
            <w:tcW w:type="dxa" w:w="254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5"/>
              </w:rPr>
              <w:t>Include current contact mechanism and effective date if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Sample copy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Sample copy intentionally omitted. This page should be populated from current approved legal/compliance language, not generated from marketing discovery.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Proof / evidence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389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Counsel-approved legal sources only.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None</w:t>
            </w:r>
          </w:p>
        </w:tc>
        <w:tc>
          <w:tcPr>
            <w:tcW w:type="dxa" w:w="338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Client to confirm entity language and any required fiduciary/financial disclosures, privacy/terms, or license numbers.</w:t>
            </w:r>
          </w:p>
        </w:tc>
      </w:tr>
    </w:tbl>
    <w:p>
      <w:pPr>
        <w:spacing w:after="20"/>
      </w:pPr>
    </w:p>
    <w:p>
      <w:pPr>
        <w:pStyle w:val="Heading1"/>
      </w:pPr>
      <w:r>
        <w:t>11. Cross-Page Messaging &amp; Copy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Application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Primary promise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the lifetime-solution idea as a unifying theme without repeating the exact headline on every page.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Category language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Prefer clear descriptions of special needs trust administration over confusing legacy service labels.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Buyer language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Write primarily for families in plain language. Maintain an attorney path without making the whole site sound written for attorneys.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Differentiation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Repeatedly reinforce the combination of personal advisor + corporate trustee continuity, supported by proof.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Proof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only substantiated, approved numbers and claims.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Tone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Compassionate, steady, capable, plainspoken. Avoid fear-based or overly salesy language.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Terminology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beneficiary rather than client when referring to the person with special needs.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CTA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Use one consistent primary action: request Ibar contact / submit inquiry.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Compliance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Do not convert educational copy into legal, tax, fiduciary, benefits, or financial advice.</w:t>
            </w:r>
          </w:p>
        </w:tc>
      </w:tr>
    </w:tbl>
    <w:p>
      <w:pPr>
        <w:spacing w:after="20"/>
      </w:pPr>
    </w:p>
    <w:p>
      <w:pPr>
        <w:pStyle w:val="Heading1"/>
      </w:pPr>
      <w:r>
        <w:t>12. Content Approval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Before Copy Is Final</w:t>
            </w:r>
          </w:p>
        </w:tc>
        <w:tc>
          <w:tcPr>
            <w:tcW w:type="dxa" w:w="5083"/>
            <w:shd w:fill="173B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positioning and “bridge” language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40+ years / 800+ trusts / founded 1962 proof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trust-type explanations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public-benefit guidance and examples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cost / fee explanation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approves asset-minimum qualification wording and ranges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supplies approved testimonials and permissions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Ibar supplies final Tyler / Cameron bios and headshots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Counsel supplies / approves legal, privacy, disclosure, entity language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4B5563"/>
                <w:sz w:val="16"/>
              </w:rPr>
              <w:t>Final sitemap and page names approved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/>
                <w:color w:val="4B5563"/>
                <w:sz w:val="16"/>
              </w:rPr>
              <w:t>PENDING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B5563"/>
                <w:sz w:val="18"/>
              </w:rPr>
              <w:t>After human approval, this Content &amp; Page Outline becomes the implementation content brief for the Templated WordPress build. Material strategic changes discovered during copy review should not be quietly absorbed into the productized scope.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5"/>
      </w:rPr>
      <w:t>SimpliCreative | Templated WordPress Gold Standard | Reference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B5563"/>
        <w:sz w:val="15"/>
      </w:rPr>
      <w:t>GS-TPL-002 | Content &amp; Page Outline | Ibar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