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440"/>
        <w:jc w:val="center"/>
      </w:pPr>
      <w:r>
        <w:rPr>
          <w:rFonts w:ascii="Aptos" w:hAnsi="Aptos"/>
          <w:b/>
          <w:color w:val="1B7F79"/>
          <w:sz w:val="20"/>
        </w:rPr>
        <w:t>SIMPLICREATIVE</w:t>
      </w:r>
    </w:p>
    <w:p>
      <w:pPr>
        <w:pStyle w:val="Title"/>
        <w:jc w:val="center"/>
      </w:pPr>
      <w:r>
        <w:t>SimpliBlueprint Proposal</w:t>
      </w:r>
    </w:p>
    <w:p>
      <w:pPr>
        <w:spacing w:after="120"/>
        <w:jc w:val="center"/>
      </w:pPr>
      <w:r>
        <w:rPr>
          <w:rFonts w:ascii="Aptos" w:hAnsi="Aptos"/>
          <w:b/>
          <w:color w:val="4B5563"/>
          <w:sz w:val="30"/>
        </w:rPr>
        <w:t>Prepared for Northstar Leadership Institute</w:t>
      </w:r>
    </w:p>
    <w:p>
      <w:pPr>
        <w:spacing w:after="120"/>
        <w:jc w:val="center"/>
      </w:pPr>
      <w:r>
        <w:rPr>
          <w:rFonts w:ascii="Aptos" w:hAnsi="Aptos"/>
          <w:b w:val="0"/>
          <w:color w:val="4B5563"/>
          <w:sz w:val="18"/>
        </w:rPr>
        <w:t>Prepared by SimpliCreative | September 2026</w:t>
      </w:r>
    </w:p>
    <w:p>
      <w:pPr>
        <w:spacing w:after="120" w:before="480"/>
        <w:jc w:val="center"/>
      </w:pPr>
      <w:r>
        <w:rPr>
          <w:rFonts w:ascii="Aptos" w:hAnsi="Aptos"/>
          <w:b w:val="0"/>
          <w:color w:val="173B56"/>
          <w:sz w:val="22"/>
        </w:rPr>
        <w:t>A strategic engagement to determine what should change, what should be prioritized, and what should be measured before implementation.</w:t>
      </w:r>
    </w:p>
    <w:tbl>
      <w:tblPr>
        <w:tblStyle w:val="TableGrid"/>
        <w:tblW w:type="auto" w:w="0"/>
        <w:tblLook w:firstColumn="1" w:firstRow="1" w:lastColumn="0" w:lastRow="0" w:noHBand="0" w:noVBand="1" w:val="04A0"/>
      </w:tblPr>
      <w:tblGrid>
        <w:gridCol w:w="10166"/>
      </w:tblGrid>
      <w:tr>
        <w:tc>
          <w:tcPr>
            <w:tcW w:type="dxa" w:w="10166"/>
            <w:shd w:fill="FCE4D6"/>
            <w:tcMar>
              <w:top w:w="145" w:type="dxa"/>
              <w:start w:w="145" w:type="dxa"/>
              <w:bottom w:w="145" w:type="dxa"/>
              <w:end w:w="145" w:type="dxa"/>
            </w:tcMar>
          </w:tcPr>
          <w:p>
            <w:pPr>
              <w:spacing w:after="0" w:line="252" w:lineRule="auto"/>
            </w:pPr>
            <w:r>
              <w:rPr>
                <w:rFonts w:ascii="Aptos" w:hAnsi="Aptos"/>
                <w:color w:val="4B5563"/>
                <w:sz w:val="18"/>
              </w:rPr>
              <w:t>DEMONSTRATION OUTPUT. This sample assumes human proposal readiness has been approved for illustration. The Northstar Diagnostic evidence is synthetic. Current SimpliBlueprint standard investment is shown from the current pricing source. Payment terms and contracting dates remain HUMAN REVIEW / CURRENT COMMERCIAL SOURCE REQUIRED.</w:t>
            </w:r>
          </w:p>
        </w:tc>
      </w:tr>
    </w:tbl>
    <w:p>
      <w:pPr>
        <w:spacing w:after="20"/>
      </w:pPr>
    </w:p>
    <w:p>
      <w:r>
        <w:br w:type="page"/>
      </w:r>
    </w:p>
    <w:p>
      <w:pPr>
        <w:pStyle w:val="Heading1"/>
      </w:pPr>
      <w:r>
        <w:t>Your Objective</w:t>
      </w:r>
    </w:p>
    <w:p>
      <w:pPr>
        <w:spacing w:after="120"/>
      </w:pPr>
      <w:r>
        <w:rPr>
          <w:rFonts w:ascii="Aptos" w:hAnsi="Aptos"/>
          <w:b w:val="0"/>
        </w:rPr>
        <w:t>Northstar’s priority is not simply more website traffic. The business objective is to create more qualified corporate leadership conversations and give leadership clearer evidence that marketing is contributing to those opportunities.</w:t>
      </w:r>
    </w:p>
    <w:p>
      <w:pPr>
        <w:spacing w:after="120"/>
      </w:pPr>
      <w:r>
        <w:rPr>
          <w:rFonts w:ascii="Aptos" w:hAnsi="Aptos"/>
          <w:b w:val="0"/>
        </w:rPr>
        <w:t>The Diagnostic suggests the website is part of a larger decision system. Buyers may first encounter Northstar through referrals, events, PR, faculty visibility, LinkedIn, or content, then use the website to evaluate relevance, credibility, programs, and the next step.</w:t>
      </w:r>
    </w:p>
    <w:p>
      <w:pPr>
        <w:pStyle w:val="Heading1"/>
      </w:pPr>
      <w:r>
        <w:t>What We Heard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24"/>
            <w:shd w:fill="173B56"/>
            <w:tcMar>
              <w:top w:w="110" w:type="dxa"/>
              <w:start w:w="110" w:type="dxa"/>
              <w:bottom w:w="110" w:type="dxa"/>
              <w:end w:w="110" w:type="dxa"/>
            </w:tcMar>
            <w:vAlign w:val="center"/>
          </w:tcPr>
          <w:p>
            <w:r>
              <w:rPr>
                <w:rFonts w:ascii="Aptos" w:hAnsi="Aptos"/>
                <w:b/>
                <w:color w:val="FFFFFF"/>
                <w:sz w:val="16"/>
              </w:rPr>
              <w:t>What Northstar reported</w:t>
            </w:r>
          </w:p>
        </w:tc>
        <w:tc>
          <w:tcPr>
            <w:tcW w:type="dxa" w:w="4824"/>
            <w:shd w:fill="173B56"/>
            <w:tcMar>
              <w:top w:w="110" w:type="dxa"/>
              <w:start w:w="110" w:type="dxa"/>
              <w:bottom w:w="110" w:type="dxa"/>
              <w:end w:w="110" w:type="dxa"/>
            </w:tcMar>
            <w:vAlign w:val="center"/>
          </w:tcPr>
          <w:p>
            <w:r>
              <w:rPr>
                <w:rFonts w:ascii="Aptos" w:hAnsi="Aptos"/>
                <w:b/>
                <w:color w:val="FFFFFF"/>
                <w:sz w:val="16"/>
              </w:rPr>
              <w:t>Why it matters now</w:t>
            </w:r>
          </w:p>
        </w:tc>
      </w:tr>
      <w:tr>
        <w:tc>
          <w:tcPr>
            <w:tcW w:type="dxa" w:w="4824"/>
            <w:tcMar>
              <w:top w:w="110" w:type="dxa"/>
              <w:start w:w="110" w:type="dxa"/>
              <w:bottom w:w="110" w:type="dxa"/>
              <w:end w:w="110" w:type="dxa"/>
            </w:tcMar>
            <w:vAlign w:val="center"/>
          </w:tcPr>
          <w:p>
            <w:pPr>
              <w:spacing w:after="0" w:line="240" w:lineRule="auto"/>
            </w:pPr>
            <w:r>
              <w:rPr>
                <w:rFonts w:ascii="Aptos" w:hAnsi="Aptos"/>
                <w:sz w:val="16"/>
              </w:rPr>
              <w:t>Corporate growth is the primary priority.</w:t>
            </w:r>
          </w:p>
        </w:tc>
        <w:tc>
          <w:tcPr>
            <w:tcW w:type="dxa" w:w="4824"/>
            <w:tcMar>
              <w:top w:w="110" w:type="dxa"/>
              <w:start w:w="110" w:type="dxa"/>
              <w:bottom w:w="110" w:type="dxa"/>
              <w:end w:w="110" w:type="dxa"/>
            </w:tcMar>
            <w:vAlign w:val="center"/>
          </w:tcPr>
          <w:p>
            <w:pPr>
              <w:spacing w:after="0" w:line="240" w:lineRule="auto"/>
            </w:pPr>
            <w:r>
              <w:rPr>
                <w:rFonts w:ascii="Aptos" w:hAnsi="Aptos"/>
                <w:sz w:val="16"/>
              </w:rPr>
              <w:t>The digital experience needs to help the right corporate buyers recognize relevance and move toward a meaningful conversation.</w:t>
            </w:r>
          </w:p>
        </w:tc>
      </w:tr>
      <w:tr>
        <w:tc>
          <w:tcPr>
            <w:tcW w:type="dxa" w:w="4824"/>
            <w:tcMar>
              <w:top w:w="110" w:type="dxa"/>
              <w:start w:w="110" w:type="dxa"/>
              <w:bottom w:w="110" w:type="dxa"/>
              <w:end w:w="110" w:type="dxa"/>
            </w:tcMar>
            <w:vAlign w:val="center"/>
          </w:tcPr>
          <w:p>
            <w:pPr>
              <w:spacing w:after="0" w:line="240" w:lineRule="auto"/>
            </w:pPr>
            <w:r>
              <w:rPr>
                <w:rFonts w:ascii="Aptos" w:hAnsi="Aptos"/>
                <w:sz w:val="16"/>
              </w:rPr>
              <w:t>Northstar’s strongest value story is clearer in sales conversations than on the website.</w:t>
            </w:r>
          </w:p>
        </w:tc>
        <w:tc>
          <w:tcPr>
            <w:tcW w:type="dxa" w:w="4824"/>
            <w:tcMar>
              <w:top w:w="110" w:type="dxa"/>
              <w:start w:w="110" w:type="dxa"/>
              <w:bottom w:w="110" w:type="dxa"/>
              <w:end w:w="110" w:type="dxa"/>
            </w:tcMar>
            <w:vAlign w:val="center"/>
          </w:tcPr>
          <w:p>
            <w:pPr>
              <w:spacing w:after="0" w:line="240" w:lineRule="auto"/>
            </w:pPr>
            <w:r>
              <w:rPr>
                <w:rFonts w:ascii="Aptos" w:hAnsi="Aptos"/>
                <w:sz w:val="16"/>
              </w:rPr>
              <w:t>Faculty depth, customization, enterprise credibility, and business relevance may not be working hard enough during self-directed evaluation.</w:t>
            </w:r>
          </w:p>
        </w:tc>
      </w:tr>
      <w:tr>
        <w:tc>
          <w:tcPr>
            <w:tcW w:type="dxa" w:w="4824"/>
            <w:tcMar>
              <w:top w:w="110" w:type="dxa"/>
              <w:start w:w="110" w:type="dxa"/>
              <w:bottom w:w="110" w:type="dxa"/>
              <w:end w:w="110" w:type="dxa"/>
            </w:tcMar>
            <w:vAlign w:val="center"/>
          </w:tcPr>
          <w:p>
            <w:pPr>
              <w:spacing w:after="0" w:line="240" w:lineRule="auto"/>
            </w:pPr>
            <w:r>
              <w:rPr>
                <w:rFonts w:ascii="Aptos" w:hAnsi="Aptos"/>
                <w:sz w:val="16"/>
              </w:rPr>
              <w:t>HubSpot is present, but source attribution and lifecycle-stage maintenance are inconsistent.</w:t>
            </w:r>
          </w:p>
        </w:tc>
        <w:tc>
          <w:tcPr>
            <w:tcW w:type="dxa" w:w="4824"/>
            <w:tcMar>
              <w:top w:w="110" w:type="dxa"/>
              <w:start w:w="110" w:type="dxa"/>
              <w:bottom w:w="110" w:type="dxa"/>
              <w:end w:w="110" w:type="dxa"/>
            </w:tcMar>
            <w:vAlign w:val="center"/>
          </w:tcPr>
          <w:p>
            <w:pPr>
              <w:spacing w:after="0" w:line="240" w:lineRule="auto"/>
            </w:pPr>
            <w:r>
              <w:rPr>
                <w:rFonts w:ascii="Aptos" w:hAnsi="Aptos"/>
                <w:sz w:val="16"/>
              </w:rPr>
              <w:t>Leadership cannot yet rely on channel-to-opportunity reporting with confidence.</w:t>
            </w:r>
          </w:p>
        </w:tc>
      </w:tr>
      <w:tr>
        <w:tc>
          <w:tcPr>
            <w:tcW w:type="dxa" w:w="4824"/>
            <w:tcMar>
              <w:top w:w="110" w:type="dxa"/>
              <w:start w:w="110" w:type="dxa"/>
              <w:bottom w:w="110" w:type="dxa"/>
              <w:end w:w="110" w:type="dxa"/>
            </w:tcMar>
            <w:vAlign w:val="center"/>
          </w:tcPr>
          <w:p>
            <w:pPr>
              <w:spacing w:after="0" w:line="240" w:lineRule="auto"/>
            </w:pPr>
            <w:r>
              <w:rPr>
                <w:rFonts w:ascii="Aptos" w:hAnsi="Aptos"/>
                <w:sz w:val="16"/>
              </w:rPr>
              <w:t>The website serves both corporate buyers and individual learners.</w:t>
            </w:r>
          </w:p>
        </w:tc>
        <w:tc>
          <w:tcPr>
            <w:tcW w:type="dxa" w:w="4824"/>
            <w:tcMar>
              <w:top w:w="110" w:type="dxa"/>
              <w:start w:w="110" w:type="dxa"/>
              <w:bottom w:w="110" w:type="dxa"/>
              <w:end w:w="110" w:type="dxa"/>
            </w:tcMar>
            <w:vAlign w:val="center"/>
          </w:tcPr>
          <w:p>
            <w:pPr>
              <w:spacing w:after="0" w:line="240" w:lineRule="auto"/>
            </w:pPr>
            <w:r>
              <w:rPr>
                <w:rFonts w:ascii="Aptos" w:hAnsi="Aptos"/>
                <w:sz w:val="16"/>
              </w:rPr>
              <w:t>Different buying motions may require clearer routing, proof, and conversion paths.</w:t>
            </w:r>
          </w:p>
        </w:tc>
      </w:tr>
    </w:tbl>
    <w:p>
      <w:pPr>
        <w:spacing w:after="20"/>
      </w:pPr>
    </w:p>
    <w:p>
      <w:pPr>
        <w:pStyle w:val="Heading1"/>
      </w:pPr>
      <w:r>
        <w:t>The Opportunity</w:t>
      </w:r>
    </w:p>
    <w:p>
      <w:pPr>
        <w:spacing w:after="120"/>
      </w:pPr>
      <w:r>
        <w:rPr>
          <w:rFonts w:ascii="Aptos" w:hAnsi="Aptos"/>
          <w:b w:val="0"/>
        </w:rPr>
        <w:t>The Diagnostic did not establish a single proven root cause. It surfaced an interconnected set of questions that are important enough to validate before Northstar commits to implementation.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3B56"/>
            <w:tcMar>
              <w:top w:w="110" w:type="dxa"/>
              <w:start w:w="110" w:type="dxa"/>
              <w:bottom w:w="110" w:type="dxa"/>
              <w:end w:w="110" w:type="dxa"/>
            </w:tcMar>
            <w:vAlign w:val="center"/>
          </w:tcPr>
          <w:p>
            <w:r>
              <w:rPr>
                <w:rFonts w:ascii="Aptos" w:hAnsi="Aptos"/>
                <w:b/>
                <w:color w:val="FFFFFF"/>
                <w:sz w:val="16"/>
              </w:rPr>
              <w:t>Area to investigate</w:t>
            </w:r>
          </w:p>
        </w:tc>
        <w:tc>
          <w:tcPr>
            <w:tcW w:type="dxa" w:w="6480"/>
            <w:shd w:fill="173B56"/>
            <w:tcMar>
              <w:top w:w="110" w:type="dxa"/>
              <w:start w:w="110" w:type="dxa"/>
              <w:bottom w:w="110" w:type="dxa"/>
              <w:end w:w="110" w:type="dxa"/>
            </w:tcMar>
            <w:vAlign w:val="center"/>
          </w:tcPr>
          <w:p>
            <w:r>
              <w:rPr>
                <w:rFonts w:ascii="Aptos" w:hAnsi="Aptos"/>
                <w:b/>
                <w:color w:val="FFFFFF"/>
                <w:sz w:val="16"/>
              </w:rPr>
              <w:t>Current evidence boundary</w:t>
            </w:r>
          </w:p>
        </w:tc>
      </w:tr>
      <w:tr>
        <w:tc>
          <w:tcPr>
            <w:tcW w:type="dxa" w:w="3168"/>
            <w:tcMar>
              <w:top w:w="110" w:type="dxa"/>
              <w:start w:w="110" w:type="dxa"/>
              <w:bottom w:w="110" w:type="dxa"/>
              <w:end w:w="110" w:type="dxa"/>
            </w:tcMar>
            <w:vAlign w:val="center"/>
          </w:tcPr>
          <w:p>
            <w:pPr>
              <w:spacing w:after="0" w:line="240" w:lineRule="auto"/>
            </w:pPr>
            <w:r>
              <w:rPr>
                <w:rFonts w:ascii="Aptos" w:hAnsi="Aptos"/>
                <w:sz w:val="16"/>
              </w:rPr>
              <w:t>Corporate buyer journey</w:t>
            </w:r>
          </w:p>
        </w:tc>
        <w:tc>
          <w:tcPr>
            <w:tcW w:type="dxa" w:w="6480"/>
            <w:tcMar>
              <w:top w:w="110" w:type="dxa"/>
              <w:start w:w="110" w:type="dxa"/>
              <w:bottom w:w="110" w:type="dxa"/>
              <w:end w:w="110" w:type="dxa"/>
            </w:tcMar>
            <w:vAlign w:val="center"/>
          </w:tcPr>
          <w:p>
            <w:pPr>
              <w:spacing w:after="0" w:line="240" w:lineRule="auto"/>
            </w:pPr>
            <w:r>
              <w:rPr>
                <w:rFonts w:ascii="Aptos" w:hAnsi="Aptos"/>
                <w:sz w:val="16"/>
              </w:rPr>
              <w:t>We know corporate growth is the priority and the website supports evaluation. We do not yet know which journeys create or lose qualified demand.</w:t>
            </w:r>
          </w:p>
        </w:tc>
      </w:tr>
      <w:tr>
        <w:tc>
          <w:tcPr>
            <w:tcW w:type="dxa" w:w="3168"/>
            <w:tcMar>
              <w:top w:w="110" w:type="dxa"/>
              <w:start w:w="110" w:type="dxa"/>
              <w:bottom w:w="110" w:type="dxa"/>
              <w:end w:w="110" w:type="dxa"/>
            </w:tcMar>
            <w:vAlign w:val="center"/>
          </w:tcPr>
          <w:p>
            <w:pPr>
              <w:spacing w:after="0" w:line="240" w:lineRule="auto"/>
            </w:pPr>
            <w:r>
              <w:rPr>
                <w:rFonts w:ascii="Aptos" w:hAnsi="Aptos"/>
                <w:sz w:val="16"/>
              </w:rPr>
              <w:t>Messaging and proof</w:t>
            </w:r>
          </w:p>
        </w:tc>
        <w:tc>
          <w:tcPr>
            <w:tcW w:type="dxa" w:w="6480"/>
            <w:tcMar>
              <w:top w:w="110" w:type="dxa"/>
              <w:start w:w="110" w:type="dxa"/>
              <w:bottom w:w="110" w:type="dxa"/>
              <w:end w:w="110" w:type="dxa"/>
            </w:tcMar>
            <w:vAlign w:val="center"/>
          </w:tcPr>
          <w:p>
            <w:pPr>
              <w:spacing w:after="0" w:line="240" w:lineRule="auto"/>
            </w:pPr>
            <w:r>
              <w:rPr>
                <w:rFonts w:ascii="Aptos" w:hAnsi="Aptos"/>
                <w:sz w:val="16"/>
              </w:rPr>
              <w:t>We know Northstar’s differentiation is stronger in conversation than on-site. We do not yet know which proof matters most at each decision point.</w:t>
            </w:r>
          </w:p>
        </w:tc>
      </w:tr>
      <w:tr>
        <w:tc>
          <w:tcPr>
            <w:tcW w:type="dxa" w:w="3168"/>
            <w:tcMar>
              <w:top w:w="110" w:type="dxa"/>
              <w:start w:w="110" w:type="dxa"/>
              <w:bottom w:w="110" w:type="dxa"/>
              <w:end w:w="110" w:type="dxa"/>
            </w:tcMar>
            <w:vAlign w:val="center"/>
          </w:tcPr>
          <w:p>
            <w:pPr>
              <w:spacing w:after="0" w:line="240" w:lineRule="auto"/>
            </w:pPr>
            <w:r>
              <w:rPr>
                <w:rFonts w:ascii="Aptos" w:hAnsi="Aptos"/>
                <w:sz w:val="16"/>
              </w:rPr>
              <w:t>Conversion architecture</w:t>
            </w:r>
          </w:p>
        </w:tc>
        <w:tc>
          <w:tcPr>
            <w:tcW w:type="dxa" w:w="6480"/>
            <w:tcMar>
              <w:top w:w="110" w:type="dxa"/>
              <w:start w:w="110" w:type="dxa"/>
              <w:bottom w:w="110" w:type="dxa"/>
              <w:end w:w="110" w:type="dxa"/>
            </w:tcMar>
            <w:vAlign w:val="center"/>
          </w:tcPr>
          <w:p>
            <w:pPr>
              <w:spacing w:after="0" w:line="240" w:lineRule="auto"/>
            </w:pPr>
            <w:r>
              <w:rPr>
                <w:rFonts w:ascii="Aptos" w:hAnsi="Aptos"/>
                <w:sz w:val="16"/>
              </w:rPr>
              <w:t>We see inconsistent actions across the experience. We do not yet have validated corporate conversion baselines.</w:t>
            </w:r>
          </w:p>
        </w:tc>
      </w:tr>
      <w:tr>
        <w:tc>
          <w:tcPr>
            <w:tcW w:type="dxa" w:w="3168"/>
            <w:tcMar>
              <w:top w:w="110" w:type="dxa"/>
              <w:start w:w="110" w:type="dxa"/>
              <w:bottom w:w="110" w:type="dxa"/>
              <w:end w:w="110" w:type="dxa"/>
            </w:tcMar>
            <w:vAlign w:val="center"/>
          </w:tcPr>
          <w:p>
            <w:pPr>
              <w:spacing w:after="0" w:line="240" w:lineRule="auto"/>
            </w:pPr>
            <w:r>
              <w:rPr>
                <w:rFonts w:ascii="Aptos" w:hAnsi="Aptos"/>
                <w:sz w:val="16"/>
              </w:rPr>
              <w:t>Channel-to-opportunity visibility</w:t>
            </w:r>
          </w:p>
        </w:tc>
        <w:tc>
          <w:tcPr>
            <w:tcW w:type="dxa" w:w="6480"/>
            <w:tcMar>
              <w:top w:w="110" w:type="dxa"/>
              <w:start w:w="110" w:type="dxa"/>
              <w:bottom w:w="110" w:type="dxa"/>
              <w:end w:w="110" w:type="dxa"/>
            </w:tcMar>
            <w:vAlign w:val="center"/>
          </w:tcPr>
          <w:p>
            <w:pPr>
              <w:spacing w:after="0" w:line="240" w:lineRule="auto"/>
            </w:pPr>
            <w:r>
              <w:rPr>
                <w:rFonts w:ascii="Aptos" w:hAnsi="Aptos"/>
                <w:sz w:val="16"/>
              </w:rPr>
              <w:t>We know attribution and lifecycle governance are inconsistent. We do not yet know which channels create the highest-quality corporate opportunities.</w:t>
            </w:r>
          </w:p>
        </w:tc>
      </w:tr>
      <w:tr>
        <w:tc>
          <w:tcPr>
            <w:tcW w:type="dxa" w:w="3168"/>
            <w:tcMar>
              <w:top w:w="110" w:type="dxa"/>
              <w:start w:w="110" w:type="dxa"/>
              <w:bottom w:w="110" w:type="dxa"/>
              <w:end w:w="110" w:type="dxa"/>
            </w:tcMar>
            <w:vAlign w:val="center"/>
          </w:tcPr>
          <w:p>
            <w:pPr>
              <w:spacing w:after="0" w:line="240" w:lineRule="auto"/>
            </w:pPr>
            <w:r>
              <w:rPr>
                <w:rFonts w:ascii="Aptos" w:hAnsi="Aptos"/>
                <w:sz w:val="16"/>
              </w:rPr>
              <w:t>Implementation priority</w:t>
            </w:r>
          </w:p>
        </w:tc>
        <w:tc>
          <w:tcPr>
            <w:tcW w:type="dxa" w:w="6480"/>
            <w:tcMar>
              <w:top w:w="110" w:type="dxa"/>
              <w:start w:w="110" w:type="dxa"/>
              <w:bottom w:w="110" w:type="dxa"/>
              <w:end w:w="110" w:type="dxa"/>
            </w:tcMar>
            <w:vAlign w:val="center"/>
          </w:tcPr>
          <w:p>
            <w:pPr>
              <w:spacing w:after="0" w:line="240" w:lineRule="auto"/>
            </w:pPr>
            <w:r>
              <w:rPr>
                <w:rFonts w:ascii="Aptos" w:hAnsi="Aptos"/>
                <w:sz w:val="16"/>
              </w:rPr>
              <w:t>Several issues may be connected. We do not yet have enough evidence to responsibly say what should be fixed first.</w:t>
            </w:r>
          </w:p>
        </w:tc>
      </w:tr>
    </w:tbl>
    <w:p>
      <w:pPr>
        <w:spacing w:after="20"/>
      </w:pPr>
    </w:p>
    <w:p>
      <w:pPr>
        <w:pStyle w:val="Heading1"/>
      </w:pPr>
      <w:r>
        <w:t>Why SimpliBlueprint</w:t>
      </w:r>
    </w:p>
    <w:tbl>
      <w:tblPr>
        <w:tblStyle w:val="TableGrid"/>
        <w:tblW w:type="auto" w:w="0"/>
        <w:tblLook w:firstColumn="1" w:firstRow="1" w:lastColumn="0" w:lastRow="0" w:noHBand="0" w:noVBand="1" w:val="04A0"/>
      </w:tblPr>
      <w:tblGrid>
        <w:gridCol w:w="10166"/>
      </w:tblGrid>
      <w:tr>
        <w:tc>
          <w:tcPr>
            <w:tcW w:type="dxa" w:w="10166"/>
            <w:shd w:fill="E2F0D9"/>
            <w:tcMar>
              <w:top w:w="145" w:type="dxa"/>
              <w:start w:w="145" w:type="dxa"/>
              <w:bottom w:w="145" w:type="dxa"/>
              <w:end w:w="145" w:type="dxa"/>
            </w:tcMar>
          </w:tcPr>
          <w:p>
            <w:pPr>
              <w:spacing w:after="0" w:line="252" w:lineRule="auto"/>
            </w:pPr>
            <w:r>
              <w:rPr>
                <w:rFonts w:ascii="Aptos" w:hAnsi="Aptos"/>
                <w:color w:val="4B5563"/>
                <w:sz w:val="18"/>
              </w:rPr>
              <w:t>Diagnose before you prescribe.</w:t>
            </w:r>
          </w:p>
        </w:tc>
      </w:tr>
    </w:tbl>
    <w:p>
      <w:pPr>
        <w:spacing w:after="20"/>
      </w:pPr>
    </w:p>
    <w:p>
      <w:pPr>
        <w:spacing w:after="120"/>
      </w:pPr>
      <w:r>
        <w:rPr>
          <w:rFonts w:ascii="Aptos" w:hAnsi="Aptos"/>
          <w:b w:val="0"/>
        </w:rPr>
        <w:t>SimpliBlueprint is the recommended next step because it gives Northstar a structured way to validate the strategic questions that materially affect implementation. The goal is not to justify a redesign. The goal is to determine what needs to change, what should be prioritized, and what implementation path is appropriate before a larger investment is made.</w:t>
      </w:r>
    </w:p>
    <w:p>
      <w:pPr>
        <w:spacing w:after="120"/>
      </w:pPr>
      <w:r>
        <w:rPr>
          <w:rFonts w:ascii="Aptos" w:hAnsi="Aptos"/>
          <w:b w:val="0"/>
        </w:rPr>
        <w:t>The Blueprint is designed to stand on its own. Northstar can use the final strategic plan with SimpliCreative, with another implementation partner, or internally.</w:t>
      </w:r>
    </w:p>
    <w:p>
      <w:pPr>
        <w:pStyle w:val="Heading1"/>
      </w:pPr>
      <w:r>
        <w:t>What We Will Investigate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B56"/>
            <w:tcMar>
              <w:top w:w="110" w:type="dxa"/>
              <w:start w:w="110" w:type="dxa"/>
              <w:bottom w:w="110" w:type="dxa"/>
              <w:end w:w="110" w:type="dxa"/>
            </w:tcMar>
            <w:vAlign w:val="center"/>
          </w:tcPr>
          <w:p>
            <w:r>
              <w:rPr>
                <w:rFonts w:ascii="Aptos" w:hAnsi="Aptos"/>
                <w:b/>
                <w:color w:val="FFFFFF"/>
                <w:sz w:val="15"/>
              </w:rPr>
              <w:t>Workstream</w:t>
            </w:r>
          </w:p>
        </w:tc>
        <w:tc>
          <w:tcPr>
            <w:tcW w:type="dxa" w:w="6768"/>
            <w:shd w:fill="173B56"/>
            <w:tcMar>
              <w:top w:w="110" w:type="dxa"/>
              <w:start w:w="110" w:type="dxa"/>
              <w:bottom w:w="110" w:type="dxa"/>
              <w:end w:w="110" w:type="dxa"/>
            </w:tcMar>
            <w:vAlign w:val="center"/>
          </w:tcPr>
          <w:p>
            <w:r>
              <w:rPr>
                <w:rFonts w:ascii="Aptos" w:hAnsi="Aptos"/>
                <w:b/>
                <w:color w:val="FFFFFF"/>
                <w:sz w:val="15"/>
              </w:rPr>
              <w:t>Blueprint focus</w:t>
            </w:r>
          </w:p>
        </w:tc>
      </w:tr>
      <w:tr>
        <w:tc>
          <w:tcPr>
            <w:tcW w:type="dxa" w:w="2880"/>
            <w:tcMar>
              <w:top w:w="110" w:type="dxa"/>
              <w:start w:w="110" w:type="dxa"/>
              <w:bottom w:w="110" w:type="dxa"/>
              <w:end w:w="110" w:type="dxa"/>
            </w:tcMar>
            <w:vAlign w:val="center"/>
          </w:tcPr>
          <w:p>
            <w:pPr>
              <w:spacing w:after="0" w:line="240" w:lineRule="auto"/>
            </w:pPr>
            <w:r>
              <w:rPr>
                <w:rFonts w:ascii="Aptos" w:hAnsi="Aptos"/>
                <w:sz w:val="15"/>
              </w:rPr>
              <w:t>Business + buyer context</w:t>
            </w:r>
          </w:p>
        </w:tc>
        <w:tc>
          <w:tcPr>
            <w:tcW w:type="dxa" w:w="6768"/>
            <w:tcMar>
              <w:top w:w="110" w:type="dxa"/>
              <w:start w:w="110" w:type="dxa"/>
              <w:bottom w:w="110" w:type="dxa"/>
              <w:end w:w="110" w:type="dxa"/>
            </w:tcMar>
            <w:vAlign w:val="center"/>
          </w:tcPr>
          <w:p>
            <w:pPr>
              <w:spacing w:after="0" w:line="240" w:lineRule="auto"/>
            </w:pPr>
            <w:r>
              <w:rPr>
                <w:rFonts w:ascii="Aptos" w:hAnsi="Aptos"/>
                <w:sz w:val="15"/>
              </w:rPr>
              <w:t>Confirm the corporate growth objective, priority buyer segments, buying roles, decision criteria, constraints, and why-now context.</w:t>
            </w:r>
          </w:p>
        </w:tc>
      </w:tr>
      <w:tr>
        <w:tc>
          <w:tcPr>
            <w:tcW w:type="dxa" w:w="2880"/>
            <w:tcMar>
              <w:top w:w="110" w:type="dxa"/>
              <w:start w:w="110" w:type="dxa"/>
              <w:bottom w:w="110" w:type="dxa"/>
              <w:end w:w="110" w:type="dxa"/>
            </w:tcMar>
            <w:vAlign w:val="center"/>
          </w:tcPr>
          <w:p>
            <w:pPr>
              <w:spacing w:after="0" w:line="240" w:lineRule="auto"/>
            </w:pPr>
            <w:r>
              <w:rPr>
                <w:rFonts w:ascii="Aptos" w:hAnsi="Aptos"/>
                <w:sz w:val="15"/>
              </w:rPr>
              <w:t>Website + buyer journey</w:t>
            </w:r>
          </w:p>
        </w:tc>
        <w:tc>
          <w:tcPr>
            <w:tcW w:type="dxa" w:w="6768"/>
            <w:tcMar>
              <w:top w:w="110" w:type="dxa"/>
              <w:start w:w="110" w:type="dxa"/>
              <w:bottom w:w="110" w:type="dxa"/>
              <w:end w:w="110" w:type="dxa"/>
            </w:tcMar>
            <w:vAlign w:val="center"/>
          </w:tcPr>
          <w:p>
            <w:pPr>
              <w:spacing w:after="0" w:line="240" w:lineRule="auto"/>
            </w:pPr>
            <w:r>
              <w:rPr>
                <w:rFonts w:ascii="Aptos" w:hAnsi="Aptos"/>
                <w:sz w:val="15"/>
              </w:rPr>
              <w:t>Evaluate how corporate and individual audiences move through the current experience, where relevance/proof may break down, and what page roles need to exist.</w:t>
            </w:r>
          </w:p>
        </w:tc>
      </w:tr>
      <w:tr>
        <w:tc>
          <w:tcPr>
            <w:tcW w:type="dxa" w:w="2880"/>
            <w:tcMar>
              <w:top w:w="110" w:type="dxa"/>
              <w:start w:w="110" w:type="dxa"/>
              <w:bottom w:w="110" w:type="dxa"/>
              <w:end w:w="110" w:type="dxa"/>
            </w:tcMar>
            <w:vAlign w:val="center"/>
          </w:tcPr>
          <w:p>
            <w:pPr>
              <w:spacing w:after="0" w:line="240" w:lineRule="auto"/>
            </w:pPr>
            <w:r>
              <w:rPr>
                <w:rFonts w:ascii="Aptos" w:hAnsi="Aptos"/>
                <w:sz w:val="15"/>
              </w:rPr>
              <w:t>Messaging + proof</w:t>
            </w:r>
          </w:p>
        </w:tc>
        <w:tc>
          <w:tcPr>
            <w:tcW w:type="dxa" w:w="6768"/>
            <w:tcMar>
              <w:top w:w="110" w:type="dxa"/>
              <w:start w:w="110" w:type="dxa"/>
              <w:bottom w:w="110" w:type="dxa"/>
              <w:end w:w="110" w:type="dxa"/>
            </w:tcMar>
            <w:vAlign w:val="center"/>
          </w:tcPr>
          <w:p>
            <w:pPr>
              <w:spacing w:after="0" w:line="240" w:lineRule="auto"/>
            </w:pPr>
            <w:r>
              <w:rPr>
                <w:rFonts w:ascii="Aptos" w:hAnsi="Aptos"/>
                <w:sz w:val="15"/>
              </w:rPr>
              <w:t>Assess positioning, differentiation, enterprise credibility, case evidence, value communication, objections, and proof requirements across the buyer journey.</w:t>
            </w:r>
          </w:p>
        </w:tc>
      </w:tr>
      <w:tr>
        <w:tc>
          <w:tcPr>
            <w:tcW w:type="dxa" w:w="2880"/>
            <w:tcMar>
              <w:top w:w="110" w:type="dxa"/>
              <w:start w:w="110" w:type="dxa"/>
              <w:bottom w:w="110" w:type="dxa"/>
              <w:end w:w="110" w:type="dxa"/>
            </w:tcMar>
            <w:vAlign w:val="center"/>
          </w:tcPr>
          <w:p>
            <w:pPr>
              <w:spacing w:after="0" w:line="240" w:lineRule="auto"/>
            </w:pPr>
            <w:r>
              <w:rPr>
                <w:rFonts w:ascii="Aptos" w:hAnsi="Aptos"/>
                <w:sz w:val="15"/>
              </w:rPr>
              <w:t>Discoverability</w:t>
            </w:r>
          </w:p>
        </w:tc>
        <w:tc>
          <w:tcPr>
            <w:tcW w:type="dxa" w:w="6768"/>
            <w:tcMar>
              <w:top w:w="110" w:type="dxa"/>
              <w:start w:w="110" w:type="dxa"/>
              <w:bottom w:w="110" w:type="dxa"/>
              <w:end w:w="110" w:type="dxa"/>
            </w:tcMar>
            <w:vAlign w:val="center"/>
          </w:tcPr>
          <w:p>
            <w:pPr>
              <w:spacing w:after="0" w:line="240" w:lineRule="auto"/>
            </w:pPr>
            <w:r>
              <w:rPr>
                <w:rFonts w:ascii="Aptos" w:hAnsi="Aptos"/>
                <w:sz w:val="15"/>
              </w:rPr>
              <w:t>Review relevant search and AI-discovery evidence where available, including content/entity clarity and buyer-question coverage.</w:t>
            </w:r>
          </w:p>
        </w:tc>
      </w:tr>
      <w:tr>
        <w:tc>
          <w:tcPr>
            <w:tcW w:type="dxa" w:w="2880"/>
            <w:tcMar>
              <w:top w:w="110" w:type="dxa"/>
              <w:start w:w="110" w:type="dxa"/>
              <w:bottom w:w="110" w:type="dxa"/>
              <w:end w:w="110" w:type="dxa"/>
            </w:tcMar>
            <w:vAlign w:val="center"/>
          </w:tcPr>
          <w:p>
            <w:pPr>
              <w:spacing w:after="0" w:line="240" w:lineRule="auto"/>
            </w:pPr>
            <w:r>
              <w:rPr>
                <w:rFonts w:ascii="Aptos" w:hAnsi="Aptos"/>
                <w:sz w:val="15"/>
              </w:rPr>
              <w:t>Measurement + CRM</w:t>
            </w:r>
          </w:p>
        </w:tc>
        <w:tc>
          <w:tcPr>
            <w:tcW w:type="dxa" w:w="6768"/>
            <w:tcMar>
              <w:top w:w="110" w:type="dxa"/>
              <w:start w:w="110" w:type="dxa"/>
              <w:bottom w:w="110" w:type="dxa"/>
              <w:end w:w="110" w:type="dxa"/>
            </w:tcMar>
            <w:vAlign w:val="center"/>
          </w:tcPr>
          <w:p>
            <w:pPr>
              <w:spacing w:after="0" w:line="240" w:lineRule="auto"/>
            </w:pPr>
            <w:r>
              <w:rPr>
                <w:rFonts w:ascii="Aptos" w:hAnsi="Aptos"/>
                <w:sz w:val="15"/>
              </w:rPr>
              <w:t>Assess meaningful conversion definitions, analytics events, source/lifecycle quality, opportunity linkage, and what leadership can responsibly measure.</w:t>
            </w:r>
          </w:p>
        </w:tc>
      </w:tr>
      <w:tr>
        <w:tc>
          <w:tcPr>
            <w:tcW w:type="dxa" w:w="2880"/>
            <w:tcMar>
              <w:top w:w="110" w:type="dxa"/>
              <w:start w:w="110" w:type="dxa"/>
              <w:bottom w:w="110" w:type="dxa"/>
              <w:end w:w="110" w:type="dxa"/>
            </w:tcMar>
            <w:vAlign w:val="center"/>
          </w:tcPr>
          <w:p>
            <w:pPr>
              <w:spacing w:after="0" w:line="240" w:lineRule="auto"/>
            </w:pPr>
            <w:r>
              <w:rPr>
                <w:rFonts w:ascii="Aptos" w:hAnsi="Aptos"/>
                <w:sz w:val="15"/>
              </w:rPr>
              <w:t>Marketing ecosystem</w:t>
            </w:r>
          </w:p>
        </w:tc>
        <w:tc>
          <w:tcPr>
            <w:tcW w:type="dxa" w:w="6768"/>
            <w:tcMar>
              <w:top w:w="110" w:type="dxa"/>
              <w:start w:w="110" w:type="dxa"/>
              <w:bottom w:w="110" w:type="dxa"/>
              <w:end w:w="110" w:type="dxa"/>
            </w:tcMar>
            <w:vAlign w:val="center"/>
          </w:tcPr>
          <w:p>
            <w:pPr>
              <w:spacing w:after="0" w:line="240" w:lineRule="auto"/>
            </w:pPr>
            <w:r>
              <w:rPr>
                <w:rFonts w:ascii="Aptos" w:hAnsi="Aptos"/>
                <w:sz w:val="15"/>
              </w:rPr>
              <w:t>Connect website, content, paid/earned visibility, sales process, CRM, existing partners, and downstream implementation dependencies.</w:t>
            </w:r>
          </w:p>
        </w:tc>
      </w:tr>
      <w:tr>
        <w:tc>
          <w:tcPr>
            <w:tcW w:type="dxa" w:w="2880"/>
            <w:tcMar>
              <w:top w:w="110" w:type="dxa"/>
              <w:start w:w="110" w:type="dxa"/>
              <w:bottom w:w="110" w:type="dxa"/>
              <w:end w:w="110" w:type="dxa"/>
            </w:tcMar>
            <w:vAlign w:val="center"/>
          </w:tcPr>
          <w:p>
            <w:pPr>
              <w:spacing w:after="0" w:line="240" w:lineRule="auto"/>
            </w:pPr>
            <w:r>
              <w:rPr>
                <w:rFonts w:ascii="Aptos" w:hAnsi="Aptos"/>
                <w:sz w:val="15"/>
              </w:rPr>
              <w:t>Prioritization</w:t>
            </w:r>
          </w:p>
        </w:tc>
        <w:tc>
          <w:tcPr>
            <w:tcW w:type="dxa" w:w="6768"/>
            <w:tcMar>
              <w:top w:w="110" w:type="dxa"/>
              <w:start w:w="110" w:type="dxa"/>
              <w:bottom w:w="110" w:type="dxa"/>
              <w:end w:w="110" w:type="dxa"/>
            </w:tcMar>
            <w:vAlign w:val="center"/>
          </w:tcPr>
          <w:p>
            <w:pPr>
              <w:spacing w:after="0" w:line="240" w:lineRule="auto"/>
            </w:pPr>
            <w:r>
              <w:rPr>
                <w:rFonts w:ascii="Aptos" w:hAnsi="Aptos"/>
                <w:sz w:val="15"/>
              </w:rPr>
              <w:t>Distinguish root causes, contributing conditions, evidence gaps, and implementation requirements, then sequence what should happen first.</w:t>
            </w:r>
          </w:p>
        </w:tc>
      </w:tr>
    </w:tbl>
    <w:p>
      <w:pPr>
        <w:spacing w:after="20"/>
      </w:pPr>
    </w:p>
    <w:p>
      <w:pPr>
        <w:pStyle w:val="Heading1"/>
      </w:pPr>
      <w:r>
        <w:t>What You Receive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3B56"/>
            <w:tcMar>
              <w:top w:w="110" w:type="dxa"/>
              <w:start w:w="110" w:type="dxa"/>
              <w:bottom w:w="110" w:type="dxa"/>
              <w:end w:w="110" w:type="dxa"/>
            </w:tcMar>
            <w:vAlign w:val="center"/>
          </w:tcPr>
          <w:p>
            <w:r>
              <w:rPr>
                <w:rFonts w:ascii="Aptos" w:hAnsi="Aptos"/>
                <w:b/>
                <w:color w:val="FFFFFF"/>
                <w:sz w:val="16"/>
              </w:rPr>
              <w:t>Client deliverable</w:t>
            </w:r>
          </w:p>
        </w:tc>
        <w:tc>
          <w:tcPr>
            <w:tcW w:type="dxa" w:w="6480"/>
            <w:shd w:fill="173B56"/>
            <w:tcMar>
              <w:top w:w="110" w:type="dxa"/>
              <w:start w:w="110" w:type="dxa"/>
              <w:bottom w:w="110" w:type="dxa"/>
              <w:end w:w="110" w:type="dxa"/>
            </w:tcMar>
            <w:vAlign w:val="center"/>
          </w:tcPr>
          <w:p>
            <w:r>
              <w:rPr>
                <w:rFonts w:ascii="Aptos" w:hAnsi="Aptos"/>
                <w:b/>
                <w:color w:val="FFFFFF"/>
                <w:sz w:val="16"/>
              </w:rPr>
              <w:t>What it gives Northstar</w:t>
            </w:r>
          </w:p>
        </w:tc>
      </w:tr>
      <w:tr>
        <w:tc>
          <w:tcPr>
            <w:tcW w:type="dxa" w:w="3168"/>
            <w:tcMar>
              <w:top w:w="110" w:type="dxa"/>
              <w:start w:w="110" w:type="dxa"/>
              <w:bottom w:w="110" w:type="dxa"/>
              <w:end w:w="110" w:type="dxa"/>
            </w:tcMar>
            <w:vAlign w:val="center"/>
          </w:tcPr>
          <w:p>
            <w:pPr>
              <w:spacing w:after="0" w:line="240" w:lineRule="auto"/>
            </w:pPr>
            <w:r>
              <w:rPr>
                <w:rFonts w:ascii="Aptos" w:hAnsi="Aptos"/>
                <w:sz w:val="16"/>
              </w:rPr>
              <w:t>Personalized Blueprint Questionnaire</w:t>
            </w:r>
          </w:p>
        </w:tc>
        <w:tc>
          <w:tcPr>
            <w:tcW w:type="dxa" w:w="6480"/>
            <w:tcMar>
              <w:top w:w="110" w:type="dxa"/>
              <w:start w:w="110" w:type="dxa"/>
              <w:bottom w:w="110" w:type="dxa"/>
              <w:end w:w="110" w:type="dxa"/>
            </w:tcMar>
            <w:vAlign w:val="center"/>
          </w:tcPr>
          <w:p>
            <w:pPr>
              <w:spacing w:after="0" w:line="240" w:lineRule="auto"/>
            </w:pPr>
            <w:r>
              <w:rPr>
                <w:rFonts w:ascii="Aptos" w:hAnsi="Aptos"/>
                <w:sz w:val="16"/>
              </w:rPr>
              <w:t>A focused questionnaire that carries forward what we already know and asks only for information that still needs confirmation or clarification.</w:t>
            </w:r>
          </w:p>
        </w:tc>
      </w:tr>
      <w:tr>
        <w:tc>
          <w:tcPr>
            <w:tcW w:type="dxa" w:w="3168"/>
            <w:tcMar>
              <w:top w:w="110" w:type="dxa"/>
              <w:start w:w="110" w:type="dxa"/>
              <w:bottom w:w="110" w:type="dxa"/>
              <w:end w:w="110" w:type="dxa"/>
            </w:tcMar>
            <w:vAlign w:val="center"/>
          </w:tcPr>
          <w:p>
            <w:pPr>
              <w:spacing w:after="0" w:line="240" w:lineRule="auto"/>
            </w:pPr>
            <w:r>
              <w:rPr>
                <w:rFonts w:ascii="Aptos" w:hAnsi="Aptos"/>
                <w:sz w:val="16"/>
              </w:rPr>
              <w:t>SimpliBlueprint Report</w:t>
            </w:r>
          </w:p>
        </w:tc>
        <w:tc>
          <w:tcPr>
            <w:tcW w:type="dxa" w:w="6480"/>
            <w:tcMar>
              <w:top w:w="110" w:type="dxa"/>
              <w:start w:w="110" w:type="dxa"/>
              <w:bottom w:w="110" w:type="dxa"/>
              <w:end w:w="110" w:type="dxa"/>
            </w:tcMar>
            <w:vAlign w:val="center"/>
          </w:tcPr>
          <w:p>
            <w:pPr>
              <w:spacing w:after="0" w:line="240" w:lineRule="auto"/>
            </w:pPr>
            <w:r>
              <w:rPr>
                <w:rFonts w:ascii="Aptos" w:hAnsi="Aptos"/>
                <w:sz w:val="16"/>
              </w:rPr>
              <w:t>The evidence-backed strategic plan, including findings, root causes, priorities, buyer journey, messaging, discoverability, measurement, and implementation requirements.</w:t>
            </w:r>
          </w:p>
        </w:tc>
      </w:tr>
      <w:tr>
        <w:tc>
          <w:tcPr>
            <w:tcW w:type="dxa" w:w="3168"/>
            <w:tcMar>
              <w:top w:w="110" w:type="dxa"/>
              <w:start w:w="110" w:type="dxa"/>
              <w:bottom w:w="110" w:type="dxa"/>
              <w:end w:w="110" w:type="dxa"/>
            </w:tcMar>
            <w:vAlign w:val="center"/>
          </w:tcPr>
          <w:p>
            <w:pPr>
              <w:spacing w:after="0" w:line="240" w:lineRule="auto"/>
            </w:pPr>
            <w:r>
              <w:rPr>
                <w:rFonts w:ascii="Aptos" w:hAnsi="Aptos"/>
                <w:sz w:val="16"/>
              </w:rPr>
              <w:t>Blueprint Strategy Deck</w:t>
            </w:r>
          </w:p>
        </w:tc>
        <w:tc>
          <w:tcPr>
            <w:tcW w:type="dxa" w:w="6480"/>
            <w:tcMar>
              <w:top w:w="110" w:type="dxa"/>
              <w:start w:w="110" w:type="dxa"/>
              <w:bottom w:w="110" w:type="dxa"/>
              <w:end w:w="110" w:type="dxa"/>
            </w:tcMar>
            <w:vAlign w:val="center"/>
          </w:tcPr>
          <w:p>
            <w:pPr>
              <w:spacing w:after="0" w:line="240" w:lineRule="auto"/>
            </w:pPr>
            <w:r>
              <w:rPr>
                <w:rFonts w:ascii="Aptos" w:hAnsi="Aptos"/>
                <w:sz w:val="16"/>
              </w:rPr>
              <w:t>An executive-ready presentation of the strategic story, decisions, priorities, and recommended path forward.</w:t>
            </w:r>
          </w:p>
        </w:tc>
      </w:tr>
      <w:tr>
        <w:tc>
          <w:tcPr>
            <w:tcW w:type="dxa" w:w="3168"/>
            <w:tcMar>
              <w:top w:w="110" w:type="dxa"/>
              <w:start w:w="110" w:type="dxa"/>
              <w:bottom w:w="110" w:type="dxa"/>
              <w:end w:w="110" w:type="dxa"/>
            </w:tcMar>
            <w:vAlign w:val="center"/>
          </w:tcPr>
          <w:p>
            <w:pPr>
              <w:spacing w:after="0" w:line="240" w:lineRule="auto"/>
            </w:pPr>
            <w:r>
              <w:rPr>
                <w:rFonts w:ascii="Aptos" w:hAnsi="Aptos"/>
                <w:sz w:val="16"/>
              </w:rPr>
              <w:t>Prioritized Implementation Roadmap</w:t>
            </w:r>
          </w:p>
        </w:tc>
        <w:tc>
          <w:tcPr>
            <w:tcW w:type="dxa" w:w="6480"/>
            <w:tcMar>
              <w:top w:w="110" w:type="dxa"/>
              <w:start w:w="110" w:type="dxa"/>
              <w:bottom w:w="110" w:type="dxa"/>
              <w:end w:w="110" w:type="dxa"/>
            </w:tcMar>
            <w:vAlign w:val="center"/>
          </w:tcPr>
          <w:p>
            <w:pPr>
              <w:spacing w:after="0" w:line="240" w:lineRule="auto"/>
            </w:pPr>
            <w:r>
              <w:rPr>
                <w:rFonts w:ascii="Aptos" w:hAnsi="Aptos"/>
                <w:sz w:val="16"/>
              </w:rPr>
              <w:t>A sequenced view of what should happen first, key dependencies, decision gates, and implementation requirements.</w:t>
            </w:r>
          </w:p>
        </w:tc>
      </w:tr>
      <w:tr>
        <w:tc>
          <w:tcPr>
            <w:tcW w:type="dxa" w:w="3168"/>
            <w:tcMar>
              <w:top w:w="110" w:type="dxa"/>
              <w:start w:w="110" w:type="dxa"/>
              <w:bottom w:w="110" w:type="dxa"/>
              <w:end w:w="110" w:type="dxa"/>
            </w:tcMar>
            <w:vAlign w:val="center"/>
          </w:tcPr>
          <w:p>
            <w:pPr>
              <w:spacing w:after="0" w:line="240" w:lineRule="auto"/>
            </w:pPr>
            <w:r>
              <w:rPr>
                <w:rFonts w:ascii="Aptos" w:hAnsi="Aptos"/>
                <w:sz w:val="16"/>
              </w:rPr>
              <w:t>Strategy-to-Execution Handoff</w:t>
            </w:r>
          </w:p>
        </w:tc>
        <w:tc>
          <w:tcPr>
            <w:tcW w:type="dxa" w:w="6480"/>
            <w:tcMar>
              <w:top w:w="110" w:type="dxa"/>
              <w:start w:w="110" w:type="dxa"/>
              <w:bottom w:w="110" w:type="dxa"/>
              <w:end w:w="110" w:type="dxa"/>
            </w:tcMar>
            <w:vAlign w:val="center"/>
          </w:tcPr>
          <w:p>
            <w:pPr>
              <w:spacing w:after="0" w:line="240" w:lineRule="auto"/>
            </w:pPr>
            <w:r>
              <w:rPr>
                <w:rFonts w:ascii="Aptos" w:hAnsi="Aptos"/>
                <w:sz w:val="16"/>
              </w:rPr>
              <w:t>Implementation context that helps the approved strategy survive into Foundation or another implementation path.</w:t>
            </w:r>
          </w:p>
        </w:tc>
      </w:tr>
    </w:tbl>
    <w:p>
      <w:pPr>
        <w:spacing w:after="20"/>
      </w:pPr>
    </w:p>
    <w:p>
      <w:pPr>
        <w:pStyle w:val="Heading1"/>
      </w:pPr>
      <w:r>
        <w:t>How the Engagement Works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173B56"/>
            <w:tcMar>
              <w:top w:w="110" w:type="dxa"/>
              <w:start w:w="110" w:type="dxa"/>
              <w:bottom w:w="110" w:type="dxa"/>
              <w:end w:w="110" w:type="dxa"/>
            </w:tcMar>
            <w:vAlign w:val="center"/>
          </w:tcPr>
          <w:p>
            <w:r>
              <w:rPr>
                <w:rFonts w:ascii="Aptos" w:hAnsi="Aptos"/>
                <w:b/>
                <w:color w:val="FFFFFF"/>
                <w:sz w:val="15"/>
              </w:rPr>
              <w:t>Stage</w:t>
            </w:r>
          </w:p>
        </w:tc>
        <w:tc>
          <w:tcPr>
            <w:tcW w:type="dxa" w:w="5616"/>
            <w:shd w:fill="173B56"/>
            <w:tcMar>
              <w:top w:w="110" w:type="dxa"/>
              <w:start w:w="110" w:type="dxa"/>
              <w:bottom w:w="110" w:type="dxa"/>
              <w:end w:w="110" w:type="dxa"/>
            </w:tcMar>
            <w:vAlign w:val="center"/>
          </w:tcPr>
          <w:p>
            <w:r>
              <w:rPr>
                <w:rFonts w:ascii="Aptos" w:hAnsi="Aptos"/>
                <w:b/>
                <w:color w:val="FFFFFF"/>
                <w:sz w:val="15"/>
              </w:rPr>
              <w:t>What happens</w:t>
            </w:r>
          </w:p>
        </w:tc>
        <w:tc>
          <w:tcPr>
            <w:tcW w:type="dxa" w:w="2448"/>
            <w:shd w:fill="173B56"/>
            <w:tcMar>
              <w:top w:w="110" w:type="dxa"/>
              <w:start w:w="110" w:type="dxa"/>
              <w:bottom w:w="110" w:type="dxa"/>
              <w:end w:w="110" w:type="dxa"/>
            </w:tcMar>
            <w:vAlign w:val="center"/>
          </w:tcPr>
          <w:p>
            <w:r>
              <w:rPr>
                <w:rFonts w:ascii="Aptos" w:hAnsi="Aptos"/>
                <w:b/>
                <w:color w:val="FFFFFF"/>
                <w:sz w:val="15"/>
              </w:rPr>
              <w:t>Human decision / output</w:t>
            </w:r>
          </w:p>
        </w:tc>
      </w:tr>
      <w:tr>
        <w:tc>
          <w:tcPr>
            <w:tcW w:type="dxa" w:w="1584"/>
            <w:tcMar>
              <w:top w:w="110" w:type="dxa"/>
              <w:start w:w="110" w:type="dxa"/>
              <w:bottom w:w="110" w:type="dxa"/>
              <w:end w:w="110" w:type="dxa"/>
            </w:tcMar>
            <w:vAlign w:val="center"/>
          </w:tcPr>
          <w:p>
            <w:pPr>
              <w:spacing w:after="0" w:line="240" w:lineRule="auto"/>
            </w:pPr>
            <w:r>
              <w:rPr>
                <w:rFonts w:ascii="Aptos" w:hAnsi="Aptos"/>
                <w:sz w:val="15"/>
              </w:rPr>
              <w:t>Activate</w:t>
            </w:r>
          </w:p>
        </w:tc>
        <w:tc>
          <w:tcPr>
            <w:tcW w:type="dxa" w:w="5616"/>
            <w:tcMar>
              <w:top w:w="110" w:type="dxa"/>
              <w:start w:w="110" w:type="dxa"/>
              <w:bottom w:w="110" w:type="dxa"/>
              <w:end w:w="110" w:type="dxa"/>
            </w:tcMar>
            <w:vAlign w:val="center"/>
          </w:tcPr>
          <w:p>
            <w:pPr>
              <w:spacing w:after="0" w:line="240" w:lineRule="auto"/>
            </w:pPr>
            <w:r>
              <w:rPr>
                <w:rFonts w:ascii="Aptos" w:hAnsi="Aptos"/>
                <w:sz w:val="15"/>
              </w:rPr>
              <w:t>We assemble approved Diagnostic context, client records, relevant materials, and the engagement scope.</w:t>
            </w:r>
          </w:p>
        </w:tc>
        <w:tc>
          <w:tcPr>
            <w:tcW w:type="dxa" w:w="2448"/>
            <w:tcMar>
              <w:top w:w="110" w:type="dxa"/>
              <w:start w:w="110" w:type="dxa"/>
              <w:bottom w:w="110" w:type="dxa"/>
              <w:end w:w="110" w:type="dxa"/>
            </w:tcMar>
            <w:vAlign w:val="center"/>
          </w:tcPr>
          <w:p>
            <w:pPr>
              <w:spacing w:after="0" w:line="240" w:lineRule="auto"/>
            </w:pPr>
            <w:r>
              <w:rPr>
                <w:rFonts w:ascii="Aptos" w:hAnsi="Aptos"/>
                <w:sz w:val="15"/>
              </w:rPr>
              <w:t>Active Blueprint context</w:t>
            </w:r>
          </w:p>
        </w:tc>
      </w:tr>
      <w:tr>
        <w:tc>
          <w:tcPr>
            <w:tcW w:type="dxa" w:w="1584"/>
            <w:tcMar>
              <w:top w:w="110" w:type="dxa"/>
              <w:start w:w="110" w:type="dxa"/>
              <w:bottom w:w="110" w:type="dxa"/>
              <w:end w:w="110" w:type="dxa"/>
            </w:tcMar>
            <w:vAlign w:val="center"/>
          </w:tcPr>
          <w:p>
            <w:pPr>
              <w:spacing w:after="0" w:line="240" w:lineRule="auto"/>
            </w:pPr>
            <w:r>
              <w:rPr>
                <w:rFonts w:ascii="Aptos" w:hAnsi="Aptos"/>
                <w:sz w:val="15"/>
              </w:rPr>
              <w:t>Personalize</w:t>
            </w:r>
          </w:p>
        </w:tc>
        <w:tc>
          <w:tcPr>
            <w:tcW w:type="dxa" w:w="5616"/>
            <w:tcMar>
              <w:top w:w="110" w:type="dxa"/>
              <w:start w:w="110" w:type="dxa"/>
              <w:bottom w:w="110" w:type="dxa"/>
              <w:end w:w="110" w:type="dxa"/>
            </w:tcMar>
            <w:vAlign w:val="center"/>
          </w:tcPr>
          <w:p>
            <w:pPr>
              <w:spacing w:after="0" w:line="240" w:lineRule="auto"/>
            </w:pPr>
            <w:r>
              <w:rPr>
                <w:rFonts w:ascii="Aptos" w:hAnsi="Aptos"/>
                <w:sz w:val="15"/>
              </w:rPr>
              <w:t>Known information is carried forward and remaining questions are generated for Northstar.</w:t>
            </w:r>
          </w:p>
        </w:tc>
        <w:tc>
          <w:tcPr>
            <w:tcW w:type="dxa" w:w="2448"/>
            <w:tcMar>
              <w:top w:w="110" w:type="dxa"/>
              <w:start w:w="110" w:type="dxa"/>
              <w:bottom w:w="110" w:type="dxa"/>
              <w:end w:w="110" w:type="dxa"/>
            </w:tcMar>
            <w:vAlign w:val="center"/>
          </w:tcPr>
          <w:p>
            <w:pPr>
              <w:spacing w:after="0" w:line="240" w:lineRule="auto"/>
            </w:pPr>
            <w:r>
              <w:rPr>
                <w:rFonts w:ascii="Aptos" w:hAnsi="Aptos"/>
                <w:sz w:val="15"/>
              </w:rPr>
              <w:t>Personalized questionnaire</w:t>
            </w:r>
          </w:p>
        </w:tc>
      </w:tr>
      <w:tr>
        <w:tc>
          <w:tcPr>
            <w:tcW w:type="dxa" w:w="1584"/>
            <w:tcMar>
              <w:top w:w="110" w:type="dxa"/>
              <w:start w:w="110" w:type="dxa"/>
              <w:bottom w:w="110" w:type="dxa"/>
              <w:end w:w="110" w:type="dxa"/>
            </w:tcMar>
            <w:vAlign w:val="center"/>
          </w:tcPr>
          <w:p>
            <w:pPr>
              <w:spacing w:after="0" w:line="240" w:lineRule="auto"/>
            </w:pPr>
            <w:r>
              <w:rPr>
                <w:rFonts w:ascii="Aptos" w:hAnsi="Aptos"/>
                <w:sz w:val="15"/>
              </w:rPr>
              <w:t>Research + evidence</w:t>
            </w:r>
          </w:p>
        </w:tc>
        <w:tc>
          <w:tcPr>
            <w:tcW w:type="dxa" w:w="5616"/>
            <w:tcMar>
              <w:top w:w="110" w:type="dxa"/>
              <w:start w:w="110" w:type="dxa"/>
              <w:bottom w:w="110" w:type="dxa"/>
              <w:end w:w="110" w:type="dxa"/>
            </w:tcMar>
            <w:vAlign w:val="center"/>
          </w:tcPr>
          <w:p>
            <w:pPr>
              <w:spacing w:after="0" w:line="240" w:lineRule="auto"/>
            </w:pPr>
            <w:r>
              <w:rPr>
                <w:rFonts w:ascii="Aptos" w:hAnsi="Aptos"/>
                <w:sz w:val="15"/>
              </w:rPr>
              <w:t>We review approved client data, website evidence, analytics/search/CRM inputs where available, and relevant external research.</w:t>
            </w:r>
          </w:p>
        </w:tc>
        <w:tc>
          <w:tcPr>
            <w:tcW w:type="dxa" w:w="2448"/>
            <w:tcMar>
              <w:top w:w="110" w:type="dxa"/>
              <w:start w:w="110" w:type="dxa"/>
              <w:bottom w:w="110" w:type="dxa"/>
              <w:end w:w="110" w:type="dxa"/>
            </w:tcMar>
            <w:vAlign w:val="center"/>
          </w:tcPr>
          <w:p>
            <w:pPr>
              <w:spacing w:after="0" w:line="240" w:lineRule="auto"/>
            </w:pPr>
            <w:r>
              <w:rPr>
                <w:rFonts w:ascii="Aptos" w:hAnsi="Aptos"/>
                <w:sz w:val="15"/>
              </w:rPr>
              <w:t>Evidence record + gaps</w:t>
            </w:r>
          </w:p>
        </w:tc>
      </w:tr>
      <w:tr>
        <w:tc>
          <w:tcPr>
            <w:tcW w:type="dxa" w:w="1584"/>
            <w:tcMar>
              <w:top w:w="110" w:type="dxa"/>
              <w:start w:w="110" w:type="dxa"/>
              <w:bottom w:w="110" w:type="dxa"/>
              <w:end w:w="110" w:type="dxa"/>
            </w:tcMar>
            <w:vAlign w:val="center"/>
          </w:tcPr>
          <w:p>
            <w:pPr>
              <w:spacing w:after="0" w:line="240" w:lineRule="auto"/>
            </w:pPr>
            <w:r>
              <w:rPr>
                <w:rFonts w:ascii="Aptos" w:hAnsi="Aptos"/>
                <w:sz w:val="15"/>
              </w:rPr>
              <w:t>Analyze</w:t>
            </w:r>
          </w:p>
        </w:tc>
        <w:tc>
          <w:tcPr>
            <w:tcW w:type="dxa" w:w="5616"/>
            <w:tcMar>
              <w:top w:w="110" w:type="dxa"/>
              <w:start w:w="110" w:type="dxa"/>
              <w:bottom w:w="110" w:type="dxa"/>
              <w:end w:w="110" w:type="dxa"/>
            </w:tcMar>
            <w:vAlign w:val="center"/>
          </w:tcPr>
          <w:p>
            <w:pPr>
              <w:spacing w:after="0" w:line="240" w:lineRule="auto"/>
            </w:pPr>
            <w:r>
              <w:rPr>
                <w:rFonts w:ascii="Aptos" w:hAnsi="Aptos"/>
                <w:sz w:val="15"/>
              </w:rPr>
              <w:t>AI supports organization and synthesis. SimpliCreative strategists interpret findings, test hypotheses, and determine strategic meaning.</w:t>
            </w:r>
          </w:p>
        </w:tc>
        <w:tc>
          <w:tcPr>
            <w:tcW w:type="dxa" w:w="2448"/>
            <w:tcMar>
              <w:top w:w="110" w:type="dxa"/>
              <w:start w:w="110" w:type="dxa"/>
              <w:bottom w:w="110" w:type="dxa"/>
              <w:end w:w="110" w:type="dxa"/>
            </w:tcMar>
            <w:vAlign w:val="center"/>
          </w:tcPr>
          <w:p>
            <w:pPr>
              <w:spacing w:after="0" w:line="240" w:lineRule="auto"/>
            </w:pPr>
            <w:r>
              <w:rPr>
                <w:rFonts w:ascii="Aptos" w:hAnsi="Aptos"/>
                <w:sz w:val="15"/>
              </w:rPr>
              <w:t>Human-reviewed findings</w:t>
            </w:r>
          </w:p>
        </w:tc>
      </w:tr>
      <w:tr>
        <w:tc>
          <w:tcPr>
            <w:tcW w:type="dxa" w:w="1584"/>
            <w:tcMar>
              <w:top w:w="110" w:type="dxa"/>
              <w:start w:w="110" w:type="dxa"/>
              <w:bottom w:w="110" w:type="dxa"/>
              <w:end w:w="110" w:type="dxa"/>
            </w:tcMar>
            <w:vAlign w:val="center"/>
          </w:tcPr>
          <w:p>
            <w:pPr>
              <w:spacing w:after="0" w:line="240" w:lineRule="auto"/>
            </w:pPr>
            <w:r>
              <w:rPr>
                <w:rFonts w:ascii="Aptos" w:hAnsi="Aptos"/>
                <w:sz w:val="15"/>
              </w:rPr>
              <w:t>Prioritize</w:t>
            </w:r>
          </w:p>
        </w:tc>
        <w:tc>
          <w:tcPr>
            <w:tcW w:type="dxa" w:w="5616"/>
            <w:tcMar>
              <w:top w:w="110" w:type="dxa"/>
              <w:start w:w="110" w:type="dxa"/>
              <w:bottom w:w="110" w:type="dxa"/>
              <w:end w:w="110" w:type="dxa"/>
            </w:tcMar>
            <w:vAlign w:val="center"/>
          </w:tcPr>
          <w:p>
            <w:pPr>
              <w:spacing w:after="0" w:line="240" w:lineRule="auto"/>
            </w:pPr>
            <w:r>
              <w:rPr>
                <w:rFonts w:ascii="Aptos" w:hAnsi="Aptos"/>
                <w:sz w:val="15"/>
              </w:rPr>
              <w:t>Root causes, dependencies, sequence, measurability, and implementation risk are evaluated.</w:t>
            </w:r>
          </w:p>
        </w:tc>
        <w:tc>
          <w:tcPr>
            <w:tcW w:type="dxa" w:w="2448"/>
            <w:tcMar>
              <w:top w:w="110" w:type="dxa"/>
              <w:start w:w="110" w:type="dxa"/>
              <w:bottom w:w="110" w:type="dxa"/>
              <w:end w:w="110" w:type="dxa"/>
            </w:tcMar>
            <w:vAlign w:val="center"/>
          </w:tcPr>
          <w:p>
            <w:pPr>
              <w:spacing w:after="0" w:line="240" w:lineRule="auto"/>
            </w:pPr>
            <w:r>
              <w:rPr>
                <w:rFonts w:ascii="Aptos" w:hAnsi="Aptos"/>
                <w:sz w:val="15"/>
              </w:rPr>
              <w:t>Approved priorities</w:t>
            </w:r>
          </w:p>
        </w:tc>
      </w:tr>
      <w:tr>
        <w:tc>
          <w:tcPr>
            <w:tcW w:type="dxa" w:w="1584"/>
            <w:tcMar>
              <w:top w:w="110" w:type="dxa"/>
              <w:start w:w="110" w:type="dxa"/>
              <w:bottom w:w="110" w:type="dxa"/>
              <w:end w:w="110" w:type="dxa"/>
            </w:tcMar>
            <w:vAlign w:val="center"/>
          </w:tcPr>
          <w:p>
            <w:pPr>
              <w:spacing w:after="0" w:line="240" w:lineRule="auto"/>
            </w:pPr>
            <w:r>
              <w:rPr>
                <w:rFonts w:ascii="Aptos" w:hAnsi="Aptos"/>
                <w:sz w:val="15"/>
              </w:rPr>
              <w:t>Develop</w:t>
            </w:r>
          </w:p>
        </w:tc>
        <w:tc>
          <w:tcPr>
            <w:tcW w:type="dxa" w:w="5616"/>
            <w:tcMar>
              <w:top w:w="110" w:type="dxa"/>
              <w:start w:w="110" w:type="dxa"/>
              <w:bottom w:w="110" w:type="dxa"/>
              <w:end w:w="110" w:type="dxa"/>
            </w:tcMar>
            <w:vAlign w:val="center"/>
          </w:tcPr>
          <w:p>
            <w:pPr>
              <w:spacing w:after="0" w:line="240" w:lineRule="auto"/>
            </w:pPr>
            <w:r>
              <w:rPr>
                <w:rFonts w:ascii="Aptos" w:hAnsi="Aptos"/>
                <w:sz w:val="15"/>
              </w:rPr>
              <w:t>We draft the Blueprint, implementation requirements, and executive strategy story.</w:t>
            </w:r>
          </w:p>
        </w:tc>
        <w:tc>
          <w:tcPr>
            <w:tcW w:type="dxa" w:w="2448"/>
            <w:tcMar>
              <w:top w:w="110" w:type="dxa"/>
              <w:start w:w="110" w:type="dxa"/>
              <w:bottom w:w="110" w:type="dxa"/>
              <w:end w:w="110" w:type="dxa"/>
            </w:tcMar>
            <w:vAlign w:val="center"/>
          </w:tcPr>
          <w:p>
            <w:pPr>
              <w:spacing w:after="0" w:line="240" w:lineRule="auto"/>
            </w:pPr>
            <w:r>
              <w:rPr>
                <w:rFonts w:ascii="Aptos" w:hAnsi="Aptos"/>
                <w:sz w:val="15"/>
              </w:rPr>
              <w:t>Draft Blueprint + strategy deck</w:t>
            </w:r>
          </w:p>
        </w:tc>
      </w:tr>
      <w:tr>
        <w:tc>
          <w:tcPr>
            <w:tcW w:type="dxa" w:w="1584"/>
            <w:tcMar>
              <w:top w:w="110" w:type="dxa"/>
              <w:start w:w="110" w:type="dxa"/>
              <w:bottom w:w="110" w:type="dxa"/>
              <w:end w:w="110" w:type="dxa"/>
            </w:tcMar>
            <w:vAlign w:val="center"/>
          </w:tcPr>
          <w:p>
            <w:pPr>
              <w:spacing w:after="0" w:line="240" w:lineRule="auto"/>
            </w:pPr>
            <w:r>
              <w:rPr>
                <w:rFonts w:ascii="Aptos" w:hAnsi="Aptos"/>
                <w:sz w:val="15"/>
              </w:rPr>
              <w:t>Decision session</w:t>
            </w:r>
          </w:p>
        </w:tc>
        <w:tc>
          <w:tcPr>
            <w:tcW w:type="dxa" w:w="5616"/>
            <w:tcMar>
              <w:top w:w="110" w:type="dxa"/>
              <w:start w:w="110" w:type="dxa"/>
              <w:bottom w:w="110" w:type="dxa"/>
              <w:end w:w="110" w:type="dxa"/>
            </w:tcMar>
            <w:vAlign w:val="center"/>
          </w:tcPr>
          <w:p>
            <w:pPr>
              <w:spacing w:after="0" w:line="240" w:lineRule="auto"/>
            </w:pPr>
            <w:r>
              <w:rPr>
                <w:rFonts w:ascii="Aptos" w:hAnsi="Aptos"/>
                <w:sz w:val="15"/>
              </w:rPr>
              <w:t>Leadership reviews the strategy, decisions, evidence gaps, and implementation options.</w:t>
            </w:r>
          </w:p>
        </w:tc>
        <w:tc>
          <w:tcPr>
            <w:tcW w:type="dxa" w:w="2448"/>
            <w:tcMar>
              <w:top w:w="110" w:type="dxa"/>
              <w:start w:w="110" w:type="dxa"/>
              <w:bottom w:w="110" w:type="dxa"/>
              <w:end w:w="110" w:type="dxa"/>
            </w:tcMar>
            <w:vAlign w:val="center"/>
          </w:tcPr>
          <w:p>
            <w:pPr>
              <w:spacing w:after="0" w:line="240" w:lineRule="auto"/>
            </w:pPr>
            <w:r>
              <w:rPr>
                <w:rFonts w:ascii="Aptos" w:hAnsi="Aptos"/>
                <w:sz w:val="15"/>
              </w:rPr>
              <w:t>Client decisions</w:t>
            </w:r>
          </w:p>
        </w:tc>
      </w:tr>
      <w:tr>
        <w:tc>
          <w:tcPr>
            <w:tcW w:type="dxa" w:w="1584"/>
            <w:tcMar>
              <w:top w:w="110" w:type="dxa"/>
              <w:start w:w="110" w:type="dxa"/>
              <w:bottom w:w="110" w:type="dxa"/>
              <w:end w:w="110" w:type="dxa"/>
            </w:tcMar>
            <w:vAlign w:val="center"/>
          </w:tcPr>
          <w:p>
            <w:pPr>
              <w:spacing w:after="0" w:line="240" w:lineRule="auto"/>
            </w:pPr>
            <w:r>
              <w:rPr>
                <w:rFonts w:ascii="Aptos" w:hAnsi="Aptos"/>
                <w:sz w:val="15"/>
              </w:rPr>
              <w:t>Finalize</w:t>
            </w:r>
          </w:p>
        </w:tc>
        <w:tc>
          <w:tcPr>
            <w:tcW w:type="dxa" w:w="5616"/>
            <w:tcMar>
              <w:top w:w="110" w:type="dxa"/>
              <w:start w:w="110" w:type="dxa"/>
              <w:bottom w:w="110" w:type="dxa"/>
              <w:end w:w="110" w:type="dxa"/>
            </w:tcMar>
            <w:vAlign w:val="center"/>
          </w:tcPr>
          <w:p>
            <w:pPr>
              <w:spacing w:after="0" w:line="240" w:lineRule="auto"/>
            </w:pPr>
            <w:r>
              <w:rPr>
                <w:rFonts w:ascii="Aptos" w:hAnsi="Aptos"/>
                <w:sz w:val="15"/>
              </w:rPr>
              <w:t>Feedback and decisions are reconciled into the final strategic plan.</w:t>
            </w:r>
          </w:p>
        </w:tc>
        <w:tc>
          <w:tcPr>
            <w:tcW w:type="dxa" w:w="2448"/>
            <w:tcMar>
              <w:top w:w="110" w:type="dxa"/>
              <w:start w:w="110" w:type="dxa"/>
              <w:bottom w:w="110" w:type="dxa"/>
              <w:end w:w="110" w:type="dxa"/>
            </w:tcMar>
            <w:vAlign w:val="center"/>
          </w:tcPr>
          <w:p>
            <w:pPr>
              <w:spacing w:after="0" w:line="240" w:lineRule="auto"/>
            </w:pPr>
            <w:r>
              <w:rPr>
                <w:rFonts w:ascii="Aptos" w:hAnsi="Aptos"/>
                <w:sz w:val="15"/>
              </w:rPr>
              <w:t>Approved Blueprint + implementation handoff</w:t>
            </w:r>
          </w:p>
        </w:tc>
      </w:tr>
    </w:tbl>
    <w:p>
      <w:pPr>
        <w:spacing w:after="20"/>
      </w:pPr>
    </w:p>
    <w:p>
      <w:pPr>
        <w:pStyle w:val="Heading1"/>
      </w:pPr>
      <w:r>
        <w:t>What We Need From Northstar</w:t>
      </w:r>
    </w:p>
    <w:p>
      <w:pPr>
        <w:spacing w:after="120"/>
      </w:pPr>
      <w:r>
        <w:rPr>
          <w:rFonts w:ascii="Aptos" w:hAnsi="Aptos"/>
          <w:b w:val="0"/>
        </w:rPr>
        <w:t>We will not ask for every possible resource. We will request what is needed to answer the approved strategic questions.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73B56"/>
            <w:tcMar>
              <w:top w:w="110" w:type="dxa"/>
              <w:start w:w="110" w:type="dxa"/>
              <w:bottom w:w="110" w:type="dxa"/>
              <w:end w:w="110" w:type="dxa"/>
            </w:tcMar>
            <w:vAlign w:val="center"/>
          </w:tcPr>
          <w:p>
            <w:r>
              <w:rPr>
                <w:rFonts w:ascii="Aptos" w:hAnsi="Aptos"/>
                <w:b/>
                <w:color w:val="FFFFFF"/>
                <w:sz w:val="16"/>
              </w:rPr>
              <w:t>Input / participation</w:t>
            </w:r>
          </w:p>
        </w:tc>
        <w:tc>
          <w:tcPr>
            <w:tcW w:type="dxa" w:w="6192"/>
            <w:shd w:fill="173B56"/>
            <w:tcMar>
              <w:top w:w="110" w:type="dxa"/>
              <w:start w:w="110" w:type="dxa"/>
              <w:bottom w:w="110" w:type="dxa"/>
              <w:end w:w="110" w:type="dxa"/>
            </w:tcMar>
            <w:vAlign w:val="center"/>
          </w:tcPr>
          <w:p>
            <w:r>
              <w:rPr>
                <w:rFonts w:ascii="Aptos" w:hAnsi="Aptos"/>
                <w:b/>
                <w:color w:val="FFFFFF"/>
                <w:sz w:val="16"/>
              </w:rPr>
              <w:t>Why it matters</w:t>
            </w:r>
          </w:p>
        </w:tc>
      </w:tr>
      <w:tr>
        <w:tc>
          <w:tcPr>
            <w:tcW w:type="dxa" w:w="3456"/>
            <w:tcMar>
              <w:top w:w="110" w:type="dxa"/>
              <w:start w:w="110" w:type="dxa"/>
              <w:bottom w:w="110" w:type="dxa"/>
              <w:end w:w="110" w:type="dxa"/>
            </w:tcMar>
            <w:vAlign w:val="center"/>
          </w:tcPr>
          <w:p>
            <w:pPr>
              <w:spacing w:after="0" w:line="240" w:lineRule="auto"/>
            </w:pPr>
            <w:r>
              <w:rPr>
                <w:rFonts w:ascii="Aptos" w:hAnsi="Aptos"/>
                <w:sz w:val="16"/>
              </w:rPr>
              <w:t>Recent leadership marketing report</w:t>
            </w:r>
          </w:p>
        </w:tc>
        <w:tc>
          <w:tcPr>
            <w:tcW w:type="dxa" w:w="6192"/>
            <w:tcMar>
              <w:top w:w="110" w:type="dxa"/>
              <w:start w:w="110" w:type="dxa"/>
              <w:bottom w:w="110" w:type="dxa"/>
              <w:end w:w="110" w:type="dxa"/>
            </w:tcMar>
            <w:vAlign w:val="center"/>
          </w:tcPr>
          <w:p>
            <w:pPr>
              <w:spacing w:after="0" w:line="240" w:lineRule="auto"/>
            </w:pPr>
            <w:r>
              <w:rPr>
                <w:rFonts w:ascii="Aptos" w:hAnsi="Aptos"/>
                <w:sz w:val="16"/>
              </w:rPr>
              <w:t>Provides leadership expectations, current reporting context, and business priorities.</w:t>
            </w:r>
          </w:p>
        </w:tc>
      </w:tr>
      <w:tr>
        <w:tc>
          <w:tcPr>
            <w:tcW w:type="dxa" w:w="3456"/>
            <w:tcMar>
              <w:top w:w="110" w:type="dxa"/>
              <w:start w:w="110" w:type="dxa"/>
              <w:bottom w:w="110" w:type="dxa"/>
              <w:end w:w="110" w:type="dxa"/>
            </w:tcMar>
            <w:vAlign w:val="center"/>
          </w:tcPr>
          <w:p>
            <w:pPr>
              <w:spacing w:after="0" w:line="240" w:lineRule="auto"/>
            </w:pPr>
            <w:r>
              <w:rPr>
                <w:rFonts w:ascii="Aptos" w:hAnsi="Aptos"/>
                <w:sz w:val="16"/>
              </w:rPr>
              <w:t>Sample corporate proposal</w:t>
            </w:r>
          </w:p>
        </w:tc>
        <w:tc>
          <w:tcPr>
            <w:tcW w:type="dxa" w:w="6192"/>
            <w:tcMar>
              <w:top w:w="110" w:type="dxa"/>
              <w:start w:w="110" w:type="dxa"/>
              <w:bottom w:w="110" w:type="dxa"/>
              <w:end w:w="110" w:type="dxa"/>
            </w:tcMar>
            <w:vAlign w:val="center"/>
          </w:tcPr>
          <w:p>
            <w:pPr>
              <w:spacing w:after="0" w:line="240" w:lineRule="auto"/>
            </w:pPr>
            <w:r>
              <w:rPr>
                <w:rFonts w:ascii="Aptos" w:hAnsi="Aptos"/>
                <w:sz w:val="16"/>
              </w:rPr>
              <w:t>Shows how Northstar currently communicates value, proof, and fit during sales evaluation.</w:t>
            </w:r>
          </w:p>
        </w:tc>
      </w:tr>
      <w:tr>
        <w:tc>
          <w:tcPr>
            <w:tcW w:type="dxa" w:w="3456"/>
            <w:tcMar>
              <w:top w:w="110" w:type="dxa"/>
              <w:start w:w="110" w:type="dxa"/>
              <w:bottom w:w="110" w:type="dxa"/>
              <w:end w:w="110" w:type="dxa"/>
            </w:tcMar>
            <w:vAlign w:val="center"/>
          </w:tcPr>
          <w:p>
            <w:pPr>
              <w:spacing w:after="0" w:line="240" w:lineRule="auto"/>
            </w:pPr>
            <w:r>
              <w:rPr>
                <w:rFonts w:ascii="Aptos" w:hAnsi="Aptos"/>
                <w:sz w:val="16"/>
              </w:rPr>
              <w:t>Relevant analytics / search data</w:t>
            </w:r>
          </w:p>
        </w:tc>
        <w:tc>
          <w:tcPr>
            <w:tcW w:type="dxa" w:w="6192"/>
            <w:tcMar>
              <w:top w:w="110" w:type="dxa"/>
              <w:start w:w="110" w:type="dxa"/>
              <w:bottom w:w="110" w:type="dxa"/>
              <w:end w:w="110" w:type="dxa"/>
            </w:tcMar>
            <w:vAlign w:val="center"/>
          </w:tcPr>
          <w:p>
            <w:pPr>
              <w:spacing w:after="0" w:line="240" w:lineRule="auto"/>
            </w:pPr>
            <w:r>
              <w:rPr>
                <w:rFonts w:ascii="Aptos" w:hAnsi="Aptos"/>
                <w:sz w:val="16"/>
              </w:rPr>
              <w:t>Helps establish current demand, journey, and conversion evidence where available.</w:t>
            </w:r>
          </w:p>
        </w:tc>
      </w:tr>
      <w:tr>
        <w:tc>
          <w:tcPr>
            <w:tcW w:type="dxa" w:w="3456"/>
            <w:tcMar>
              <w:top w:w="110" w:type="dxa"/>
              <w:start w:w="110" w:type="dxa"/>
              <w:bottom w:w="110" w:type="dxa"/>
              <w:end w:w="110" w:type="dxa"/>
            </w:tcMar>
            <w:vAlign w:val="center"/>
          </w:tcPr>
          <w:p>
            <w:pPr>
              <w:spacing w:after="0" w:line="240" w:lineRule="auto"/>
            </w:pPr>
            <w:r>
              <w:rPr>
                <w:rFonts w:ascii="Aptos" w:hAnsi="Aptos"/>
                <w:sz w:val="16"/>
              </w:rPr>
              <w:t>Relevant HubSpot / pipeline context</w:t>
            </w:r>
          </w:p>
        </w:tc>
        <w:tc>
          <w:tcPr>
            <w:tcW w:type="dxa" w:w="6192"/>
            <w:tcMar>
              <w:top w:w="110" w:type="dxa"/>
              <w:start w:w="110" w:type="dxa"/>
              <w:bottom w:w="110" w:type="dxa"/>
              <w:end w:w="110" w:type="dxa"/>
            </w:tcMar>
            <w:vAlign w:val="center"/>
          </w:tcPr>
          <w:p>
            <w:pPr>
              <w:spacing w:after="0" w:line="240" w:lineRule="auto"/>
            </w:pPr>
            <w:r>
              <w:rPr>
                <w:rFonts w:ascii="Aptos" w:hAnsi="Aptos"/>
                <w:sz w:val="16"/>
              </w:rPr>
              <w:t>Helps assess source, lifecycle, opportunity, and measurement reliability.</w:t>
            </w:r>
          </w:p>
        </w:tc>
      </w:tr>
      <w:tr>
        <w:tc>
          <w:tcPr>
            <w:tcW w:type="dxa" w:w="3456"/>
            <w:tcMar>
              <w:top w:w="110" w:type="dxa"/>
              <w:start w:w="110" w:type="dxa"/>
              <w:bottom w:w="110" w:type="dxa"/>
              <w:end w:w="110" w:type="dxa"/>
            </w:tcMar>
            <w:vAlign w:val="center"/>
          </w:tcPr>
          <w:p>
            <w:pPr>
              <w:spacing w:after="0" w:line="240" w:lineRule="auto"/>
            </w:pPr>
            <w:r>
              <w:rPr>
                <w:rFonts w:ascii="Aptos" w:hAnsi="Aptos"/>
                <w:sz w:val="16"/>
              </w:rPr>
              <w:t>Appropriate stakeholder participation</w:t>
            </w:r>
          </w:p>
        </w:tc>
        <w:tc>
          <w:tcPr>
            <w:tcW w:type="dxa" w:w="6192"/>
            <w:tcMar>
              <w:top w:w="110" w:type="dxa"/>
              <w:start w:w="110" w:type="dxa"/>
              <w:bottom w:w="110" w:type="dxa"/>
              <w:end w:w="110" w:type="dxa"/>
            </w:tcMar>
            <w:vAlign w:val="center"/>
          </w:tcPr>
          <w:p>
            <w:pPr>
              <w:spacing w:after="0" w:line="240" w:lineRule="auto"/>
            </w:pPr>
            <w:r>
              <w:rPr>
                <w:rFonts w:ascii="Aptos" w:hAnsi="Aptos"/>
                <w:sz w:val="16"/>
              </w:rPr>
              <w:t>CEO / Chief Growth Officer involvement may be useful for validating priorities, decision criteria, and implementation constraints.</w:t>
            </w:r>
          </w:p>
        </w:tc>
      </w:tr>
      <w:tr>
        <w:tc>
          <w:tcPr>
            <w:tcW w:type="dxa" w:w="3456"/>
            <w:tcMar>
              <w:top w:w="110" w:type="dxa"/>
              <w:start w:w="110" w:type="dxa"/>
              <w:bottom w:w="110" w:type="dxa"/>
              <w:end w:w="110" w:type="dxa"/>
            </w:tcMar>
            <w:vAlign w:val="center"/>
          </w:tcPr>
          <w:p>
            <w:pPr>
              <w:spacing w:after="0" w:line="240" w:lineRule="auto"/>
            </w:pPr>
            <w:r>
              <w:rPr>
                <w:rFonts w:ascii="Aptos" w:hAnsi="Aptos"/>
                <w:sz w:val="16"/>
              </w:rPr>
              <w:t>Existing marketing / sales assets requested during Blueprint</w:t>
            </w:r>
          </w:p>
        </w:tc>
        <w:tc>
          <w:tcPr>
            <w:tcW w:type="dxa" w:w="6192"/>
            <w:tcMar>
              <w:top w:w="110" w:type="dxa"/>
              <w:start w:w="110" w:type="dxa"/>
              <w:bottom w:w="110" w:type="dxa"/>
              <w:end w:w="110" w:type="dxa"/>
            </w:tcMar>
            <w:vAlign w:val="center"/>
          </w:tcPr>
          <w:p>
            <w:pPr>
              <w:spacing w:after="0" w:line="240" w:lineRule="auto"/>
            </w:pPr>
            <w:r>
              <w:rPr>
                <w:rFonts w:ascii="Aptos" w:hAnsi="Aptos"/>
                <w:sz w:val="16"/>
              </w:rPr>
              <w:t>Prevents redundant discovery and strengthens evidence quality.</w:t>
            </w:r>
          </w:p>
        </w:tc>
      </w:tr>
    </w:tbl>
    <w:p>
      <w:pPr>
        <w:spacing w:after="20"/>
      </w:pPr>
    </w:p>
    <w:p>
      <w:pPr>
        <w:pStyle w:val="Heading1"/>
      </w:pPr>
      <w:r>
        <w:t>Investment</w:t>
      </w:r>
    </w:p>
    <w:p>
      <w:pPr>
        <w:spacing w:after="120"/>
      </w:pPr>
      <w:r>
        <w:rPr>
          <w:rFonts w:ascii="Aptos" w:hAnsi="Aptos"/>
          <w:b/>
          <w:color w:val="173B56"/>
          <w:sz w:val="26"/>
        </w:rPr>
        <w:t>Standard SimpliBlueprint</w:t>
      </w:r>
    </w:p>
    <w:p>
      <w:pPr>
        <w:spacing w:after="120"/>
      </w:pPr>
      <w:r>
        <w:rPr>
          <w:rFonts w:ascii="Aptos" w:hAnsi="Aptos"/>
          <w:b/>
          <w:color w:val="1B7F79"/>
          <w:sz w:val="48"/>
        </w:rPr>
        <w:t>$12,500</w:t>
      </w:r>
    </w:p>
    <w:p>
      <w:pPr>
        <w:spacing w:after="120"/>
      </w:pPr>
      <w:r>
        <w:rPr>
          <w:rFonts w:ascii="Aptos" w:hAnsi="Aptos"/>
          <w:b w:val="0"/>
        </w:rPr>
        <w:t>Fixed strategic engagement for one primary organization and one primary website under the standard SimpliBlueprint scope.</w:t>
      </w:r>
    </w:p>
    <w:tbl>
      <w:tblPr>
        <w:tblStyle w:val="TableGrid"/>
        <w:tblW w:type="auto" w:w="0"/>
        <w:tblLook w:firstColumn="1" w:firstRow="1" w:lastColumn="0" w:lastRow="0" w:noHBand="0" w:noVBand="1" w:val="04A0"/>
      </w:tblPr>
      <w:tblGrid>
        <w:gridCol w:w="10166"/>
      </w:tblGrid>
      <w:tr>
        <w:tc>
          <w:tcPr>
            <w:tcW w:type="dxa" w:w="10166"/>
            <w:shd w:fill="FCE4D6"/>
            <w:tcMar>
              <w:top w:w="145" w:type="dxa"/>
              <w:start w:w="145" w:type="dxa"/>
              <w:bottom w:w="145" w:type="dxa"/>
              <w:end w:w="145" w:type="dxa"/>
            </w:tcMar>
          </w:tcPr>
          <w:p>
            <w:pPr>
              <w:spacing w:after="0" w:line="252" w:lineRule="auto"/>
            </w:pPr>
            <w:r>
              <w:rPr>
                <w:rFonts w:ascii="Aptos" w:hAnsi="Aptos"/>
                <w:color w:val="4B5563"/>
                <w:sz w:val="18"/>
              </w:rPr>
              <w:t>Commercial note: The current pricing source supports the $12,500 standard SimpliBlueprint fee. Current payment terms, contracting dates, and any nonstandard commercial terms were not present in the retrieved source set for this demo and must be inserted from the current Pricing Source of Truth before the proposal is sent.</w:t>
            </w:r>
          </w:p>
        </w:tc>
      </w:tr>
    </w:tbl>
    <w:p>
      <w:pPr>
        <w:spacing w:after="20"/>
      </w:pPr>
    </w:p>
    <w:p>
      <w:pPr>
        <w:pStyle w:val="Heading1"/>
      </w:pPr>
      <w:r>
        <w:t>Scope Boundaries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24"/>
            <w:shd w:fill="173B56"/>
            <w:tcMar>
              <w:top w:w="110" w:type="dxa"/>
              <w:start w:w="110" w:type="dxa"/>
              <w:bottom w:w="110" w:type="dxa"/>
              <w:end w:w="110" w:type="dxa"/>
            </w:tcMar>
            <w:vAlign w:val="center"/>
          </w:tcPr>
          <w:p>
            <w:r>
              <w:rPr>
                <w:rFonts w:ascii="Aptos" w:hAnsi="Aptos"/>
                <w:b/>
                <w:color w:val="FFFFFF"/>
                <w:sz w:val="15"/>
              </w:rPr>
              <w:t>Included in SimpliBlueprint</w:t>
            </w:r>
          </w:p>
        </w:tc>
        <w:tc>
          <w:tcPr>
            <w:tcW w:type="dxa" w:w="4824"/>
            <w:shd w:fill="173B56"/>
            <w:tcMar>
              <w:top w:w="110" w:type="dxa"/>
              <w:start w:w="110" w:type="dxa"/>
              <w:bottom w:w="110" w:type="dxa"/>
              <w:end w:w="110" w:type="dxa"/>
            </w:tcMar>
            <w:vAlign w:val="center"/>
          </w:tcPr>
          <w:p>
            <w:r>
              <w:rPr>
                <w:rFonts w:ascii="Aptos" w:hAnsi="Aptos"/>
                <w:b/>
                <w:color w:val="FFFFFF"/>
                <w:sz w:val="15"/>
              </w:rPr>
              <w:t>Not included unless separately approved</w:t>
            </w:r>
          </w:p>
        </w:tc>
      </w:tr>
      <w:tr>
        <w:tc>
          <w:tcPr>
            <w:tcW w:type="dxa" w:w="4824"/>
            <w:tcMar>
              <w:top w:w="110" w:type="dxa"/>
              <w:start w:w="110" w:type="dxa"/>
              <w:bottom w:w="110" w:type="dxa"/>
              <w:end w:w="110" w:type="dxa"/>
            </w:tcMar>
            <w:vAlign w:val="center"/>
          </w:tcPr>
          <w:p>
            <w:pPr>
              <w:spacing w:after="0" w:line="240" w:lineRule="auto"/>
            </w:pPr>
            <w:r>
              <w:rPr>
                <w:rFonts w:ascii="Aptos" w:hAnsi="Aptos"/>
                <w:sz w:val="15"/>
              </w:rPr>
              <w:t>Strategic research, evidence synthesis, buyer and journey analysis, messaging/proof analysis, discoverability analysis, measurement/CRM analysis, prioritization, Blueprint Report, Strategy Deck, and implementation requirements.</w:t>
            </w:r>
          </w:p>
        </w:tc>
        <w:tc>
          <w:tcPr>
            <w:tcW w:type="dxa" w:w="4824"/>
            <w:tcMar>
              <w:top w:w="110" w:type="dxa"/>
              <w:start w:w="110" w:type="dxa"/>
              <w:bottom w:w="110" w:type="dxa"/>
              <w:end w:w="110" w:type="dxa"/>
            </w:tcMar>
            <w:vAlign w:val="center"/>
          </w:tcPr>
          <w:p>
            <w:pPr>
              <w:spacing w:after="0" w:line="240" w:lineRule="auto"/>
            </w:pPr>
            <w:r>
              <w:rPr>
                <w:rFonts w:ascii="Aptos" w:hAnsi="Aptos"/>
                <w:sz w:val="15"/>
              </w:rPr>
              <w:t>Website redesign/build, production development, campaign execution, ongoing media management, large-scale content production, custom integrations, or other implementation work.</w:t>
            </w:r>
          </w:p>
        </w:tc>
      </w:tr>
      <w:tr>
        <w:tc>
          <w:tcPr>
            <w:tcW w:type="dxa" w:w="4824"/>
            <w:tcMar>
              <w:top w:w="110" w:type="dxa"/>
              <w:start w:w="110" w:type="dxa"/>
              <w:bottom w:w="110" w:type="dxa"/>
              <w:end w:w="110" w:type="dxa"/>
            </w:tcMar>
            <w:vAlign w:val="center"/>
          </w:tcPr>
          <w:p>
            <w:pPr>
              <w:spacing w:after="0" w:line="240" w:lineRule="auto"/>
            </w:pPr>
            <w:r>
              <w:rPr>
                <w:rFonts w:ascii="Aptos" w:hAnsi="Aptos"/>
                <w:sz w:val="15"/>
              </w:rPr>
              <w:t>Standard scope assumes one primary organization, one primary website, a normal decision group, primary market, approved methodology, and standard evidence synthesis.</w:t>
            </w:r>
          </w:p>
        </w:tc>
        <w:tc>
          <w:tcPr>
            <w:tcW w:type="dxa" w:w="4824"/>
            <w:tcMar>
              <w:top w:w="110" w:type="dxa"/>
              <w:start w:w="110" w:type="dxa"/>
              <w:bottom w:w="110" w:type="dxa"/>
              <w:end w:w="110" w:type="dxa"/>
            </w:tcMar>
            <w:vAlign w:val="center"/>
          </w:tcPr>
          <w:p>
            <w:pPr>
              <w:spacing w:after="0" w:line="240" w:lineRule="auto"/>
            </w:pPr>
            <w:r>
              <w:rPr>
                <w:rFonts w:ascii="Aptos" w:hAnsi="Aptos"/>
                <w:sz w:val="15"/>
              </w:rPr>
              <w:t>Multiple brands/business units, multiple websites, expanded interview programs, multiple distinct markets, extensive additional research, multiple complex data systems, or materially additional disciplines require custom review.</w:t>
            </w:r>
          </w:p>
        </w:tc>
      </w:tr>
    </w:tbl>
    <w:p>
      <w:pPr>
        <w:spacing w:after="20"/>
      </w:pPr>
    </w:p>
    <w:p>
      <w:pPr>
        <w:pStyle w:val="Heading1"/>
      </w:pPr>
      <w:r>
        <w:t>Schedule</w:t>
      </w:r>
    </w:p>
    <w:p>
      <w:pPr>
        <w:spacing w:after="120"/>
      </w:pPr>
      <w:r>
        <w:rPr>
          <w:rFonts w:ascii="Aptos" w:hAnsi="Aptos"/>
          <w:b w:val="0"/>
        </w:rPr>
        <w:t>The exact Blueprint start date, working cadence, and completion window will be confirmed in the agreement and kickoff plan. This demo does not invent a duration that is not present in the current commercial source set.</w:t>
      </w:r>
    </w:p>
    <w:p>
      <w:pPr>
        <w:spacing w:after="120"/>
      </w:pPr>
      <w:r>
        <w:rPr>
          <w:rFonts w:ascii="Aptos" w:hAnsi="Aptos"/>
          <w:b w:val="0"/>
        </w:rPr>
        <w:t>The workflow is sequenced so that research and analysis precede final recommendations, and leadership decisions are reconciled before the Blueprint is finalized.</w:t>
      </w:r>
    </w:p>
    <w:p>
      <w:pPr>
        <w:pStyle w:val="Heading1"/>
      </w:pPr>
      <w:r>
        <w:t>What Happens After Blueprint</w:t>
      </w:r>
    </w:p>
    <w:p>
      <w:pPr>
        <w:spacing w:after="120"/>
      </w:pPr>
      <w:r>
        <w:rPr>
          <w:rFonts w:ascii="Aptos" w:hAnsi="Aptos"/>
          <w:b w:val="0"/>
        </w:rPr>
        <w:t>The Blueprint determines the appropriate implementation path. It does not obligate Northstar to use SimpliCreative for implementation.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3B56"/>
            <w:tcMar>
              <w:top w:w="110" w:type="dxa"/>
              <w:start w:w="110" w:type="dxa"/>
              <w:bottom w:w="110" w:type="dxa"/>
              <w:end w:w="110" w:type="dxa"/>
            </w:tcMar>
            <w:vAlign w:val="center"/>
          </w:tcPr>
          <w:p>
            <w:r>
              <w:rPr>
                <w:rFonts w:ascii="Aptos" w:hAnsi="Aptos"/>
                <w:b/>
                <w:color w:val="FFFFFF"/>
                <w:sz w:val="15"/>
              </w:rPr>
              <w:t>Possible path</w:t>
            </w:r>
          </w:p>
        </w:tc>
        <w:tc>
          <w:tcPr>
            <w:tcW w:type="dxa" w:w="5040"/>
            <w:shd w:fill="173B56"/>
            <w:tcMar>
              <w:top w:w="110" w:type="dxa"/>
              <w:start w:w="110" w:type="dxa"/>
              <w:bottom w:w="110" w:type="dxa"/>
              <w:end w:w="110" w:type="dxa"/>
            </w:tcMar>
            <w:vAlign w:val="center"/>
          </w:tcPr>
          <w:p>
            <w:r>
              <w:rPr>
                <w:rFonts w:ascii="Aptos" w:hAnsi="Aptos"/>
                <w:b/>
                <w:color w:val="FFFFFF"/>
                <w:sz w:val="15"/>
              </w:rPr>
              <w:t>How it works</w:t>
            </w:r>
          </w:p>
        </w:tc>
        <w:tc>
          <w:tcPr>
            <w:tcW w:type="dxa" w:w="3024"/>
            <w:shd w:fill="173B56"/>
            <w:tcMar>
              <w:top w:w="110" w:type="dxa"/>
              <w:start w:w="110" w:type="dxa"/>
              <w:bottom w:w="110" w:type="dxa"/>
              <w:end w:w="110" w:type="dxa"/>
            </w:tcMar>
            <w:vAlign w:val="center"/>
          </w:tcPr>
          <w:p>
            <w:r>
              <w:rPr>
                <w:rFonts w:ascii="Aptos" w:hAnsi="Aptos"/>
                <w:b/>
                <w:color w:val="FFFFFF"/>
                <w:sz w:val="15"/>
              </w:rPr>
              <w:t>Investment visibility</w:t>
            </w:r>
          </w:p>
        </w:tc>
      </w:tr>
      <w:tr>
        <w:tc>
          <w:tcPr>
            <w:tcW w:type="dxa" w:w="2448"/>
            <w:tcMar>
              <w:top w:w="110" w:type="dxa"/>
              <w:start w:w="110" w:type="dxa"/>
              <w:bottom w:w="110" w:type="dxa"/>
              <w:end w:w="110" w:type="dxa"/>
            </w:tcMar>
            <w:vAlign w:val="center"/>
          </w:tcPr>
          <w:p>
            <w:pPr>
              <w:spacing w:after="0" w:line="240" w:lineRule="auto"/>
            </w:pPr>
            <w:r>
              <w:rPr>
                <w:rFonts w:ascii="Aptos" w:hAnsi="Aptos"/>
                <w:sz w:val="15"/>
              </w:rPr>
              <w:t>Client / partner implementation</w:t>
            </w:r>
          </w:p>
        </w:tc>
        <w:tc>
          <w:tcPr>
            <w:tcW w:type="dxa" w:w="5040"/>
            <w:tcMar>
              <w:top w:w="110" w:type="dxa"/>
              <w:start w:w="110" w:type="dxa"/>
              <w:bottom w:w="110" w:type="dxa"/>
              <w:end w:w="110" w:type="dxa"/>
            </w:tcMar>
            <w:vAlign w:val="center"/>
          </w:tcPr>
          <w:p>
            <w:pPr>
              <w:spacing w:after="0" w:line="240" w:lineRule="auto"/>
            </w:pPr>
            <w:r>
              <w:rPr>
                <w:rFonts w:ascii="Aptos" w:hAnsi="Aptos"/>
                <w:sz w:val="15"/>
              </w:rPr>
              <w:t>Northstar can use the approved Blueprint with its internal team or another qualified implementation partner.</w:t>
            </w:r>
          </w:p>
        </w:tc>
        <w:tc>
          <w:tcPr>
            <w:tcW w:type="dxa" w:w="3024"/>
            <w:tcMar>
              <w:top w:w="110" w:type="dxa"/>
              <w:start w:w="110" w:type="dxa"/>
              <w:bottom w:w="110" w:type="dxa"/>
              <w:end w:w="110" w:type="dxa"/>
            </w:tcMar>
            <w:vAlign w:val="center"/>
          </w:tcPr>
          <w:p>
            <w:pPr>
              <w:spacing w:after="0" w:line="240" w:lineRule="auto"/>
            </w:pPr>
            <w:r>
              <w:rPr>
                <w:rFonts w:ascii="Aptos" w:hAnsi="Aptos"/>
                <w:sz w:val="15"/>
              </w:rPr>
              <w:t>Determined by Northstar / partner.</w:t>
            </w:r>
          </w:p>
        </w:tc>
      </w:tr>
      <w:tr>
        <w:tc>
          <w:tcPr>
            <w:tcW w:type="dxa" w:w="2448"/>
            <w:tcMar>
              <w:top w:w="110" w:type="dxa"/>
              <w:start w:w="110" w:type="dxa"/>
              <w:bottom w:w="110" w:type="dxa"/>
              <w:end w:w="110" w:type="dxa"/>
            </w:tcMar>
            <w:vAlign w:val="center"/>
          </w:tcPr>
          <w:p>
            <w:pPr>
              <w:spacing w:after="0" w:line="240" w:lineRule="auto"/>
            </w:pPr>
            <w:r>
              <w:rPr>
                <w:rFonts w:ascii="Aptos" w:hAnsi="Aptos"/>
                <w:sz w:val="15"/>
              </w:rPr>
              <w:t>SimpliFoundation</w:t>
            </w:r>
          </w:p>
        </w:tc>
        <w:tc>
          <w:tcPr>
            <w:tcW w:type="dxa" w:w="5040"/>
            <w:tcMar>
              <w:top w:w="110" w:type="dxa"/>
              <w:start w:w="110" w:type="dxa"/>
              <w:bottom w:w="110" w:type="dxa"/>
              <w:end w:w="110" w:type="dxa"/>
            </w:tcMar>
            <w:vAlign w:val="center"/>
          </w:tcPr>
          <w:p>
            <w:pPr>
              <w:spacing w:after="0" w:line="240" w:lineRule="auto"/>
            </w:pPr>
            <w:r>
              <w:rPr>
                <w:rFonts w:ascii="Aptos" w:hAnsi="Aptos"/>
                <w:sz w:val="15"/>
              </w:rPr>
              <w:t>SimpliCreative can scope strategic implementation from the approved Blueprint once requirements, complexity, and delivery responsibility are known.</w:t>
            </w:r>
          </w:p>
        </w:tc>
        <w:tc>
          <w:tcPr>
            <w:tcW w:type="dxa" w:w="3024"/>
            <w:tcMar>
              <w:top w:w="110" w:type="dxa"/>
              <w:start w:w="110" w:type="dxa"/>
              <w:bottom w:w="110" w:type="dxa"/>
              <w:end w:w="110" w:type="dxa"/>
            </w:tcMar>
            <w:vAlign w:val="center"/>
          </w:tcPr>
          <w:p>
            <w:pPr>
              <w:spacing w:after="0" w:line="240" w:lineRule="auto"/>
            </w:pPr>
            <w:r>
              <w:rPr>
                <w:rFonts w:ascii="Aptos" w:hAnsi="Aptos"/>
                <w:sz w:val="15"/>
              </w:rPr>
              <w:t>Current SimpliFoundation pricing begins at $35,000+; final fixed fee is determined after Blueprint scope and human commercial approval.</w:t>
            </w:r>
          </w:p>
        </w:tc>
      </w:tr>
      <w:tr>
        <w:tc>
          <w:tcPr>
            <w:tcW w:type="dxa" w:w="2448"/>
            <w:tcMar>
              <w:top w:w="110" w:type="dxa"/>
              <w:start w:w="110" w:type="dxa"/>
              <w:bottom w:w="110" w:type="dxa"/>
              <w:end w:w="110" w:type="dxa"/>
            </w:tcMar>
            <w:vAlign w:val="center"/>
          </w:tcPr>
          <w:p>
            <w:pPr>
              <w:spacing w:after="0" w:line="240" w:lineRule="auto"/>
            </w:pPr>
            <w:r>
              <w:rPr>
                <w:rFonts w:ascii="Aptos" w:hAnsi="Aptos"/>
                <w:sz w:val="15"/>
              </w:rPr>
              <w:t>SimpliCARE</w:t>
            </w:r>
          </w:p>
        </w:tc>
        <w:tc>
          <w:tcPr>
            <w:tcW w:type="dxa" w:w="5040"/>
            <w:tcMar>
              <w:top w:w="110" w:type="dxa"/>
              <w:start w:w="110" w:type="dxa"/>
              <w:bottom w:w="110" w:type="dxa"/>
              <w:end w:w="110" w:type="dxa"/>
            </w:tcMar>
            <w:vAlign w:val="center"/>
          </w:tcPr>
          <w:p>
            <w:pPr>
              <w:spacing w:after="0" w:line="240" w:lineRule="auto"/>
            </w:pPr>
            <w:r>
              <w:rPr>
                <w:rFonts w:ascii="Aptos" w:hAnsi="Aptos"/>
                <w:sz w:val="15"/>
              </w:rPr>
              <w:t>Ongoing strategic stewardship or growth support may be appropriate after implementation depending on responsibility and needs.</w:t>
            </w:r>
          </w:p>
        </w:tc>
        <w:tc>
          <w:tcPr>
            <w:tcW w:type="dxa" w:w="3024"/>
            <w:tcMar>
              <w:top w:w="110" w:type="dxa"/>
              <w:start w:w="110" w:type="dxa"/>
              <w:bottom w:w="110" w:type="dxa"/>
              <w:end w:w="110" w:type="dxa"/>
            </w:tcMar>
            <w:vAlign w:val="center"/>
          </w:tcPr>
          <w:p>
            <w:pPr>
              <w:spacing w:after="0" w:line="240" w:lineRule="auto"/>
            </w:pPr>
            <w:r>
              <w:rPr>
                <w:rFonts w:ascii="Aptos" w:hAnsi="Aptos"/>
                <w:sz w:val="15"/>
              </w:rPr>
              <w:t>Current working levels vary by CARE tier and require the current commercial source at proposal/contracting time.</w:t>
            </w:r>
          </w:p>
        </w:tc>
      </w:tr>
    </w:tbl>
    <w:p>
      <w:pPr>
        <w:spacing w:after="20"/>
      </w:pPr>
    </w:p>
    <w:p>
      <w:pPr>
        <w:spacing w:after="120"/>
      </w:pPr>
      <w:r>
        <w:rPr>
          <w:rFonts w:ascii="Aptos" w:hAnsi="Aptos"/>
          <w:b w:val="0"/>
        </w:rPr>
        <w:t>Any future implementation or ongoing-service amount is directional until the Blueprint defines the actual requirements. It is not part of the $12,500 SimpliBlueprint investment.</w:t>
      </w:r>
    </w:p>
    <w:p>
      <w:pPr>
        <w:pStyle w:val="Heading1"/>
      </w:pPr>
      <w:r>
        <w:t>Next Steps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584"/>
            <w:shd w:fill="173B56"/>
            <w:tcMar>
              <w:top w:w="110" w:type="dxa"/>
              <w:start w:w="110" w:type="dxa"/>
              <w:bottom w:w="110" w:type="dxa"/>
              <w:end w:w="110" w:type="dxa"/>
            </w:tcMar>
            <w:vAlign w:val="center"/>
          </w:tcPr>
          <w:p>
            <w:r>
              <w:rPr>
                <w:rFonts w:ascii="Aptos" w:hAnsi="Aptos"/>
                <w:b/>
                <w:color w:val="FFFFFF"/>
                <w:sz w:val="16"/>
              </w:rPr>
              <w:t>Step</w:t>
            </w:r>
          </w:p>
        </w:tc>
        <w:tc>
          <w:tcPr>
            <w:tcW w:type="dxa" w:w="8064"/>
            <w:shd w:fill="173B56"/>
            <w:tcMar>
              <w:top w:w="110" w:type="dxa"/>
              <w:start w:w="110" w:type="dxa"/>
              <w:bottom w:w="110" w:type="dxa"/>
              <w:end w:w="110" w:type="dxa"/>
            </w:tcMar>
            <w:vAlign w:val="center"/>
          </w:tcPr>
          <w:p>
            <w:r>
              <w:rPr>
                <w:rFonts w:ascii="Aptos" w:hAnsi="Aptos"/>
                <w:b/>
                <w:color w:val="FFFFFF"/>
                <w:sz w:val="16"/>
              </w:rPr>
              <w:t>Action</w:t>
            </w:r>
          </w:p>
        </w:tc>
      </w:tr>
      <w:tr>
        <w:tc>
          <w:tcPr>
            <w:tcW w:type="dxa" w:w="1584"/>
            <w:tcMar>
              <w:top w:w="110" w:type="dxa"/>
              <w:start w:w="110" w:type="dxa"/>
              <w:bottom w:w="110" w:type="dxa"/>
              <w:end w:w="110" w:type="dxa"/>
            </w:tcMar>
            <w:vAlign w:val="center"/>
          </w:tcPr>
          <w:p>
            <w:pPr>
              <w:spacing w:after="0" w:line="240" w:lineRule="auto"/>
            </w:pPr>
            <w:r>
              <w:rPr>
                <w:rFonts w:ascii="Aptos" w:hAnsi="Aptos"/>
                <w:sz w:val="16"/>
              </w:rPr>
              <w:t>1. Confirm proposal</w:t>
            </w:r>
          </w:p>
        </w:tc>
        <w:tc>
          <w:tcPr>
            <w:tcW w:type="dxa" w:w="8064"/>
            <w:tcMar>
              <w:top w:w="110" w:type="dxa"/>
              <w:start w:w="110" w:type="dxa"/>
              <w:bottom w:w="110" w:type="dxa"/>
              <w:end w:w="110" w:type="dxa"/>
            </w:tcMar>
            <w:vAlign w:val="center"/>
          </w:tcPr>
          <w:p>
            <w:pPr>
              <w:spacing w:after="0" w:line="240" w:lineRule="auto"/>
            </w:pPr>
            <w:r>
              <w:rPr>
                <w:rFonts w:ascii="Aptos" w:hAnsi="Aptos"/>
                <w:sz w:val="16"/>
              </w:rPr>
              <w:t>Northstar confirms that SimpliBlueprint is the desired next engagement and that the proposal reflects the intended scope.</w:t>
            </w:r>
          </w:p>
        </w:tc>
      </w:tr>
      <w:tr>
        <w:tc>
          <w:tcPr>
            <w:tcW w:type="dxa" w:w="1584"/>
            <w:tcMar>
              <w:top w:w="110" w:type="dxa"/>
              <w:start w:w="110" w:type="dxa"/>
              <w:bottom w:w="110" w:type="dxa"/>
              <w:end w:w="110" w:type="dxa"/>
            </w:tcMar>
            <w:vAlign w:val="center"/>
          </w:tcPr>
          <w:p>
            <w:pPr>
              <w:spacing w:after="0" w:line="240" w:lineRule="auto"/>
            </w:pPr>
            <w:r>
              <w:rPr>
                <w:rFonts w:ascii="Aptos" w:hAnsi="Aptos"/>
                <w:sz w:val="16"/>
              </w:rPr>
              <w:t>2. Commercial approval</w:t>
            </w:r>
          </w:p>
        </w:tc>
        <w:tc>
          <w:tcPr>
            <w:tcW w:type="dxa" w:w="8064"/>
            <w:tcMar>
              <w:top w:w="110" w:type="dxa"/>
              <w:start w:w="110" w:type="dxa"/>
              <w:bottom w:w="110" w:type="dxa"/>
              <w:end w:w="110" w:type="dxa"/>
            </w:tcMar>
            <w:vAlign w:val="center"/>
          </w:tcPr>
          <w:p>
            <w:pPr>
              <w:spacing w:after="0" w:line="240" w:lineRule="auto"/>
            </w:pPr>
            <w:r>
              <w:rPr>
                <w:rFonts w:ascii="Aptos" w:hAnsi="Aptos"/>
                <w:sz w:val="16"/>
              </w:rPr>
              <w:t>SimpliCreative inserts and validates the current payment terms and contracting details, then issues the agreement.</w:t>
            </w:r>
          </w:p>
        </w:tc>
      </w:tr>
      <w:tr>
        <w:tc>
          <w:tcPr>
            <w:tcW w:type="dxa" w:w="1584"/>
            <w:tcMar>
              <w:top w:w="110" w:type="dxa"/>
              <w:start w:w="110" w:type="dxa"/>
              <w:bottom w:w="110" w:type="dxa"/>
              <w:end w:w="110" w:type="dxa"/>
            </w:tcMar>
            <w:vAlign w:val="center"/>
          </w:tcPr>
          <w:p>
            <w:pPr>
              <w:spacing w:after="0" w:line="240" w:lineRule="auto"/>
            </w:pPr>
            <w:r>
              <w:rPr>
                <w:rFonts w:ascii="Aptos" w:hAnsi="Aptos"/>
                <w:sz w:val="16"/>
              </w:rPr>
              <w:t>3. Sign + activate</w:t>
            </w:r>
          </w:p>
        </w:tc>
        <w:tc>
          <w:tcPr>
            <w:tcW w:type="dxa" w:w="8064"/>
            <w:tcMar>
              <w:top w:w="110" w:type="dxa"/>
              <w:start w:w="110" w:type="dxa"/>
              <w:bottom w:w="110" w:type="dxa"/>
              <w:end w:w="110" w:type="dxa"/>
            </w:tcMar>
            <w:vAlign w:val="center"/>
          </w:tcPr>
          <w:p>
            <w:pPr>
              <w:spacing w:after="0" w:line="240" w:lineRule="auto"/>
            </w:pPr>
            <w:r>
              <w:rPr>
                <w:rFonts w:ascii="Aptos" w:hAnsi="Aptos"/>
                <w:sz w:val="16"/>
              </w:rPr>
              <w:t>Agreement is signed and the approved activation/payment condition is completed.</w:t>
            </w:r>
          </w:p>
        </w:tc>
      </w:tr>
      <w:tr>
        <w:tc>
          <w:tcPr>
            <w:tcW w:type="dxa" w:w="1584"/>
            <w:tcMar>
              <w:top w:w="110" w:type="dxa"/>
              <w:start w:w="110" w:type="dxa"/>
              <w:bottom w:w="110" w:type="dxa"/>
              <w:end w:w="110" w:type="dxa"/>
            </w:tcMar>
            <w:vAlign w:val="center"/>
          </w:tcPr>
          <w:p>
            <w:pPr>
              <w:spacing w:after="0" w:line="240" w:lineRule="auto"/>
            </w:pPr>
            <w:r>
              <w:rPr>
                <w:rFonts w:ascii="Aptos" w:hAnsi="Aptos"/>
                <w:sz w:val="16"/>
              </w:rPr>
              <w:t>4. Begin Blueprint</w:t>
            </w:r>
          </w:p>
        </w:tc>
        <w:tc>
          <w:tcPr>
            <w:tcW w:type="dxa" w:w="8064"/>
            <w:tcMar>
              <w:top w:w="110" w:type="dxa"/>
              <w:start w:w="110" w:type="dxa"/>
              <w:bottom w:w="110" w:type="dxa"/>
              <w:end w:w="110" w:type="dxa"/>
            </w:tcMar>
            <w:vAlign w:val="center"/>
          </w:tcPr>
          <w:p>
            <w:pPr>
              <w:spacing w:after="0" w:line="240" w:lineRule="auto"/>
            </w:pPr>
            <w:r>
              <w:rPr>
                <w:rFonts w:ascii="Aptos" w:hAnsi="Aptos"/>
                <w:sz w:val="16"/>
              </w:rPr>
              <w:t>SimpliCreative activates the Blueprint record, carries forward the Diagnostic context, and sends the personalized questionnaire.</w:t>
            </w:r>
          </w:p>
        </w:tc>
      </w:tr>
    </w:tbl>
    <w:p>
      <w:pPr>
        <w:spacing w:after="20"/>
      </w:pPr>
    </w:p>
    <w:p>
      <w:pPr>
        <w:pStyle w:val="Heading1"/>
      </w:pPr>
      <w:r>
        <w:t>Why SimpliCreative</w:t>
      </w:r>
    </w:p>
    <w:p>
      <w:pPr>
        <w:spacing w:after="120"/>
      </w:pPr>
      <w:r>
        <w:rPr>
          <w:rFonts w:ascii="Aptos" w:hAnsi="Aptos"/>
          <w:b w:val="0"/>
        </w:rPr>
        <w:t>SimpliCreative approaches the website as part of a connected marketing and decision system. The work is designed to connect buyer needs, messaging, proof, discoverability, conversion, CRM, measurement, and implementation rather than treating any one of those in isolation.</w:t>
      </w:r>
    </w:p>
    <w:p>
      <w:pPr>
        <w:spacing w:after="120"/>
      </w:pPr>
      <w:r>
        <w:rPr>
          <w:rFonts w:ascii="Aptos" w:hAnsi="Aptos"/>
          <w:b w:val="0"/>
        </w:rPr>
        <w:t>The Blueprint is deliberately separated from implementation so Northstar can make a more informed decision before committing to a larger build or ongoing engagement.</w:t>
      </w:r>
    </w:p>
    <w:p>
      <w:pPr>
        <w:spacing w:after="20"/>
      </w:pPr>
    </w:p>
    <w:p>
      <w:pPr>
        <w:spacing w:after="20"/>
      </w:pPr>
    </w:p>
    <w:p>
      <w:pPr>
        <w:spacing w:before="160" w:after="80"/>
      </w:pPr>
      <w:r>
        <w:rPr>
          <w:rFonts w:ascii="Aptos" w:hAnsi="Aptos"/>
          <w:b/>
          <w:color w:val="173B56"/>
          <w:sz w:val="16"/>
        </w:rPr>
        <w:t xml:space="preserve">Internal generation boundary: </w:t>
      </w:r>
      <w:r>
        <w:rPr>
          <w:rFonts w:ascii="Aptos" w:hAnsi="Aptos"/>
          <w:color w:val="4B5563"/>
          <w:sz w:val="16"/>
        </w:rPr>
        <w:t>Human Blueprint recommendation and proposal readiness are assumed approved for this demo. Payment terms, start date, and send authorization still require the current commercial source and human review.</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6"/>
      </w:rPr>
      <w:t>GS-SALES-001 | Demonstration Gold Standard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563"/>
        <w:sz w:val="15"/>
      </w:rPr>
      <w:t>SimpliCreative | SimpliBlueprint Proposal | Northstar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B56"/>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B7F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