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360"/>
        <w:jc w:val="center"/>
      </w:pPr>
      <w:r>
        <w:rPr>
          <w:rFonts w:ascii="Aptos" w:hAnsi="Aptos"/>
          <w:b/>
          <w:color w:val="1B7F79"/>
          <w:sz w:val="20"/>
        </w:rPr>
        <w:t>SIMPLICREATIVE</w:t>
      </w:r>
    </w:p>
    <w:p>
      <w:pPr>
        <w:pStyle w:val="Title"/>
        <w:jc w:val="center"/>
      </w:pPr>
      <w:r>
        <w:t>SimpliFoundation Proposal</w:t>
      </w:r>
    </w:p>
    <w:p>
      <w:pPr>
        <w:spacing w:after="120"/>
        <w:jc w:val="center"/>
      </w:pPr>
      <w:r>
        <w:rPr>
          <w:rFonts w:ascii="Aptos" w:hAnsi="Aptos"/>
          <w:b/>
          <w:color w:val="4B5563"/>
          <w:sz w:val="30"/>
        </w:rPr>
        <w:t>Prepared for Northstar Leadership Institute</w:t>
      </w:r>
    </w:p>
    <w:p>
      <w:pPr>
        <w:spacing w:after="120"/>
        <w:jc w:val="center"/>
      </w:pPr>
      <w:r>
        <w:rPr>
          <w:rFonts w:ascii="Aptos" w:hAnsi="Aptos"/>
          <w:b w:val="0"/>
          <w:color w:val="173B56"/>
          <w:sz w:val="22"/>
        </w:rPr>
        <w:t>Full-Scope Strategic Implementation Demonstration</w:t>
      </w:r>
    </w:p>
    <w:p>
      <w:pPr>
        <w:spacing w:after="120"/>
        <w:jc w:val="center"/>
      </w:pPr>
      <w:r>
        <w:rPr>
          <w:rFonts w:ascii="Aptos" w:hAnsi="Aptos"/>
          <w:b w:val="0"/>
          <w:color w:val="4B5563"/>
          <w:sz w:val="18"/>
        </w:rPr>
        <w:t>Prepared by SimpliCreative | September 2026</w:t>
      </w:r>
    </w:p>
    <w:tbl>
      <w:tblPr>
        <w:tblStyle w:val="TableGrid"/>
        <w:tblW w:type="auto" w:w="0"/>
        <w:tblLook w:firstColumn="1" w:firstRow="1" w:lastColumn="0" w:lastRow="0" w:noHBand="0" w:noVBand="1" w:val="04A0"/>
      </w:tblPr>
      <w:tblGrid>
        <w:gridCol w:w="10166"/>
      </w:tblGrid>
      <w:tr>
        <w:tc>
          <w:tcPr>
            <w:tcW w:type="dxa" w:w="10166"/>
            <w:shd w:fill="FCE4D6"/>
            <w:tcMar>
              <w:top w:w="145" w:type="dxa"/>
              <w:start w:w="145" w:type="dxa"/>
              <w:bottom w:w="145" w:type="dxa"/>
              <w:end w:w="145" w:type="dxa"/>
            </w:tcMar>
          </w:tcPr>
          <w:p>
            <w:pPr>
              <w:spacing w:after="0" w:line="252" w:lineRule="auto"/>
            </w:pPr>
            <w:r>
              <w:rPr>
                <w:rFonts w:ascii="Aptos" w:hAnsi="Aptos"/>
                <w:color w:val="4B5563"/>
                <w:sz w:val="18"/>
              </w:rPr>
              <w:t>DEMONSTRATION OUTPUT. This sample assumes Northstar has completed and approved SimpliBlueprint and that the resulting implementation requirements call for the full SimpliFoundation service set. Exact Foundation pricing is intentionally not invented. The current commercial source defines SimpliFoundation as a fixed-fee engagement starting at $35,000, with final investment determined after approved scope, complexity, delivery economics, margin validation, and human commercial approval.</w:t>
            </w:r>
          </w:p>
        </w:tc>
      </w:tr>
    </w:tbl>
    <w:p>
      <w:pPr>
        <w:spacing w:after="20"/>
      </w:pPr>
    </w:p>
    <w:p>
      <w:r>
        <w:br w:type="page"/>
      </w:r>
    </w:p>
    <w:p>
      <w:pPr>
        <w:pStyle w:val="Heading1"/>
      </w:pPr>
      <w:r>
        <w:t>From Strategy to Implementation</w:t>
      </w:r>
    </w:p>
    <w:p>
      <w:pPr>
        <w:spacing w:after="120"/>
      </w:pPr>
      <w:r>
        <w:rPr>
          <w:rFonts w:ascii="Aptos" w:hAnsi="Aptos"/>
          <w:b w:val="0"/>
        </w:rPr>
        <w:t>The Blueprint establishes what should change, why it matters, what should be prioritized, and what the implementation needs to accomplish. SimpliFoundation is the engagement that turns those approved decisions into the working digital foundation.</w:t>
      </w:r>
    </w:p>
    <w:p>
      <w:pPr>
        <w:spacing w:after="120"/>
      </w:pPr>
      <w:r>
        <w:rPr>
          <w:rFonts w:ascii="Aptos" w:hAnsi="Aptos"/>
          <w:b w:val="0"/>
        </w:rPr>
        <w:t>For this full-scope demonstration, SimpliCreative assumes responsibility across messaging, architecture, content, UX, design, WordPress implementation, CRM and forms, measurement, discoverability, accessibility, migration, QA, launch, and handoff.</w:t>
      </w:r>
    </w:p>
    <w:tbl>
      <w:tblPr>
        <w:tblStyle w:val="TableGrid"/>
        <w:tblW w:type="auto" w:w="0"/>
        <w:tblLook w:firstColumn="1" w:firstRow="1" w:lastColumn="0" w:lastRow="0" w:noHBand="0" w:noVBand="1" w:val="04A0"/>
      </w:tblPr>
      <w:tblGrid>
        <w:gridCol w:w="10166"/>
      </w:tblGrid>
      <w:tr>
        <w:tc>
          <w:tcPr>
            <w:tcW w:type="dxa" w:w="10166"/>
            <w:shd w:fill="E2F0D9"/>
            <w:tcMar>
              <w:top w:w="145" w:type="dxa"/>
              <w:start w:w="145" w:type="dxa"/>
              <w:bottom w:w="145" w:type="dxa"/>
              <w:end w:w="145" w:type="dxa"/>
            </w:tcMar>
          </w:tcPr>
          <w:p>
            <w:pPr>
              <w:spacing w:after="0" w:line="252" w:lineRule="auto"/>
            </w:pPr>
            <w:r>
              <w:rPr>
                <w:rFonts w:ascii="Aptos" w:hAnsi="Aptos"/>
                <w:color w:val="4B5563"/>
                <w:sz w:val="18"/>
              </w:rPr>
              <w:t>The goal is not simply to launch a new website. The goal is to make sure the approved strategy survives execution and leaves Northstar with a digital foundation its marketing team can actually use.</w:t>
            </w:r>
          </w:p>
        </w:tc>
      </w:tr>
    </w:tbl>
    <w:p>
      <w:pPr>
        <w:spacing w:after="20"/>
      </w:pPr>
    </w:p>
    <w:p>
      <w:pPr>
        <w:pStyle w:val="Heading1"/>
      </w:pPr>
      <w:r>
        <w:t>What This Engagement Is Designed to Accomplish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744"/>
            <w:shd w:fill="173B56"/>
            <w:tcMar>
              <w:top w:w="110" w:type="dxa"/>
              <w:start w:w="110" w:type="dxa"/>
              <w:bottom w:w="110" w:type="dxa"/>
              <w:end w:w="110" w:type="dxa"/>
            </w:tcMar>
            <w:vAlign w:val="center"/>
          </w:tcPr>
          <w:p>
            <w:r>
              <w:rPr>
                <w:rFonts w:ascii="Aptos" w:hAnsi="Aptos"/>
                <w:b/>
                <w:color w:val="FFFFFF"/>
                <w:sz w:val="16"/>
              </w:rPr>
              <w:t>Objective</w:t>
            </w:r>
          </w:p>
        </w:tc>
        <w:tc>
          <w:tcPr>
            <w:tcW w:type="dxa" w:w="5904"/>
            <w:shd w:fill="173B56"/>
            <w:tcMar>
              <w:top w:w="110" w:type="dxa"/>
              <w:start w:w="110" w:type="dxa"/>
              <w:bottom w:w="110" w:type="dxa"/>
              <w:end w:w="110" w:type="dxa"/>
            </w:tcMar>
            <w:vAlign w:val="center"/>
          </w:tcPr>
          <w:p>
            <w:r>
              <w:rPr>
                <w:rFonts w:ascii="Aptos" w:hAnsi="Aptos"/>
                <w:b/>
                <w:color w:val="FFFFFF"/>
                <w:sz w:val="16"/>
              </w:rPr>
              <w:t>Foundation response</w:t>
            </w:r>
          </w:p>
        </w:tc>
      </w:tr>
      <w:tr>
        <w:tc>
          <w:tcPr>
            <w:tcW w:type="dxa" w:w="3744"/>
            <w:tcMar>
              <w:top w:w="110" w:type="dxa"/>
              <w:start w:w="110" w:type="dxa"/>
              <w:bottom w:w="110" w:type="dxa"/>
              <w:end w:w="110" w:type="dxa"/>
            </w:tcMar>
            <w:vAlign w:val="center"/>
          </w:tcPr>
          <w:p>
            <w:pPr>
              <w:spacing w:after="0" w:line="240" w:lineRule="auto"/>
            </w:pPr>
            <w:r>
              <w:rPr>
                <w:rFonts w:ascii="Aptos" w:hAnsi="Aptos"/>
                <w:sz w:val="16"/>
              </w:rPr>
              <w:t>Create a clearer corporate-first digital experience</w:t>
            </w:r>
          </w:p>
        </w:tc>
        <w:tc>
          <w:tcPr>
            <w:tcW w:type="dxa" w:w="5904"/>
            <w:tcMar>
              <w:top w:w="110" w:type="dxa"/>
              <w:start w:w="110" w:type="dxa"/>
              <w:bottom w:w="110" w:type="dxa"/>
              <w:end w:w="110" w:type="dxa"/>
            </w:tcMar>
            <w:vAlign w:val="center"/>
          </w:tcPr>
          <w:p>
            <w:pPr>
              <w:spacing w:after="0" w:line="240" w:lineRule="auto"/>
            </w:pPr>
            <w:r>
              <w:rPr>
                <w:rFonts w:ascii="Aptos" w:hAnsi="Aptos"/>
                <w:sz w:val="16"/>
              </w:rPr>
              <w:t>Translate the approved buyer journey into architecture, page roles, message hierarchy, proof, and conversion paths.</w:t>
            </w:r>
          </w:p>
        </w:tc>
      </w:tr>
      <w:tr>
        <w:tc>
          <w:tcPr>
            <w:tcW w:type="dxa" w:w="3744"/>
            <w:tcMar>
              <w:top w:w="110" w:type="dxa"/>
              <w:start w:w="110" w:type="dxa"/>
              <w:bottom w:w="110" w:type="dxa"/>
              <w:end w:w="110" w:type="dxa"/>
            </w:tcMar>
            <w:vAlign w:val="center"/>
          </w:tcPr>
          <w:p>
            <w:pPr>
              <w:spacing w:after="0" w:line="240" w:lineRule="auto"/>
            </w:pPr>
            <w:r>
              <w:rPr>
                <w:rFonts w:ascii="Aptos" w:hAnsi="Aptos"/>
                <w:sz w:val="16"/>
              </w:rPr>
              <w:t>Make Northstar’s strongest differentiation visible before a sales conversation</w:t>
            </w:r>
          </w:p>
        </w:tc>
        <w:tc>
          <w:tcPr>
            <w:tcW w:type="dxa" w:w="5904"/>
            <w:tcMar>
              <w:top w:w="110" w:type="dxa"/>
              <w:start w:w="110" w:type="dxa"/>
              <w:bottom w:w="110" w:type="dxa"/>
              <w:end w:w="110" w:type="dxa"/>
            </w:tcMar>
            <w:vAlign w:val="center"/>
          </w:tcPr>
          <w:p>
            <w:pPr>
              <w:spacing w:after="0" w:line="240" w:lineRule="auto"/>
            </w:pPr>
            <w:r>
              <w:rPr>
                <w:rFonts w:ascii="Aptos" w:hAnsi="Aptos"/>
                <w:sz w:val="16"/>
              </w:rPr>
              <w:t>Develop and implement approved messaging, editorial guidance, proof architecture, and buyer-specific content.</w:t>
            </w:r>
          </w:p>
        </w:tc>
      </w:tr>
      <w:tr>
        <w:tc>
          <w:tcPr>
            <w:tcW w:type="dxa" w:w="3744"/>
            <w:tcMar>
              <w:top w:w="110" w:type="dxa"/>
              <w:start w:w="110" w:type="dxa"/>
              <w:bottom w:w="110" w:type="dxa"/>
              <w:end w:w="110" w:type="dxa"/>
            </w:tcMar>
            <w:vAlign w:val="center"/>
          </w:tcPr>
          <w:p>
            <w:pPr>
              <w:spacing w:after="0" w:line="240" w:lineRule="auto"/>
            </w:pPr>
            <w:r>
              <w:rPr>
                <w:rFonts w:ascii="Aptos" w:hAnsi="Aptos"/>
                <w:sz w:val="16"/>
              </w:rPr>
              <w:t>Create a scalable custom website system</w:t>
            </w:r>
          </w:p>
        </w:tc>
        <w:tc>
          <w:tcPr>
            <w:tcW w:type="dxa" w:w="5904"/>
            <w:tcMar>
              <w:top w:w="110" w:type="dxa"/>
              <w:start w:w="110" w:type="dxa"/>
              <w:bottom w:w="110" w:type="dxa"/>
              <w:end w:w="110" w:type="dxa"/>
            </w:tcMar>
            <w:vAlign w:val="center"/>
          </w:tcPr>
          <w:p>
            <w:pPr>
              <w:spacing w:after="0" w:line="240" w:lineRule="auto"/>
            </w:pPr>
            <w:r>
              <w:rPr>
                <w:rFonts w:ascii="Aptos" w:hAnsi="Aptos"/>
                <w:sz w:val="16"/>
              </w:rPr>
              <w:t>Design and build a reusable WordPress component system rather than a collection of disconnected one-off pages.</w:t>
            </w:r>
          </w:p>
        </w:tc>
      </w:tr>
      <w:tr>
        <w:tc>
          <w:tcPr>
            <w:tcW w:type="dxa" w:w="3744"/>
            <w:tcMar>
              <w:top w:w="110" w:type="dxa"/>
              <w:start w:w="110" w:type="dxa"/>
              <w:bottom w:w="110" w:type="dxa"/>
              <w:end w:w="110" w:type="dxa"/>
            </w:tcMar>
            <w:vAlign w:val="center"/>
          </w:tcPr>
          <w:p>
            <w:pPr>
              <w:spacing w:after="0" w:line="240" w:lineRule="auto"/>
            </w:pPr>
            <w:r>
              <w:rPr>
                <w:rFonts w:ascii="Aptos" w:hAnsi="Aptos"/>
                <w:sz w:val="16"/>
              </w:rPr>
              <w:t>Connect website activity to meaningful business actions</w:t>
            </w:r>
          </w:p>
        </w:tc>
        <w:tc>
          <w:tcPr>
            <w:tcW w:type="dxa" w:w="5904"/>
            <w:tcMar>
              <w:top w:w="110" w:type="dxa"/>
              <w:start w:w="110" w:type="dxa"/>
              <w:bottom w:w="110" w:type="dxa"/>
              <w:end w:w="110" w:type="dxa"/>
            </w:tcMar>
            <w:vAlign w:val="center"/>
          </w:tcPr>
          <w:p>
            <w:pPr>
              <w:spacing w:after="0" w:line="240" w:lineRule="auto"/>
            </w:pPr>
            <w:r>
              <w:rPr>
                <w:rFonts w:ascii="Aptos" w:hAnsi="Aptos"/>
                <w:sz w:val="16"/>
              </w:rPr>
              <w:t>Implement forms, CRM context, analytics events, and measurement architecture that support qualified-demand visibility.</w:t>
            </w:r>
          </w:p>
        </w:tc>
      </w:tr>
      <w:tr>
        <w:tc>
          <w:tcPr>
            <w:tcW w:type="dxa" w:w="3744"/>
            <w:tcMar>
              <w:top w:w="110" w:type="dxa"/>
              <w:start w:w="110" w:type="dxa"/>
              <w:bottom w:w="110" w:type="dxa"/>
              <w:end w:w="110" w:type="dxa"/>
            </w:tcMar>
            <w:vAlign w:val="center"/>
          </w:tcPr>
          <w:p>
            <w:pPr>
              <w:spacing w:after="0" w:line="240" w:lineRule="auto"/>
            </w:pPr>
            <w:r>
              <w:rPr>
                <w:rFonts w:ascii="Aptos" w:hAnsi="Aptos"/>
                <w:sz w:val="16"/>
              </w:rPr>
              <w:t>Improve search and AI discoverability</w:t>
            </w:r>
          </w:p>
        </w:tc>
        <w:tc>
          <w:tcPr>
            <w:tcW w:type="dxa" w:w="5904"/>
            <w:tcMar>
              <w:top w:w="110" w:type="dxa"/>
              <w:start w:w="110" w:type="dxa"/>
              <w:bottom w:w="110" w:type="dxa"/>
              <w:end w:w="110" w:type="dxa"/>
            </w:tcMar>
            <w:vAlign w:val="center"/>
          </w:tcPr>
          <w:p>
            <w:pPr>
              <w:spacing w:after="0" w:line="240" w:lineRule="auto"/>
            </w:pPr>
            <w:r>
              <w:rPr>
                <w:rFonts w:ascii="Aptos" w:hAnsi="Aptos"/>
                <w:sz w:val="16"/>
              </w:rPr>
              <w:t>Implement approved SEO, AEO/GEO, metadata, schema, internal-linking, content, and authority requirements.</w:t>
            </w:r>
          </w:p>
        </w:tc>
      </w:tr>
      <w:tr>
        <w:tc>
          <w:tcPr>
            <w:tcW w:type="dxa" w:w="3744"/>
            <w:tcMar>
              <w:top w:w="110" w:type="dxa"/>
              <w:start w:w="110" w:type="dxa"/>
              <w:bottom w:w="110" w:type="dxa"/>
              <w:end w:w="110" w:type="dxa"/>
            </w:tcMar>
            <w:vAlign w:val="center"/>
          </w:tcPr>
          <w:p>
            <w:pPr>
              <w:spacing w:after="0" w:line="240" w:lineRule="auto"/>
            </w:pPr>
            <w:r>
              <w:rPr>
                <w:rFonts w:ascii="Aptos" w:hAnsi="Aptos"/>
                <w:sz w:val="16"/>
              </w:rPr>
              <w:t>Reduce operational friction for marketing</w:t>
            </w:r>
          </w:p>
        </w:tc>
        <w:tc>
          <w:tcPr>
            <w:tcW w:type="dxa" w:w="5904"/>
            <w:tcMar>
              <w:top w:w="110" w:type="dxa"/>
              <w:start w:w="110" w:type="dxa"/>
              <w:bottom w:w="110" w:type="dxa"/>
              <w:end w:w="110" w:type="dxa"/>
            </w:tcMar>
            <w:vAlign w:val="center"/>
          </w:tcPr>
          <w:p>
            <w:pPr>
              <w:spacing w:after="0" w:line="240" w:lineRule="auto"/>
            </w:pPr>
            <w:r>
              <w:rPr>
                <w:rFonts w:ascii="Aptos" w:hAnsi="Aptos"/>
                <w:sz w:val="16"/>
              </w:rPr>
              <w:t>Create marketer-manageable CMS components, documentation, ownership rules, and a clear post-launch operating model.</w:t>
            </w:r>
          </w:p>
        </w:tc>
      </w:tr>
    </w:tbl>
    <w:p>
      <w:pPr>
        <w:spacing w:after="20"/>
      </w:pPr>
    </w:p>
    <w:p>
      <w:pPr>
        <w:pStyle w:val="Heading1"/>
      </w:pPr>
      <w:r>
        <w:t>Full SimpliFoundation Scope</w:t>
      </w:r>
    </w:p>
    <w:p>
      <w:pPr>
        <w:spacing w:after="120"/>
      </w:pPr>
      <w:r>
        <w:rPr>
          <w:rFonts w:ascii="Aptos" w:hAnsi="Aptos"/>
          <w:b w:val="0"/>
        </w:rPr>
        <w:t>This demonstration includes the full Foundation service set currently defined in the SimpliCreative delivery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shd w:fill="173B56"/>
            <w:tcMar>
              <w:top w:w="110" w:type="dxa"/>
              <w:start w:w="110" w:type="dxa"/>
              <w:bottom w:w="110" w:type="dxa"/>
              <w:end w:w="110" w:type="dxa"/>
            </w:tcMar>
            <w:vAlign w:val="center"/>
          </w:tcPr>
          <w:p>
            <w:r>
              <w:rPr>
                <w:rFonts w:ascii="Aptos" w:hAnsi="Aptos"/>
                <w:b/>
                <w:color w:val="FFFFFF"/>
                <w:sz w:val="14"/>
              </w:rPr>
              <w:t>Workstream</w:t>
            </w:r>
          </w:p>
        </w:tc>
        <w:tc>
          <w:tcPr>
            <w:tcW w:type="dxa" w:w="5904"/>
            <w:shd w:fill="173B56"/>
            <w:tcMar>
              <w:top w:w="110" w:type="dxa"/>
              <w:start w:w="110" w:type="dxa"/>
              <w:bottom w:w="110" w:type="dxa"/>
              <w:end w:w="110" w:type="dxa"/>
            </w:tcMar>
            <w:vAlign w:val="center"/>
          </w:tcPr>
          <w:p>
            <w:r>
              <w:rPr>
                <w:rFonts w:ascii="Aptos" w:hAnsi="Aptos"/>
                <w:b/>
                <w:color w:val="FFFFFF"/>
                <w:sz w:val="14"/>
              </w:rPr>
              <w:t>Included Scope</w:t>
            </w:r>
          </w:p>
        </w:tc>
        <w:tc>
          <w:tcPr>
            <w:tcW w:type="dxa" w:w="3240"/>
            <w:shd w:fill="173B56"/>
            <w:tcMar>
              <w:top w:w="110" w:type="dxa"/>
              <w:start w:w="110" w:type="dxa"/>
              <w:bottom w:w="110" w:type="dxa"/>
              <w:end w:w="110" w:type="dxa"/>
            </w:tcMar>
            <w:vAlign w:val="center"/>
          </w:tcPr>
          <w:p>
            <w:r>
              <w:rPr>
                <w:rFonts w:ascii="Aptos" w:hAnsi="Aptos"/>
                <w:b/>
                <w:color w:val="FFFFFF"/>
                <w:sz w:val="14"/>
              </w:rPr>
              <w:t>Primary Outcome</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Messaging &amp; Editorial</w:t>
            </w:r>
          </w:p>
        </w:tc>
        <w:tc>
          <w:tcPr>
            <w:tcW w:type="dxa" w:w="5904"/>
            <w:tcMar>
              <w:top w:w="110" w:type="dxa"/>
              <w:start w:w="110" w:type="dxa"/>
              <w:bottom w:w="110" w:type="dxa"/>
              <w:end w:w="110" w:type="dxa"/>
            </w:tcMar>
            <w:vAlign w:val="center"/>
          </w:tcPr>
          <w:p>
            <w:pPr>
              <w:spacing w:after="0" w:line="240" w:lineRule="auto"/>
            </w:pPr>
            <w:r>
              <w:rPr>
                <w:rFonts w:ascii="Aptos" w:hAnsi="Aptos"/>
                <w:sz w:val="14"/>
              </w:rPr>
              <w:t>Website Messaging &amp; Content Blueprint, Brand Voice &amp; Editorial Guide, claim/evidence controls, page-level messaging requirements.</w:t>
            </w:r>
          </w:p>
        </w:tc>
        <w:tc>
          <w:tcPr>
            <w:tcW w:type="dxa" w:w="3240"/>
            <w:tcMar>
              <w:top w:w="110" w:type="dxa"/>
              <w:start w:w="110" w:type="dxa"/>
              <w:bottom w:w="110" w:type="dxa"/>
              <w:end w:w="110" w:type="dxa"/>
            </w:tcMar>
            <w:vAlign w:val="center"/>
          </w:tcPr>
          <w:p>
            <w:pPr>
              <w:spacing w:after="0" w:line="240" w:lineRule="auto"/>
            </w:pPr>
            <w:r>
              <w:rPr>
                <w:rFonts w:ascii="Aptos" w:hAnsi="Aptos"/>
                <w:sz w:val="14"/>
              </w:rPr>
              <w:t>Approved communication system that remains consistent through execution and future content.</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Information Architecture</w:t>
            </w:r>
          </w:p>
        </w:tc>
        <w:tc>
          <w:tcPr>
            <w:tcW w:type="dxa" w:w="5904"/>
            <w:tcMar>
              <w:top w:w="110" w:type="dxa"/>
              <w:start w:w="110" w:type="dxa"/>
              <w:bottom w:w="110" w:type="dxa"/>
              <w:end w:w="110" w:type="dxa"/>
            </w:tcMar>
            <w:vAlign w:val="center"/>
          </w:tcPr>
          <w:p>
            <w:pPr>
              <w:spacing w:after="0" w:line="240" w:lineRule="auto"/>
            </w:pPr>
            <w:r>
              <w:rPr>
                <w:rFonts w:ascii="Aptos" w:hAnsi="Aptos"/>
                <w:sz w:val="14"/>
              </w:rPr>
              <w:t>Integrated site architecture, buyer intent, page objectives, navigation, URLs, redirects, metadata, schema assignments, dependencies, and measurement fields.</w:t>
            </w:r>
          </w:p>
        </w:tc>
        <w:tc>
          <w:tcPr>
            <w:tcW w:type="dxa" w:w="3240"/>
            <w:tcMar>
              <w:top w:w="110" w:type="dxa"/>
              <w:start w:w="110" w:type="dxa"/>
              <w:bottom w:w="110" w:type="dxa"/>
              <w:end w:w="110" w:type="dxa"/>
            </w:tcMar>
            <w:vAlign w:val="center"/>
          </w:tcPr>
          <w:p>
            <w:pPr>
              <w:spacing w:after="0" w:line="240" w:lineRule="auto"/>
            </w:pPr>
            <w:r>
              <w:rPr>
                <w:rFonts w:ascii="Aptos" w:hAnsi="Aptos"/>
                <w:sz w:val="14"/>
              </w:rPr>
              <w:t>One page-level source of truth for the site.</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Website Content</w:t>
            </w:r>
          </w:p>
        </w:tc>
        <w:tc>
          <w:tcPr>
            <w:tcW w:type="dxa" w:w="5904"/>
            <w:tcMar>
              <w:top w:w="110" w:type="dxa"/>
              <w:start w:w="110" w:type="dxa"/>
              <w:bottom w:w="110" w:type="dxa"/>
              <w:end w:w="110" w:type="dxa"/>
            </w:tcMar>
            <w:vAlign w:val="center"/>
          </w:tcPr>
          <w:p>
            <w:pPr>
              <w:spacing w:after="0" w:line="240" w:lineRule="auto"/>
            </w:pPr>
            <w:r>
              <w:rPr>
                <w:rFonts w:ascii="Aptos" w:hAnsi="Aptos"/>
                <w:sz w:val="14"/>
              </w:rPr>
              <w:t>Page briefs, copy development, proof placement, CTA logic, editorial review, client review, and final production copy.</w:t>
            </w:r>
          </w:p>
        </w:tc>
        <w:tc>
          <w:tcPr>
            <w:tcW w:type="dxa" w:w="3240"/>
            <w:tcMar>
              <w:top w:w="110" w:type="dxa"/>
              <w:start w:w="110" w:type="dxa"/>
              <w:bottom w:w="110" w:type="dxa"/>
              <w:end w:w="110" w:type="dxa"/>
            </w:tcMar>
            <w:vAlign w:val="center"/>
          </w:tcPr>
          <w:p>
            <w:pPr>
              <w:spacing w:after="0" w:line="240" w:lineRule="auto"/>
            </w:pPr>
            <w:r>
              <w:rPr>
                <w:rFonts w:ascii="Aptos" w:hAnsi="Aptos"/>
                <w:sz w:val="14"/>
              </w:rPr>
              <w:t>Buyer-relevant, evidence-aware copy ready for implementation.</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UX &amp; Conversion</w:t>
            </w:r>
          </w:p>
        </w:tc>
        <w:tc>
          <w:tcPr>
            <w:tcW w:type="dxa" w:w="5904"/>
            <w:tcMar>
              <w:top w:w="110" w:type="dxa"/>
              <w:start w:w="110" w:type="dxa"/>
              <w:bottom w:w="110" w:type="dxa"/>
              <w:end w:w="110" w:type="dxa"/>
            </w:tcMar>
            <w:vAlign w:val="center"/>
          </w:tcPr>
          <w:p>
            <w:pPr>
              <w:spacing w:after="0" w:line="240" w:lineRule="auto"/>
            </w:pPr>
            <w:r>
              <w:rPr>
                <w:rFonts w:ascii="Aptos" w:hAnsi="Aptos"/>
                <w:sz w:val="14"/>
              </w:rPr>
              <w:t>Buyer-path routing, page hierarchy, conversion paths, forms, qualification logic, and lower-friction actions where appropriate.</w:t>
            </w:r>
          </w:p>
        </w:tc>
        <w:tc>
          <w:tcPr>
            <w:tcW w:type="dxa" w:w="3240"/>
            <w:tcMar>
              <w:top w:w="110" w:type="dxa"/>
              <w:start w:w="110" w:type="dxa"/>
              <w:bottom w:w="110" w:type="dxa"/>
              <w:end w:w="110" w:type="dxa"/>
            </w:tcMar>
            <w:vAlign w:val="center"/>
          </w:tcPr>
          <w:p>
            <w:pPr>
              <w:spacing w:after="0" w:line="240" w:lineRule="auto"/>
            </w:pPr>
            <w:r>
              <w:rPr>
                <w:rFonts w:ascii="Aptos" w:hAnsi="Aptos"/>
                <w:sz w:val="14"/>
              </w:rPr>
              <w:t>Experience that matches buyer intent and makes the next step clear.</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Custom Visual Design</w:t>
            </w:r>
          </w:p>
        </w:tc>
        <w:tc>
          <w:tcPr>
            <w:tcW w:type="dxa" w:w="5904"/>
            <w:tcMar>
              <w:top w:w="110" w:type="dxa"/>
              <w:start w:w="110" w:type="dxa"/>
              <w:bottom w:w="110" w:type="dxa"/>
              <w:end w:w="110" w:type="dxa"/>
            </w:tcMar>
            <w:vAlign w:val="center"/>
          </w:tcPr>
          <w:p>
            <w:pPr>
              <w:spacing w:after="0" w:line="240" w:lineRule="auto"/>
            </w:pPr>
            <w:r>
              <w:rPr>
                <w:rFonts w:ascii="Aptos" w:hAnsi="Aptos"/>
                <w:sz w:val="14"/>
              </w:rPr>
              <w:t>Homepage, core templates, reusable components, responsive behavior, proof modules, forms, content modules, and visual system.</w:t>
            </w:r>
          </w:p>
        </w:tc>
        <w:tc>
          <w:tcPr>
            <w:tcW w:type="dxa" w:w="3240"/>
            <w:tcMar>
              <w:top w:w="110" w:type="dxa"/>
              <w:start w:w="110" w:type="dxa"/>
              <w:bottom w:w="110" w:type="dxa"/>
              <w:end w:w="110" w:type="dxa"/>
            </w:tcMar>
            <w:vAlign w:val="center"/>
          </w:tcPr>
          <w:p>
            <w:pPr>
              <w:spacing w:after="0" w:line="240" w:lineRule="auto"/>
            </w:pPr>
            <w:r>
              <w:rPr>
                <w:rFonts w:ascii="Aptos" w:hAnsi="Aptos"/>
                <w:sz w:val="14"/>
              </w:rPr>
              <w:t>Custom strategic UX and visual expression.</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WordPress Development</w:t>
            </w:r>
          </w:p>
        </w:tc>
        <w:tc>
          <w:tcPr>
            <w:tcW w:type="dxa" w:w="5904"/>
            <w:tcMar>
              <w:top w:w="110" w:type="dxa"/>
              <w:start w:w="110" w:type="dxa"/>
              <w:bottom w:w="110" w:type="dxa"/>
              <w:end w:w="110" w:type="dxa"/>
            </w:tcMar>
            <w:vAlign w:val="center"/>
          </w:tcPr>
          <w:p>
            <w:pPr>
              <w:spacing w:after="0" w:line="240" w:lineRule="auto"/>
            </w:pPr>
            <w:r>
              <w:rPr>
                <w:rFonts w:ascii="Aptos" w:hAnsi="Aptos"/>
                <w:sz w:val="14"/>
              </w:rPr>
              <w:t>Custom WordPress implementation, reusable component system, marketer-safe CMS controls, responsive build, and production configuration.</w:t>
            </w:r>
          </w:p>
        </w:tc>
        <w:tc>
          <w:tcPr>
            <w:tcW w:type="dxa" w:w="3240"/>
            <w:tcMar>
              <w:top w:w="110" w:type="dxa"/>
              <w:start w:w="110" w:type="dxa"/>
              <w:bottom w:w="110" w:type="dxa"/>
              <w:end w:w="110" w:type="dxa"/>
            </w:tcMar>
            <w:vAlign w:val="center"/>
          </w:tcPr>
          <w:p>
            <w:pPr>
              <w:spacing w:after="0" w:line="240" w:lineRule="auto"/>
            </w:pPr>
            <w:r>
              <w:rPr>
                <w:rFonts w:ascii="Aptos" w:hAnsi="Aptos"/>
                <w:sz w:val="14"/>
              </w:rPr>
              <w:t>Maintainable custom site foundation.</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Forms &amp; CRM</w:t>
            </w:r>
          </w:p>
        </w:tc>
        <w:tc>
          <w:tcPr>
            <w:tcW w:type="dxa" w:w="5904"/>
            <w:tcMar>
              <w:top w:w="110" w:type="dxa"/>
              <w:start w:w="110" w:type="dxa"/>
              <w:bottom w:w="110" w:type="dxa"/>
              <w:end w:w="110" w:type="dxa"/>
            </w:tcMar>
            <w:vAlign w:val="center"/>
          </w:tcPr>
          <w:p>
            <w:pPr>
              <w:spacing w:after="0" w:line="240" w:lineRule="auto"/>
            </w:pPr>
            <w:r>
              <w:rPr>
                <w:rFonts w:ascii="Aptos" w:hAnsi="Aptos"/>
                <w:sz w:val="14"/>
              </w:rPr>
              <w:t>Consultation and other approved forms, source context, qualification fields, CRM integration, routing, confirmation and error states.</w:t>
            </w:r>
          </w:p>
        </w:tc>
        <w:tc>
          <w:tcPr>
            <w:tcW w:type="dxa" w:w="3240"/>
            <w:tcMar>
              <w:top w:w="110" w:type="dxa"/>
              <w:start w:w="110" w:type="dxa"/>
              <w:bottom w:w="110" w:type="dxa"/>
              <w:end w:w="110" w:type="dxa"/>
            </w:tcMar>
            <w:vAlign w:val="center"/>
          </w:tcPr>
          <w:p>
            <w:pPr>
              <w:spacing w:after="0" w:line="240" w:lineRule="auto"/>
            </w:pPr>
            <w:r>
              <w:rPr>
                <w:rFonts w:ascii="Aptos" w:hAnsi="Aptos"/>
                <w:sz w:val="14"/>
              </w:rPr>
              <w:t>Usable handoff from website conversion into sales/CRM.</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Analytics &amp; Measurement</w:t>
            </w:r>
          </w:p>
        </w:tc>
        <w:tc>
          <w:tcPr>
            <w:tcW w:type="dxa" w:w="5904"/>
            <w:tcMar>
              <w:top w:w="110" w:type="dxa"/>
              <w:start w:w="110" w:type="dxa"/>
              <w:bottom w:w="110" w:type="dxa"/>
              <w:end w:w="110" w:type="dxa"/>
            </w:tcMar>
            <w:vAlign w:val="center"/>
          </w:tcPr>
          <w:p>
            <w:pPr>
              <w:spacing w:after="0" w:line="240" w:lineRule="auto"/>
            </w:pPr>
            <w:r>
              <w:rPr>
                <w:rFonts w:ascii="Aptos" w:hAnsi="Aptos"/>
                <w:sz w:val="14"/>
              </w:rPr>
              <w:t>GA4/GTM foundation, approved events, conversion tracking, funnel/measurement requirements, and executive reporting configuration where approved.</w:t>
            </w:r>
          </w:p>
        </w:tc>
        <w:tc>
          <w:tcPr>
            <w:tcW w:type="dxa" w:w="3240"/>
            <w:tcMar>
              <w:top w:w="110" w:type="dxa"/>
              <w:start w:w="110" w:type="dxa"/>
              <w:bottom w:w="110" w:type="dxa"/>
              <w:end w:w="110" w:type="dxa"/>
            </w:tcMar>
            <w:vAlign w:val="center"/>
          </w:tcPr>
          <w:p>
            <w:pPr>
              <w:spacing w:after="0" w:line="240" w:lineRule="auto"/>
            </w:pPr>
            <w:r>
              <w:rPr>
                <w:rFonts w:ascii="Aptos" w:hAnsi="Aptos"/>
                <w:sz w:val="14"/>
              </w:rPr>
              <w:t>More trustworthy visibility into meaningful website behavior and downstream progression.</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SEO</w:t>
            </w:r>
          </w:p>
        </w:tc>
        <w:tc>
          <w:tcPr>
            <w:tcW w:type="dxa" w:w="5904"/>
            <w:tcMar>
              <w:top w:w="110" w:type="dxa"/>
              <w:start w:w="110" w:type="dxa"/>
              <w:bottom w:w="110" w:type="dxa"/>
              <w:end w:w="110" w:type="dxa"/>
            </w:tcMar>
            <w:vAlign w:val="center"/>
          </w:tcPr>
          <w:p>
            <w:pPr>
              <w:spacing w:after="0" w:line="240" w:lineRule="auto"/>
            </w:pPr>
            <w:r>
              <w:rPr>
                <w:rFonts w:ascii="Aptos" w:hAnsi="Aptos"/>
                <w:sz w:val="14"/>
              </w:rPr>
              <w:t>On-page SEO implementation, metadata, internal linking, crawl/indexing requirements, and migration protection.</w:t>
            </w:r>
          </w:p>
        </w:tc>
        <w:tc>
          <w:tcPr>
            <w:tcW w:type="dxa" w:w="3240"/>
            <w:tcMar>
              <w:top w:w="110" w:type="dxa"/>
              <w:start w:w="110" w:type="dxa"/>
              <w:bottom w:w="110" w:type="dxa"/>
              <w:end w:w="110" w:type="dxa"/>
            </w:tcMar>
            <w:vAlign w:val="center"/>
          </w:tcPr>
          <w:p>
            <w:pPr>
              <w:spacing w:after="0" w:line="240" w:lineRule="auto"/>
            </w:pPr>
            <w:r>
              <w:rPr>
                <w:rFonts w:ascii="Aptos" w:hAnsi="Aptos"/>
                <w:sz w:val="14"/>
              </w:rPr>
              <w:t>Search-ready site foundation aligned to approved page strategy.</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AEO / GEO</w:t>
            </w:r>
          </w:p>
        </w:tc>
        <w:tc>
          <w:tcPr>
            <w:tcW w:type="dxa" w:w="5904"/>
            <w:tcMar>
              <w:top w:w="110" w:type="dxa"/>
              <w:start w:w="110" w:type="dxa"/>
              <w:bottom w:w="110" w:type="dxa"/>
              <w:end w:w="110" w:type="dxa"/>
            </w:tcMar>
            <w:vAlign w:val="center"/>
          </w:tcPr>
          <w:p>
            <w:pPr>
              <w:spacing w:after="0" w:line="240" w:lineRule="auto"/>
            </w:pPr>
            <w:r>
              <w:rPr>
                <w:rFonts w:ascii="Aptos" w:hAnsi="Aptos"/>
                <w:sz w:val="14"/>
              </w:rPr>
              <w:t>AI-ready entity clarity, answer-focused content requirements, structured data, authority cues, and approved implementation requirements.</w:t>
            </w:r>
          </w:p>
        </w:tc>
        <w:tc>
          <w:tcPr>
            <w:tcW w:type="dxa" w:w="3240"/>
            <w:tcMar>
              <w:top w:w="110" w:type="dxa"/>
              <w:start w:w="110" w:type="dxa"/>
              <w:bottom w:w="110" w:type="dxa"/>
              <w:end w:w="110" w:type="dxa"/>
            </w:tcMar>
            <w:vAlign w:val="center"/>
          </w:tcPr>
          <w:p>
            <w:pPr>
              <w:spacing w:after="0" w:line="240" w:lineRule="auto"/>
            </w:pPr>
            <w:r>
              <w:rPr>
                <w:rFonts w:ascii="Aptos" w:hAnsi="Aptos"/>
                <w:sz w:val="14"/>
              </w:rPr>
              <w:t>Improved machine-readable clarity and stronger foundation for AI recommendation visibility.</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Schema</w:t>
            </w:r>
          </w:p>
        </w:tc>
        <w:tc>
          <w:tcPr>
            <w:tcW w:type="dxa" w:w="5904"/>
            <w:tcMar>
              <w:top w:w="110" w:type="dxa"/>
              <w:start w:w="110" w:type="dxa"/>
              <w:bottom w:w="110" w:type="dxa"/>
              <w:end w:w="110" w:type="dxa"/>
            </w:tcMar>
            <w:vAlign w:val="center"/>
          </w:tcPr>
          <w:p>
            <w:pPr>
              <w:spacing w:after="0" w:line="240" w:lineRule="auto"/>
            </w:pPr>
            <w:r>
              <w:rPr>
                <w:rFonts w:ascii="Aptos" w:hAnsi="Aptos"/>
                <w:sz w:val="14"/>
              </w:rPr>
              <w:t>Page-specific schema implementation where actual content supports eligibility.</w:t>
            </w:r>
          </w:p>
        </w:tc>
        <w:tc>
          <w:tcPr>
            <w:tcW w:type="dxa" w:w="3240"/>
            <w:tcMar>
              <w:top w:w="110" w:type="dxa"/>
              <w:start w:w="110" w:type="dxa"/>
              <w:bottom w:w="110" w:type="dxa"/>
              <w:end w:w="110" w:type="dxa"/>
            </w:tcMar>
            <w:vAlign w:val="center"/>
          </w:tcPr>
          <w:p>
            <w:pPr>
              <w:spacing w:after="0" w:line="240" w:lineRule="auto"/>
            </w:pPr>
            <w:r>
              <w:rPr>
                <w:rFonts w:ascii="Aptos" w:hAnsi="Aptos"/>
                <w:sz w:val="14"/>
              </w:rPr>
              <w:t>Structured data that matches real page content rather than decorative markup.</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Accessibility</w:t>
            </w:r>
          </w:p>
        </w:tc>
        <w:tc>
          <w:tcPr>
            <w:tcW w:type="dxa" w:w="5904"/>
            <w:tcMar>
              <w:top w:w="110" w:type="dxa"/>
              <w:start w:w="110" w:type="dxa"/>
              <w:bottom w:w="110" w:type="dxa"/>
              <w:end w:w="110" w:type="dxa"/>
            </w:tcMar>
            <w:vAlign w:val="center"/>
          </w:tcPr>
          <w:p>
            <w:pPr>
              <w:spacing w:after="0" w:line="240" w:lineRule="auto"/>
            </w:pPr>
            <w:r>
              <w:rPr>
                <w:rFonts w:ascii="Aptos" w:hAnsi="Aptos"/>
                <w:sz w:val="14"/>
              </w:rPr>
              <w:t>Accessibility review, standard remediation, keyboard/focus/form requirements, contrast/readability checks, and human validation.</w:t>
            </w:r>
          </w:p>
        </w:tc>
        <w:tc>
          <w:tcPr>
            <w:tcW w:type="dxa" w:w="3240"/>
            <w:tcMar>
              <w:top w:w="110" w:type="dxa"/>
              <w:start w:w="110" w:type="dxa"/>
              <w:bottom w:w="110" w:type="dxa"/>
              <w:end w:w="110" w:type="dxa"/>
            </w:tcMar>
            <w:vAlign w:val="center"/>
          </w:tcPr>
          <w:p>
            <w:pPr>
              <w:spacing w:after="0" w:line="240" w:lineRule="auto"/>
            </w:pPr>
            <w:r>
              <w:rPr>
                <w:rFonts w:ascii="Aptos" w:hAnsi="Aptos"/>
                <w:sz w:val="14"/>
              </w:rPr>
              <w:t>More usable and accessible production experience.</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Content Migration</w:t>
            </w:r>
          </w:p>
        </w:tc>
        <w:tc>
          <w:tcPr>
            <w:tcW w:type="dxa" w:w="5904"/>
            <w:tcMar>
              <w:top w:w="110" w:type="dxa"/>
              <w:start w:w="110" w:type="dxa"/>
              <w:bottom w:w="110" w:type="dxa"/>
              <w:end w:w="110" w:type="dxa"/>
            </w:tcMar>
            <w:vAlign w:val="center"/>
          </w:tcPr>
          <w:p>
            <w:pPr>
              <w:spacing w:after="0" w:line="240" w:lineRule="auto"/>
            </w:pPr>
            <w:r>
              <w:rPr>
                <w:rFonts w:ascii="Aptos" w:hAnsi="Aptos"/>
                <w:sz w:val="14"/>
              </w:rPr>
              <w:t>Approved content migration, redirects, source/target mapping, and cleanup of outdated or retired content.</w:t>
            </w:r>
          </w:p>
        </w:tc>
        <w:tc>
          <w:tcPr>
            <w:tcW w:type="dxa" w:w="3240"/>
            <w:tcMar>
              <w:top w:w="110" w:type="dxa"/>
              <w:start w:w="110" w:type="dxa"/>
              <w:bottom w:w="110" w:type="dxa"/>
              <w:end w:w="110" w:type="dxa"/>
            </w:tcMar>
            <w:vAlign w:val="center"/>
          </w:tcPr>
          <w:p>
            <w:pPr>
              <w:spacing w:after="0" w:line="240" w:lineRule="auto"/>
            </w:pPr>
            <w:r>
              <w:rPr>
                <w:rFonts w:ascii="Aptos" w:hAnsi="Aptos"/>
                <w:sz w:val="14"/>
              </w:rPr>
              <w:t>Controlled transition from current site to approved architecture.</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Integrations</w:t>
            </w:r>
          </w:p>
        </w:tc>
        <w:tc>
          <w:tcPr>
            <w:tcW w:type="dxa" w:w="5904"/>
            <w:tcMar>
              <w:top w:w="110" w:type="dxa"/>
              <w:start w:w="110" w:type="dxa"/>
              <w:bottom w:w="110" w:type="dxa"/>
              <w:end w:w="110" w:type="dxa"/>
            </w:tcMar>
            <w:vAlign w:val="center"/>
          </w:tcPr>
          <w:p>
            <w:pPr>
              <w:spacing w:after="0" w:line="240" w:lineRule="auto"/>
            </w:pPr>
            <w:r>
              <w:rPr>
                <w:rFonts w:ascii="Aptos" w:hAnsi="Aptos"/>
                <w:sz w:val="14"/>
              </w:rPr>
              <w:t>Approved third-party integrations required by the implementation.</w:t>
            </w:r>
          </w:p>
        </w:tc>
        <w:tc>
          <w:tcPr>
            <w:tcW w:type="dxa" w:w="3240"/>
            <w:tcMar>
              <w:top w:w="110" w:type="dxa"/>
              <w:start w:w="110" w:type="dxa"/>
              <w:bottom w:w="110" w:type="dxa"/>
              <w:end w:w="110" w:type="dxa"/>
            </w:tcMar>
            <w:vAlign w:val="center"/>
          </w:tcPr>
          <w:p>
            <w:pPr>
              <w:spacing w:after="0" w:line="240" w:lineRule="auto"/>
            </w:pPr>
            <w:r>
              <w:rPr>
                <w:rFonts w:ascii="Aptos" w:hAnsi="Aptos"/>
                <w:sz w:val="14"/>
              </w:rPr>
              <w:t>Connected experience without hidden integration gaps.</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Technical Performance</w:t>
            </w:r>
          </w:p>
        </w:tc>
        <w:tc>
          <w:tcPr>
            <w:tcW w:type="dxa" w:w="5904"/>
            <w:tcMar>
              <w:top w:w="110" w:type="dxa"/>
              <w:start w:w="110" w:type="dxa"/>
              <w:bottom w:w="110" w:type="dxa"/>
              <w:end w:w="110" w:type="dxa"/>
            </w:tcMar>
            <w:vAlign w:val="center"/>
          </w:tcPr>
          <w:p>
            <w:pPr>
              <w:spacing w:after="0" w:line="240" w:lineRule="auto"/>
            </w:pPr>
            <w:r>
              <w:rPr>
                <w:rFonts w:ascii="Aptos" w:hAnsi="Aptos"/>
                <w:sz w:val="14"/>
              </w:rPr>
              <w:t>Asset, script, responsive, maintainability, layout stability, caching/configuration, and production-quality implementation controls.</w:t>
            </w:r>
          </w:p>
        </w:tc>
        <w:tc>
          <w:tcPr>
            <w:tcW w:type="dxa" w:w="3240"/>
            <w:tcMar>
              <w:top w:w="110" w:type="dxa"/>
              <w:start w:w="110" w:type="dxa"/>
              <w:bottom w:w="110" w:type="dxa"/>
              <w:end w:w="110" w:type="dxa"/>
            </w:tcMar>
            <w:vAlign w:val="center"/>
          </w:tcPr>
          <w:p>
            <w:pPr>
              <w:spacing w:after="0" w:line="240" w:lineRule="auto"/>
            </w:pPr>
            <w:r>
              <w:rPr>
                <w:rFonts w:ascii="Aptos" w:hAnsi="Aptos"/>
                <w:sz w:val="14"/>
              </w:rPr>
              <w:t>Production experience designed for stability and maintainability.</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Strategic Fidelity + Technical QA</w:t>
            </w:r>
          </w:p>
        </w:tc>
        <w:tc>
          <w:tcPr>
            <w:tcW w:type="dxa" w:w="5904"/>
            <w:tcMar>
              <w:top w:w="110" w:type="dxa"/>
              <w:start w:w="110" w:type="dxa"/>
              <w:bottom w:w="110" w:type="dxa"/>
              <w:end w:w="110" w:type="dxa"/>
            </w:tcMar>
            <w:vAlign w:val="center"/>
          </w:tcPr>
          <w:p>
            <w:pPr>
              <w:spacing w:after="0" w:line="240" w:lineRule="auto"/>
            </w:pPr>
            <w:r>
              <w:rPr>
                <w:rFonts w:ascii="Aptos" w:hAnsi="Aptos"/>
                <w:sz w:val="14"/>
              </w:rPr>
              <w:t>Compare approved strategy and requirements against the implementation, plus technical validation.</w:t>
            </w:r>
          </w:p>
        </w:tc>
        <w:tc>
          <w:tcPr>
            <w:tcW w:type="dxa" w:w="3240"/>
            <w:tcMar>
              <w:top w:w="110" w:type="dxa"/>
              <w:start w:w="110" w:type="dxa"/>
              <w:bottom w:w="110" w:type="dxa"/>
              <w:end w:w="110" w:type="dxa"/>
            </w:tcMar>
            <w:vAlign w:val="center"/>
          </w:tcPr>
          <w:p>
            <w:pPr>
              <w:spacing w:after="0" w:line="240" w:lineRule="auto"/>
            </w:pPr>
            <w:r>
              <w:rPr>
                <w:rFonts w:ascii="Aptos" w:hAnsi="Aptos"/>
                <w:sz w:val="14"/>
              </w:rPr>
              <w:t>Evidence that the build matches what was approved and works correctly.</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Launch &amp; Post-Launch Validation</w:t>
            </w:r>
          </w:p>
        </w:tc>
        <w:tc>
          <w:tcPr>
            <w:tcW w:type="dxa" w:w="5904"/>
            <w:tcMar>
              <w:top w:w="110" w:type="dxa"/>
              <w:start w:w="110" w:type="dxa"/>
              <w:bottom w:w="110" w:type="dxa"/>
              <w:end w:w="110" w:type="dxa"/>
            </w:tcMar>
            <w:vAlign w:val="center"/>
          </w:tcPr>
          <w:p>
            <w:pPr>
              <w:spacing w:after="0" w:line="240" w:lineRule="auto"/>
            </w:pPr>
            <w:r>
              <w:rPr>
                <w:rFonts w:ascii="Aptos" w:hAnsi="Aptos"/>
                <w:sz w:val="14"/>
              </w:rPr>
              <w:t>Production deployment support, critical live checks, forms/CRM, analytics, redirects, indexing, issue handling, and launch record.</w:t>
            </w:r>
          </w:p>
        </w:tc>
        <w:tc>
          <w:tcPr>
            <w:tcW w:type="dxa" w:w="3240"/>
            <w:tcMar>
              <w:top w:w="110" w:type="dxa"/>
              <w:start w:w="110" w:type="dxa"/>
              <w:bottom w:w="110" w:type="dxa"/>
              <w:end w:w="110" w:type="dxa"/>
            </w:tcMar>
            <w:vAlign w:val="center"/>
          </w:tcPr>
          <w:p>
            <w:pPr>
              <w:spacing w:after="0" w:line="240" w:lineRule="auto"/>
            </w:pPr>
            <w:r>
              <w:rPr>
                <w:rFonts w:ascii="Aptos" w:hAnsi="Aptos"/>
                <w:sz w:val="14"/>
              </w:rPr>
              <w:t>Documented production state and validated critical live experience.</w:t>
            </w:r>
          </w:p>
        </w:tc>
      </w:tr>
      <w:tr>
        <w:tc>
          <w:tcPr>
            <w:tcW w:type="dxa" w:w="2232"/>
            <w:tcMar>
              <w:top w:w="110" w:type="dxa"/>
              <w:start w:w="110" w:type="dxa"/>
              <w:bottom w:w="110" w:type="dxa"/>
              <w:end w:w="110" w:type="dxa"/>
            </w:tcMar>
            <w:vAlign w:val="center"/>
          </w:tcPr>
          <w:p>
            <w:pPr>
              <w:spacing w:after="0" w:line="240" w:lineRule="auto"/>
            </w:pPr>
            <w:r>
              <w:rPr>
                <w:rFonts w:ascii="Aptos" w:hAnsi="Aptos"/>
                <w:sz w:val="14"/>
              </w:rPr>
              <w:t>Ownership Handoff</w:t>
            </w:r>
          </w:p>
        </w:tc>
        <w:tc>
          <w:tcPr>
            <w:tcW w:type="dxa" w:w="5904"/>
            <w:tcMar>
              <w:top w:w="110" w:type="dxa"/>
              <w:start w:w="110" w:type="dxa"/>
              <w:bottom w:w="110" w:type="dxa"/>
              <w:end w:w="110" w:type="dxa"/>
            </w:tcMar>
            <w:vAlign w:val="center"/>
          </w:tcPr>
          <w:p>
            <w:pPr>
              <w:spacing w:after="0" w:line="240" w:lineRule="auto"/>
            </w:pPr>
            <w:r>
              <w:rPr>
                <w:rFonts w:ascii="Aptos" w:hAnsi="Aptos"/>
                <w:sz w:val="14"/>
              </w:rPr>
              <w:t>Documentation, systems ownership, measurement responsibilities, known limitations, open actions, and transition to SimpliCARE or client/partner ownership.</w:t>
            </w:r>
          </w:p>
        </w:tc>
        <w:tc>
          <w:tcPr>
            <w:tcW w:type="dxa" w:w="3240"/>
            <w:tcMar>
              <w:top w:w="110" w:type="dxa"/>
              <w:start w:w="110" w:type="dxa"/>
              <w:bottom w:w="110" w:type="dxa"/>
              <w:end w:w="110" w:type="dxa"/>
            </w:tcMar>
            <w:vAlign w:val="center"/>
          </w:tcPr>
          <w:p>
            <w:pPr>
              <w:spacing w:after="0" w:line="240" w:lineRule="auto"/>
            </w:pPr>
            <w:r>
              <w:rPr>
                <w:rFonts w:ascii="Aptos" w:hAnsi="Aptos"/>
                <w:sz w:val="14"/>
              </w:rPr>
              <w:t>Clear ongoing responsibility after Foundation.</w:t>
            </w:r>
          </w:p>
        </w:tc>
      </w:tr>
    </w:tbl>
    <w:p>
      <w:pPr>
        <w:spacing w:after="20"/>
      </w:pPr>
    </w:p>
    <w:p>
      <w:pPr>
        <w:pStyle w:val="Heading1"/>
      </w:pPr>
      <w:r>
        <w:t>Key Client Deliverables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173B56"/>
            <w:tcMar>
              <w:top w:w="110" w:type="dxa"/>
              <w:start w:w="110" w:type="dxa"/>
              <w:bottom w:w="110" w:type="dxa"/>
              <w:end w:w="110" w:type="dxa"/>
            </w:tcMar>
            <w:vAlign w:val="center"/>
          </w:tcPr>
          <w:p>
            <w:r>
              <w:rPr>
                <w:rFonts w:ascii="Aptos" w:hAnsi="Aptos"/>
                <w:b/>
                <w:color w:val="FFFFFF"/>
                <w:sz w:val="16"/>
              </w:rPr>
              <w:t>Deliverable</w:t>
            </w:r>
          </w:p>
        </w:tc>
        <w:tc>
          <w:tcPr>
            <w:tcW w:type="dxa" w:w="6336"/>
            <w:shd w:fill="173B56"/>
            <w:tcMar>
              <w:top w:w="110" w:type="dxa"/>
              <w:start w:w="110" w:type="dxa"/>
              <w:bottom w:w="110" w:type="dxa"/>
              <w:end w:w="110" w:type="dxa"/>
            </w:tcMar>
            <w:vAlign w:val="center"/>
          </w:tcPr>
          <w:p>
            <w:r>
              <w:rPr>
                <w:rFonts w:ascii="Aptos" w:hAnsi="Aptos"/>
                <w:b/>
                <w:color w:val="FFFFFF"/>
                <w:sz w:val="16"/>
              </w:rPr>
              <w:t>What Northstar Receives</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Website Messaging &amp; Content Blueprint</w:t>
            </w:r>
          </w:p>
        </w:tc>
        <w:tc>
          <w:tcPr>
            <w:tcW w:type="dxa" w:w="6336"/>
            <w:tcMar>
              <w:top w:w="110" w:type="dxa"/>
              <w:start w:w="110" w:type="dxa"/>
              <w:bottom w:w="110" w:type="dxa"/>
              <w:end w:w="110" w:type="dxa"/>
            </w:tcMar>
            <w:vAlign w:val="center"/>
          </w:tcPr>
          <w:p>
            <w:pPr>
              <w:spacing w:after="0" w:line="240" w:lineRule="auto"/>
            </w:pPr>
            <w:r>
              <w:rPr>
                <w:rFonts w:ascii="Aptos" w:hAnsi="Aptos"/>
                <w:sz w:val="16"/>
              </w:rPr>
              <w:t>Approved website-specific messaging architecture, audience logic, page roles, proof, discoverability, measurement, and implementation direction.</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Brand Voice &amp; Editorial Guide</w:t>
            </w:r>
          </w:p>
        </w:tc>
        <w:tc>
          <w:tcPr>
            <w:tcW w:type="dxa" w:w="6336"/>
            <w:tcMar>
              <w:top w:w="110" w:type="dxa"/>
              <w:start w:w="110" w:type="dxa"/>
              <w:bottom w:w="110" w:type="dxa"/>
              <w:end w:w="110" w:type="dxa"/>
            </w:tcMar>
            <w:vAlign w:val="center"/>
          </w:tcPr>
          <w:p>
            <w:pPr>
              <w:spacing w:after="0" w:line="240" w:lineRule="auto"/>
            </w:pPr>
            <w:r>
              <w:rPr>
                <w:rFonts w:ascii="Aptos" w:hAnsi="Aptos"/>
                <w:sz w:val="16"/>
              </w:rPr>
              <w:t>Durable communication guidance for website, content, email, campaigns, sales materials, and AI-assisted writing.</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Integrated Site Architecture</w:t>
            </w:r>
          </w:p>
        </w:tc>
        <w:tc>
          <w:tcPr>
            <w:tcW w:type="dxa" w:w="6336"/>
            <w:tcMar>
              <w:top w:w="110" w:type="dxa"/>
              <w:start w:w="110" w:type="dxa"/>
              <w:bottom w:w="110" w:type="dxa"/>
              <w:end w:w="110" w:type="dxa"/>
            </w:tcMar>
            <w:vAlign w:val="center"/>
          </w:tcPr>
          <w:p>
            <w:pPr>
              <w:spacing w:after="0" w:line="240" w:lineRule="auto"/>
            </w:pPr>
            <w:r>
              <w:rPr>
                <w:rFonts w:ascii="Aptos" w:hAnsi="Aptos"/>
                <w:sz w:val="16"/>
              </w:rPr>
              <w:t>Editable architecture workbook combining sitemap, buyer intent, page job, CTAs, URLs, metadata, schema, dependencies, navigation, redirects, and measurement.</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Approved Website Copy</w:t>
            </w:r>
          </w:p>
        </w:tc>
        <w:tc>
          <w:tcPr>
            <w:tcW w:type="dxa" w:w="6336"/>
            <w:tcMar>
              <w:top w:w="110" w:type="dxa"/>
              <w:start w:w="110" w:type="dxa"/>
              <w:bottom w:w="110" w:type="dxa"/>
              <w:end w:w="110" w:type="dxa"/>
            </w:tcMar>
            <w:vAlign w:val="center"/>
          </w:tcPr>
          <w:p>
            <w:pPr>
              <w:spacing w:after="0" w:line="240" w:lineRule="auto"/>
            </w:pPr>
            <w:r>
              <w:rPr>
                <w:rFonts w:ascii="Aptos" w:hAnsi="Aptos"/>
                <w:sz w:val="16"/>
              </w:rPr>
              <w:t>Human-reviewed and client-approved production copy for the agreed pages/templates.</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Custom UX &amp; Visual Design</w:t>
            </w:r>
          </w:p>
        </w:tc>
        <w:tc>
          <w:tcPr>
            <w:tcW w:type="dxa" w:w="6336"/>
            <w:tcMar>
              <w:top w:w="110" w:type="dxa"/>
              <w:start w:w="110" w:type="dxa"/>
              <w:bottom w:w="110" w:type="dxa"/>
              <w:end w:w="110" w:type="dxa"/>
            </w:tcMar>
            <w:vAlign w:val="center"/>
          </w:tcPr>
          <w:p>
            <w:pPr>
              <w:spacing w:after="0" w:line="240" w:lineRule="auto"/>
            </w:pPr>
            <w:r>
              <w:rPr>
                <w:rFonts w:ascii="Aptos" w:hAnsi="Aptos"/>
                <w:sz w:val="16"/>
              </w:rPr>
              <w:t>Approved responsive experience and reusable visual/component system.</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Production WordPress Website</w:t>
            </w:r>
          </w:p>
        </w:tc>
        <w:tc>
          <w:tcPr>
            <w:tcW w:type="dxa" w:w="6336"/>
            <w:tcMar>
              <w:top w:w="110" w:type="dxa"/>
              <w:start w:w="110" w:type="dxa"/>
              <w:bottom w:w="110" w:type="dxa"/>
              <w:end w:w="110" w:type="dxa"/>
            </w:tcMar>
            <w:vAlign w:val="center"/>
          </w:tcPr>
          <w:p>
            <w:pPr>
              <w:spacing w:after="0" w:line="240" w:lineRule="auto"/>
            </w:pPr>
            <w:r>
              <w:rPr>
                <w:rFonts w:ascii="Aptos" w:hAnsi="Aptos"/>
                <w:sz w:val="16"/>
              </w:rPr>
              <w:t>Implemented, responsive, CMS-manageable experience based on approved strategy, design, and content.</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Measurement &amp; Integration Configuration</w:t>
            </w:r>
          </w:p>
        </w:tc>
        <w:tc>
          <w:tcPr>
            <w:tcW w:type="dxa" w:w="6336"/>
            <w:tcMar>
              <w:top w:w="110" w:type="dxa"/>
              <w:start w:w="110" w:type="dxa"/>
              <w:bottom w:w="110" w:type="dxa"/>
              <w:end w:w="110" w:type="dxa"/>
            </w:tcMar>
            <w:vAlign w:val="center"/>
          </w:tcPr>
          <w:p>
            <w:pPr>
              <w:spacing w:after="0" w:line="240" w:lineRule="auto"/>
            </w:pPr>
            <w:r>
              <w:rPr>
                <w:rFonts w:ascii="Aptos" w:hAnsi="Aptos"/>
                <w:sz w:val="16"/>
              </w:rPr>
              <w:t>Approved forms, CRM routing, analytics/event implementation, and documented measurement context.</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Launch / Validation Documentation</w:t>
            </w:r>
          </w:p>
        </w:tc>
        <w:tc>
          <w:tcPr>
            <w:tcW w:type="dxa" w:w="6336"/>
            <w:tcMar>
              <w:top w:w="110" w:type="dxa"/>
              <w:start w:w="110" w:type="dxa"/>
              <w:bottom w:w="110" w:type="dxa"/>
              <w:end w:w="110" w:type="dxa"/>
            </w:tcMar>
            <w:vAlign w:val="center"/>
          </w:tcPr>
          <w:p>
            <w:pPr>
              <w:spacing w:after="0" w:line="240" w:lineRule="auto"/>
            </w:pPr>
            <w:r>
              <w:rPr>
                <w:rFonts w:ascii="Aptos" w:hAnsi="Aptos"/>
                <w:sz w:val="16"/>
              </w:rPr>
              <w:t>Launch state, live checks, issues, accepted limitations, and post-launch actions.</w:t>
            </w:r>
          </w:p>
        </w:tc>
      </w:tr>
      <w:tr>
        <w:tc>
          <w:tcPr>
            <w:tcW w:type="dxa" w:w="3312"/>
            <w:tcMar>
              <w:top w:w="110" w:type="dxa"/>
              <w:start w:w="110" w:type="dxa"/>
              <w:bottom w:w="110" w:type="dxa"/>
              <w:end w:w="110" w:type="dxa"/>
            </w:tcMar>
            <w:vAlign w:val="center"/>
          </w:tcPr>
          <w:p>
            <w:pPr>
              <w:spacing w:after="0" w:line="240" w:lineRule="auto"/>
            </w:pPr>
            <w:r>
              <w:rPr>
                <w:rFonts w:ascii="Aptos" w:hAnsi="Aptos"/>
                <w:sz w:val="16"/>
              </w:rPr>
              <w:t>Implementation &amp; Ongoing Ownership Handoff</w:t>
            </w:r>
          </w:p>
        </w:tc>
        <w:tc>
          <w:tcPr>
            <w:tcW w:type="dxa" w:w="6336"/>
            <w:tcMar>
              <w:top w:w="110" w:type="dxa"/>
              <w:start w:w="110" w:type="dxa"/>
              <w:bottom w:w="110" w:type="dxa"/>
              <w:end w:w="110" w:type="dxa"/>
            </w:tcMar>
            <w:vAlign w:val="center"/>
          </w:tcPr>
          <w:p>
            <w:pPr>
              <w:spacing w:after="0" w:line="240" w:lineRule="auto"/>
            </w:pPr>
            <w:r>
              <w:rPr>
                <w:rFonts w:ascii="Aptos" w:hAnsi="Aptos"/>
                <w:sz w:val="16"/>
              </w:rPr>
              <w:t>Documentation of what was delivered, how it is operated, who owns what, and the ongoing support route.</w:t>
            </w:r>
          </w:p>
        </w:tc>
      </w:tr>
    </w:tbl>
    <w:p>
      <w:pPr>
        <w:spacing w:after="20"/>
      </w:pPr>
    </w:p>
    <w:p>
      <w:pPr>
        <w:pStyle w:val="Heading1"/>
      </w:pPr>
      <w:r>
        <w:t>How SimpliFoundation Works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B56"/>
            <w:tcMar>
              <w:top w:w="110" w:type="dxa"/>
              <w:start w:w="110" w:type="dxa"/>
              <w:bottom w:w="110" w:type="dxa"/>
              <w:end w:w="110" w:type="dxa"/>
            </w:tcMar>
            <w:vAlign w:val="center"/>
          </w:tcPr>
          <w:p>
            <w:r>
              <w:rPr>
                <w:rFonts w:ascii="Aptos" w:hAnsi="Aptos"/>
                <w:b/>
                <w:color w:val="FFFFFF"/>
                <w:sz w:val="15"/>
              </w:rPr>
              <w:t>Phase</w:t>
            </w:r>
          </w:p>
        </w:tc>
        <w:tc>
          <w:tcPr>
            <w:tcW w:type="dxa" w:w="5904"/>
            <w:shd w:fill="173B56"/>
            <w:tcMar>
              <w:top w:w="110" w:type="dxa"/>
              <w:start w:w="110" w:type="dxa"/>
              <w:bottom w:w="110" w:type="dxa"/>
              <w:end w:w="110" w:type="dxa"/>
            </w:tcMar>
            <w:vAlign w:val="center"/>
          </w:tcPr>
          <w:p>
            <w:r>
              <w:rPr>
                <w:rFonts w:ascii="Aptos" w:hAnsi="Aptos"/>
                <w:b/>
                <w:color w:val="FFFFFF"/>
                <w:sz w:val="15"/>
              </w:rPr>
              <w:t>What Happens</w:t>
            </w:r>
          </w:p>
        </w:tc>
        <w:tc>
          <w:tcPr>
            <w:tcW w:type="dxa" w:w="3168"/>
            <w:shd w:fill="173B56"/>
            <w:tcMar>
              <w:top w:w="110" w:type="dxa"/>
              <w:start w:w="110" w:type="dxa"/>
              <w:bottom w:w="110" w:type="dxa"/>
              <w:end w:w="110" w:type="dxa"/>
            </w:tcMar>
            <w:vAlign w:val="center"/>
          </w:tcPr>
          <w:p>
            <w:r>
              <w:rPr>
                <w:rFonts w:ascii="Aptos" w:hAnsi="Aptos"/>
                <w:b/>
                <w:color w:val="FFFFFF"/>
                <w:sz w:val="15"/>
              </w:rPr>
              <w:t>Primary Decision / Output</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Activate</w:t>
            </w:r>
          </w:p>
        </w:tc>
        <w:tc>
          <w:tcPr>
            <w:tcW w:type="dxa" w:w="5904"/>
            <w:tcMar>
              <w:top w:w="110" w:type="dxa"/>
              <w:start w:w="110" w:type="dxa"/>
              <w:bottom w:w="110" w:type="dxa"/>
              <w:end w:w="110" w:type="dxa"/>
            </w:tcMar>
            <w:vAlign w:val="center"/>
          </w:tcPr>
          <w:p>
            <w:pPr>
              <w:spacing w:after="0" w:line="240" w:lineRule="auto"/>
            </w:pPr>
            <w:r>
              <w:rPr>
                <w:rFonts w:ascii="Aptos" w:hAnsi="Aptos"/>
                <w:sz w:val="15"/>
              </w:rPr>
              <w:t>Confirm approved Blueprint, SOW, owners, access, systems, dependencies, and client responsibilities.</w:t>
            </w:r>
          </w:p>
        </w:tc>
        <w:tc>
          <w:tcPr>
            <w:tcW w:type="dxa" w:w="3168"/>
            <w:tcMar>
              <w:top w:w="110" w:type="dxa"/>
              <w:start w:w="110" w:type="dxa"/>
              <w:bottom w:w="110" w:type="dxa"/>
              <w:end w:w="110" w:type="dxa"/>
            </w:tcMar>
            <w:vAlign w:val="center"/>
          </w:tcPr>
          <w:p>
            <w:pPr>
              <w:spacing w:after="0" w:line="240" w:lineRule="auto"/>
            </w:pPr>
            <w:r>
              <w:rPr>
                <w:rFonts w:ascii="Aptos" w:hAnsi="Aptos"/>
                <w:sz w:val="15"/>
              </w:rPr>
              <w:t>Valid implementation starting point</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Handoff</w:t>
            </w:r>
          </w:p>
        </w:tc>
        <w:tc>
          <w:tcPr>
            <w:tcW w:type="dxa" w:w="5904"/>
            <w:tcMar>
              <w:top w:w="110" w:type="dxa"/>
              <w:start w:w="110" w:type="dxa"/>
              <w:bottom w:w="110" w:type="dxa"/>
              <w:end w:w="110" w:type="dxa"/>
            </w:tcMar>
            <w:vAlign w:val="center"/>
          </w:tcPr>
          <w:p>
            <w:pPr>
              <w:spacing w:after="0" w:line="240" w:lineRule="auto"/>
            </w:pPr>
            <w:r>
              <w:rPr>
                <w:rFonts w:ascii="Aptos" w:hAnsi="Aptos"/>
                <w:sz w:val="15"/>
              </w:rPr>
              <w:t>Translate Blueprint findings, priorities, proof, requirements, and unresolved questions into execution context.</w:t>
            </w:r>
          </w:p>
        </w:tc>
        <w:tc>
          <w:tcPr>
            <w:tcW w:type="dxa" w:w="3168"/>
            <w:tcMar>
              <w:top w:w="110" w:type="dxa"/>
              <w:start w:w="110" w:type="dxa"/>
              <w:bottom w:w="110" w:type="dxa"/>
              <w:end w:w="110" w:type="dxa"/>
            </w:tcMar>
            <w:vAlign w:val="center"/>
          </w:tcPr>
          <w:p>
            <w:pPr>
              <w:spacing w:after="0" w:line="240" w:lineRule="auto"/>
            </w:pPr>
            <w:r>
              <w:rPr>
                <w:rFonts w:ascii="Aptos" w:hAnsi="Aptos"/>
                <w:sz w:val="15"/>
              </w:rPr>
              <w:t>Strategy-to-Execution Handoff</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Plan</w:t>
            </w:r>
          </w:p>
        </w:tc>
        <w:tc>
          <w:tcPr>
            <w:tcW w:type="dxa" w:w="5904"/>
            <w:tcMar>
              <w:top w:w="110" w:type="dxa"/>
              <w:start w:w="110" w:type="dxa"/>
              <w:bottom w:w="110" w:type="dxa"/>
              <w:end w:w="110" w:type="dxa"/>
            </w:tcMar>
            <w:vAlign w:val="center"/>
          </w:tcPr>
          <w:p>
            <w:pPr>
              <w:spacing w:after="0" w:line="240" w:lineRule="auto"/>
            </w:pPr>
            <w:r>
              <w:rPr>
                <w:rFonts w:ascii="Aptos" w:hAnsi="Aptos"/>
                <w:sz w:val="15"/>
              </w:rPr>
              <w:t>Define workstreams, sequencing, responsibilities, dependencies, and delivery requirements.</w:t>
            </w:r>
          </w:p>
        </w:tc>
        <w:tc>
          <w:tcPr>
            <w:tcW w:type="dxa" w:w="3168"/>
            <w:tcMar>
              <w:top w:w="110" w:type="dxa"/>
              <w:start w:w="110" w:type="dxa"/>
              <w:bottom w:w="110" w:type="dxa"/>
              <w:end w:w="110" w:type="dxa"/>
            </w:tcMar>
            <w:vAlign w:val="center"/>
          </w:tcPr>
          <w:p>
            <w:pPr>
              <w:spacing w:after="0" w:line="240" w:lineRule="auto"/>
            </w:pPr>
            <w:r>
              <w:rPr>
                <w:rFonts w:ascii="Aptos" w:hAnsi="Aptos"/>
                <w:sz w:val="15"/>
              </w:rPr>
              <w:t>Implementation Plan</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Prepare</w:t>
            </w:r>
          </w:p>
        </w:tc>
        <w:tc>
          <w:tcPr>
            <w:tcW w:type="dxa" w:w="5904"/>
            <w:tcMar>
              <w:top w:w="110" w:type="dxa"/>
              <w:start w:w="110" w:type="dxa"/>
              <w:bottom w:w="110" w:type="dxa"/>
              <w:end w:w="110" w:type="dxa"/>
            </w:tcMar>
            <w:vAlign w:val="center"/>
          </w:tcPr>
          <w:p>
            <w:pPr>
              <w:spacing w:after="0" w:line="240" w:lineRule="auto"/>
            </w:pPr>
            <w:r>
              <w:rPr>
                <w:rFonts w:ascii="Aptos" w:hAnsi="Aptos"/>
                <w:sz w:val="15"/>
              </w:rPr>
              <w:t>Finalize messaging, architecture, page requirements, website content, proof, conversion, metadata/schema, and Creative Brief.</w:t>
            </w:r>
          </w:p>
        </w:tc>
        <w:tc>
          <w:tcPr>
            <w:tcW w:type="dxa" w:w="3168"/>
            <w:tcMar>
              <w:top w:w="110" w:type="dxa"/>
              <w:start w:w="110" w:type="dxa"/>
              <w:bottom w:w="110" w:type="dxa"/>
              <w:end w:w="110" w:type="dxa"/>
            </w:tcMar>
            <w:vAlign w:val="center"/>
          </w:tcPr>
          <w:p>
            <w:pPr>
              <w:spacing w:after="0" w:line="240" w:lineRule="auto"/>
            </w:pPr>
            <w:r>
              <w:rPr>
                <w:rFonts w:ascii="Aptos" w:hAnsi="Aptos"/>
                <w:sz w:val="15"/>
              </w:rPr>
              <w:t>Approved implementation inputs</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Design</w:t>
            </w:r>
          </w:p>
        </w:tc>
        <w:tc>
          <w:tcPr>
            <w:tcW w:type="dxa" w:w="5904"/>
            <w:tcMar>
              <w:top w:w="110" w:type="dxa"/>
              <w:start w:w="110" w:type="dxa"/>
              <w:bottom w:w="110" w:type="dxa"/>
              <w:end w:w="110" w:type="dxa"/>
            </w:tcMar>
            <w:vAlign w:val="center"/>
          </w:tcPr>
          <w:p>
            <w:pPr>
              <w:spacing w:after="0" w:line="240" w:lineRule="auto"/>
            </w:pPr>
            <w:r>
              <w:rPr>
                <w:rFonts w:ascii="Aptos" w:hAnsi="Aptos"/>
                <w:sz w:val="15"/>
              </w:rPr>
              <w:t>Create and review custom UX and visual design based on approved page roles and content.</w:t>
            </w:r>
          </w:p>
        </w:tc>
        <w:tc>
          <w:tcPr>
            <w:tcW w:type="dxa" w:w="3168"/>
            <w:tcMar>
              <w:top w:w="110" w:type="dxa"/>
              <w:start w:w="110" w:type="dxa"/>
              <w:bottom w:w="110" w:type="dxa"/>
              <w:end w:w="110" w:type="dxa"/>
            </w:tcMar>
            <w:vAlign w:val="center"/>
          </w:tcPr>
          <w:p>
            <w:pPr>
              <w:spacing w:after="0" w:line="240" w:lineRule="auto"/>
            </w:pPr>
            <w:r>
              <w:rPr>
                <w:rFonts w:ascii="Aptos" w:hAnsi="Aptos"/>
                <w:sz w:val="15"/>
              </w:rPr>
              <w:t>Client-approved design</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Develop</w:t>
            </w:r>
          </w:p>
        </w:tc>
        <w:tc>
          <w:tcPr>
            <w:tcW w:type="dxa" w:w="5904"/>
            <w:tcMar>
              <w:top w:w="110" w:type="dxa"/>
              <w:start w:w="110" w:type="dxa"/>
              <w:bottom w:w="110" w:type="dxa"/>
              <w:end w:w="110" w:type="dxa"/>
            </w:tcMar>
            <w:vAlign w:val="center"/>
          </w:tcPr>
          <w:p>
            <w:pPr>
              <w:spacing w:after="0" w:line="240" w:lineRule="auto"/>
            </w:pPr>
            <w:r>
              <w:rPr>
                <w:rFonts w:ascii="Aptos" w:hAnsi="Aptos"/>
                <w:sz w:val="15"/>
              </w:rPr>
              <w:t>Build approved WordPress experience, CMS components, forms, CRM, measurement, SEO/AEO/GEO, schema, integrations, and migration.</w:t>
            </w:r>
          </w:p>
        </w:tc>
        <w:tc>
          <w:tcPr>
            <w:tcW w:type="dxa" w:w="3168"/>
            <w:tcMar>
              <w:top w:w="110" w:type="dxa"/>
              <w:start w:w="110" w:type="dxa"/>
              <w:bottom w:w="110" w:type="dxa"/>
              <w:end w:w="110" w:type="dxa"/>
            </w:tcMar>
            <w:vAlign w:val="center"/>
          </w:tcPr>
          <w:p>
            <w:pPr>
              <w:spacing w:after="0" w:line="240" w:lineRule="auto"/>
            </w:pPr>
            <w:r>
              <w:rPr>
                <w:rFonts w:ascii="Aptos" w:hAnsi="Aptos"/>
                <w:sz w:val="15"/>
              </w:rPr>
              <w:t>Implementation ready for QA</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Validate</w:t>
            </w:r>
          </w:p>
        </w:tc>
        <w:tc>
          <w:tcPr>
            <w:tcW w:type="dxa" w:w="5904"/>
            <w:tcMar>
              <w:top w:w="110" w:type="dxa"/>
              <w:start w:w="110" w:type="dxa"/>
              <w:bottom w:w="110" w:type="dxa"/>
              <w:end w:w="110" w:type="dxa"/>
            </w:tcMar>
            <w:vAlign w:val="center"/>
          </w:tcPr>
          <w:p>
            <w:pPr>
              <w:spacing w:after="0" w:line="240" w:lineRule="auto"/>
            </w:pPr>
            <w:r>
              <w:rPr>
                <w:rFonts w:ascii="Aptos" w:hAnsi="Aptos"/>
                <w:sz w:val="15"/>
              </w:rPr>
              <w:t>Perform Strategic Fidelity QA and Technical QA; resolve or explicitly accept material issues.</w:t>
            </w:r>
          </w:p>
        </w:tc>
        <w:tc>
          <w:tcPr>
            <w:tcW w:type="dxa" w:w="3168"/>
            <w:tcMar>
              <w:top w:w="110" w:type="dxa"/>
              <w:start w:w="110" w:type="dxa"/>
              <w:bottom w:w="110" w:type="dxa"/>
              <w:end w:w="110" w:type="dxa"/>
            </w:tcMar>
            <w:vAlign w:val="center"/>
          </w:tcPr>
          <w:p>
            <w:pPr>
              <w:spacing w:after="0" w:line="240" w:lineRule="auto"/>
            </w:pPr>
            <w:r>
              <w:rPr>
                <w:rFonts w:ascii="Aptos" w:hAnsi="Aptos"/>
                <w:sz w:val="15"/>
              </w:rPr>
              <w:t>Launch-ready state</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Launch</w:t>
            </w:r>
          </w:p>
        </w:tc>
        <w:tc>
          <w:tcPr>
            <w:tcW w:type="dxa" w:w="5904"/>
            <w:tcMar>
              <w:top w:w="110" w:type="dxa"/>
              <w:start w:w="110" w:type="dxa"/>
              <w:bottom w:w="110" w:type="dxa"/>
              <w:end w:w="110" w:type="dxa"/>
            </w:tcMar>
            <w:vAlign w:val="center"/>
          </w:tcPr>
          <w:p>
            <w:pPr>
              <w:spacing w:after="0" w:line="240" w:lineRule="auto"/>
            </w:pPr>
            <w:r>
              <w:rPr>
                <w:rFonts w:ascii="Aptos" w:hAnsi="Aptos"/>
                <w:sz w:val="15"/>
              </w:rPr>
              <w:t>Deploy to production and validate critical live paths, forms, analytics, redirects, indexing, and production issues.</w:t>
            </w:r>
          </w:p>
        </w:tc>
        <w:tc>
          <w:tcPr>
            <w:tcW w:type="dxa" w:w="3168"/>
            <w:tcMar>
              <w:top w:w="110" w:type="dxa"/>
              <w:start w:w="110" w:type="dxa"/>
              <w:bottom w:w="110" w:type="dxa"/>
              <w:end w:w="110" w:type="dxa"/>
            </w:tcMar>
            <w:vAlign w:val="center"/>
          </w:tcPr>
          <w:p>
            <w:pPr>
              <w:spacing w:after="0" w:line="240" w:lineRule="auto"/>
            </w:pPr>
            <w:r>
              <w:rPr>
                <w:rFonts w:ascii="Aptos" w:hAnsi="Aptos"/>
                <w:sz w:val="15"/>
              </w:rPr>
              <w:t>Launch Record</w:t>
            </w:r>
          </w:p>
        </w:tc>
      </w:tr>
      <w:tr>
        <w:tc>
          <w:tcPr>
            <w:tcW w:type="dxa" w:w="1728"/>
            <w:tcMar>
              <w:top w:w="110" w:type="dxa"/>
              <w:start w:w="110" w:type="dxa"/>
              <w:bottom w:w="110" w:type="dxa"/>
              <w:end w:w="110" w:type="dxa"/>
            </w:tcMar>
            <w:vAlign w:val="center"/>
          </w:tcPr>
          <w:p>
            <w:pPr>
              <w:spacing w:after="0" w:line="240" w:lineRule="auto"/>
            </w:pPr>
            <w:r>
              <w:rPr>
                <w:rFonts w:ascii="Aptos" w:hAnsi="Aptos"/>
                <w:sz w:val="15"/>
              </w:rPr>
              <w:t>Transition</w:t>
            </w:r>
          </w:p>
        </w:tc>
        <w:tc>
          <w:tcPr>
            <w:tcW w:type="dxa" w:w="5904"/>
            <w:tcMar>
              <w:top w:w="110" w:type="dxa"/>
              <w:start w:w="110" w:type="dxa"/>
              <w:bottom w:w="110" w:type="dxa"/>
              <w:end w:w="110" w:type="dxa"/>
            </w:tcMar>
            <w:vAlign w:val="center"/>
          </w:tcPr>
          <w:p>
            <w:pPr>
              <w:spacing w:after="0" w:line="240" w:lineRule="auto"/>
            </w:pPr>
            <w:r>
              <w:rPr>
                <w:rFonts w:ascii="Aptos" w:hAnsi="Aptos"/>
                <w:sz w:val="15"/>
              </w:rPr>
              <w:t>Document ownership, open items, systems, measurement, content governance, and ongoing route.</w:t>
            </w:r>
          </w:p>
        </w:tc>
        <w:tc>
          <w:tcPr>
            <w:tcW w:type="dxa" w:w="3168"/>
            <w:tcMar>
              <w:top w:w="110" w:type="dxa"/>
              <w:start w:w="110" w:type="dxa"/>
              <w:bottom w:w="110" w:type="dxa"/>
              <w:end w:w="110" w:type="dxa"/>
            </w:tcMar>
            <w:vAlign w:val="center"/>
          </w:tcPr>
          <w:p>
            <w:pPr>
              <w:spacing w:after="0" w:line="240" w:lineRule="auto"/>
            </w:pPr>
            <w:r>
              <w:rPr>
                <w:rFonts w:ascii="Aptos" w:hAnsi="Aptos"/>
                <w:sz w:val="15"/>
              </w:rPr>
              <w:t>Ownership Handoff</w:t>
            </w:r>
          </w:p>
        </w:tc>
      </w:tr>
    </w:tbl>
    <w:p>
      <w:pPr>
        <w:spacing w:after="20"/>
      </w:pPr>
    </w:p>
    <w:p>
      <w:pPr>
        <w:pStyle w:val="Heading1"/>
      </w:pPr>
      <w:r>
        <w:t>What We Need From Northstar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320"/>
            <w:shd w:fill="173B56"/>
            <w:tcMar>
              <w:top w:w="110" w:type="dxa"/>
              <w:start w:w="110" w:type="dxa"/>
              <w:bottom w:w="110" w:type="dxa"/>
              <w:end w:w="110" w:type="dxa"/>
            </w:tcMar>
            <w:vAlign w:val="center"/>
          </w:tcPr>
          <w:p>
            <w:r>
              <w:rPr>
                <w:rFonts w:ascii="Aptos" w:hAnsi="Aptos"/>
                <w:b/>
                <w:color w:val="FFFFFF"/>
                <w:sz w:val="16"/>
              </w:rPr>
              <w:t>Client Responsibility</w:t>
            </w:r>
          </w:p>
        </w:tc>
        <w:tc>
          <w:tcPr>
            <w:tcW w:type="dxa" w:w="5328"/>
            <w:shd w:fill="173B56"/>
            <w:tcMar>
              <w:top w:w="110" w:type="dxa"/>
              <w:start w:w="110" w:type="dxa"/>
              <w:bottom w:w="110" w:type="dxa"/>
              <w:end w:w="110" w:type="dxa"/>
            </w:tcMar>
            <w:vAlign w:val="center"/>
          </w:tcPr>
          <w:p>
            <w:r>
              <w:rPr>
                <w:rFonts w:ascii="Aptos" w:hAnsi="Aptos"/>
                <w:b/>
                <w:color w:val="FFFFFF"/>
                <w:sz w:val="16"/>
              </w:rPr>
              <w:t>Why It Matters</w:t>
            </w:r>
          </w:p>
        </w:tc>
      </w:tr>
      <w:tr>
        <w:tc>
          <w:tcPr>
            <w:tcW w:type="dxa" w:w="4320"/>
            <w:tcMar>
              <w:top w:w="110" w:type="dxa"/>
              <w:start w:w="110" w:type="dxa"/>
              <w:bottom w:w="110" w:type="dxa"/>
              <w:end w:w="110" w:type="dxa"/>
            </w:tcMar>
            <w:vAlign w:val="center"/>
          </w:tcPr>
          <w:p>
            <w:pPr>
              <w:spacing w:after="0" w:line="240" w:lineRule="auto"/>
            </w:pPr>
            <w:r>
              <w:rPr>
                <w:rFonts w:ascii="Aptos" w:hAnsi="Aptos"/>
                <w:sz w:val="16"/>
              </w:rPr>
              <w:t>Timely access to WordPress/hosting, analytics, CRM, Search Console, DNS/domain, forms, and approved third-party systems</w:t>
            </w:r>
          </w:p>
        </w:tc>
        <w:tc>
          <w:tcPr>
            <w:tcW w:type="dxa" w:w="5328"/>
            <w:tcMar>
              <w:top w:w="110" w:type="dxa"/>
              <w:start w:w="110" w:type="dxa"/>
              <w:bottom w:w="110" w:type="dxa"/>
              <w:end w:w="110" w:type="dxa"/>
            </w:tcMar>
            <w:vAlign w:val="center"/>
          </w:tcPr>
          <w:p>
            <w:pPr>
              <w:spacing w:after="0" w:line="240" w:lineRule="auto"/>
            </w:pPr>
            <w:r>
              <w:rPr>
                <w:rFonts w:ascii="Aptos" w:hAnsi="Aptos"/>
                <w:sz w:val="16"/>
              </w:rPr>
              <w:t>Prevents implementation and QA delays.</w:t>
            </w:r>
          </w:p>
        </w:tc>
      </w:tr>
      <w:tr>
        <w:tc>
          <w:tcPr>
            <w:tcW w:type="dxa" w:w="4320"/>
            <w:tcMar>
              <w:top w:w="110" w:type="dxa"/>
              <w:start w:w="110" w:type="dxa"/>
              <w:bottom w:w="110" w:type="dxa"/>
              <w:end w:w="110" w:type="dxa"/>
            </w:tcMar>
            <w:vAlign w:val="center"/>
          </w:tcPr>
          <w:p>
            <w:pPr>
              <w:spacing w:after="0" w:line="240" w:lineRule="auto"/>
            </w:pPr>
            <w:r>
              <w:rPr>
                <w:rFonts w:ascii="Aptos" w:hAnsi="Aptos"/>
                <w:sz w:val="16"/>
              </w:rPr>
              <w:t>Approved proof, testimonials, logos, case evidence, guarantee/claim documentation, and permissions</w:t>
            </w:r>
          </w:p>
        </w:tc>
        <w:tc>
          <w:tcPr>
            <w:tcW w:type="dxa" w:w="5328"/>
            <w:tcMar>
              <w:top w:w="110" w:type="dxa"/>
              <w:start w:w="110" w:type="dxa"/>
              <w:bottom w:w="110" w:type="dxa"/>
              <w:end w:w="110" w:type="dxa"/>
            </w:tcMar>
            <w:vAlign w:val="center"/>
          </w:tcPr>
          <w:p>
            <w:pPr>
              <w:spacing w:after="0" w:line="240" w:lineRule="auto"/>
            </w:pPr>
            <w:r>
              <w:rPr>
                <w:rFonts w:ascii="Aptos" w:hAnsi="Aptos"/>
                <w:sz w:val="16"/>
              </w:rPr>
              <w:t>Allows SimpliCreative to use strong evidence without inventing or overclaiming.</w:t>
            </w:r>
          </w:p>
        </w:tc>
      </w:tr>
      <w:tr>
        <w:tc>
          <w:tcPr>
            <w:tcW w:type="dxa" w:w="4320"/>
            <w:tcMar>
              <w:top w:w="110" w:type="dxa"/>
              <w:start w:w="110" w:type="dxa"/>
              <w:bottom w:w="110" w:type="dxa"/>
              <w:end w:w="110" w:type="dxa"/>
            </w:tcMar>
            <w:vAlign w:val="center"/>
          </w:tcPr>
          <w:p>
            <w:pPr>
              <w:spacing w:after="0" w:line="240" w:lineRule="auto"/>
            </w:pPr>
            <w:r>
              <w:rPr>
                <w:rFonts w:ascii="Aptos" w:hAnsi="Aptos"/>
                <w:sz w:val="16"/>
              </w:rPr>
              <w:t>Subject-matter access and stakeholder participation</w:t>
            </w:r>
          </w:p>
        </w:tc>
        <w:tc>
          <w:tcPr>
            <w:tcW w:type="dxa" w:w="5328"/>
            <w:tcMar>
              <w:top w:w="110" w:type="dxa"/>
              <w:start w:w="110" w:type="dxa"/>
              <w:bottom w:w="110" w:type="dxa"/>
              <w:end w:w="110" w:type="dxa"/>
            </w:tcMar>
            <w:vAlign w:val="center"/>
          </w:tcPr>
          <w:p>
            <w:pPr>
              <w:spacing w:after="0" w:line="240" w:lineRule="auto"/>
            </w:pPr>
            <w:r>
              <w:rPr>
                <w:rFonts w:ascii="Aptos" w:hAnsi="Aptos"/>
                <w:sz w:val="16"/>
              </w:rPr>
              <w:t>Supports content accuracy, decisions, and approval.</w:t>
            </w:r>
          </w:p>
        </w:tc>
      </w:tr>
      <w:tr>
        <w:tc>
          <w:tcPr>
            <w:tcW w:type="dxa" w:w="4320"/>
            <w:tcMar>
              <w:top w:w="110" w:type="dxa"/>
              <w:start w:w="110" w:type="dxa"/>
              <w:bottom w:w="110" w:type="dxa"/>
              <w:end w:w="110" w:type="dxa"/>
            </w:tcMar>
            <w:vAlign w:val="center"/>
          </w:tcPr>
          <w:p>
            <w:pPr>
              <w:spacing w:after="0" w:line="240" w:lineRule="auto"/>
            </w:pPr>
            <w:r>
              <w:rPr>
                <w:rFonts w:ascii="Aptos" w:hAnsi="Aptos"/>
                <w:sz w:val="16"/>
              </w:rPr>
              <w:t>Consolidated review and approvals</w:t>
            </w:r>
          </w:p>
        </w:tc>
        <w:tc>
          <w:tcPr>
            <w:tcW w:type="dxa" w:w="5328"/>
            <w:tcMar>
              <w:top w:w="110" w:type="dxa"/>
              <w:start w:w="110" w:type="dxa"/>
              <w:bottom w:w="110" w:type="dxa"/>
              <w:end w:w="110" w:type="dxa"/>
            </w:tcMar>
            <w:vAlign w:val="center"/>
          </w:tcPr>
          <w:p>
            <w:pPr>
              <w:spacing w:after="0" w:line="240" w:lineRule="auto"/>
            </w:pPr>
            <w:r>
              <w:rPr>
                <w:rFonts w:ascii="Aptos" w:hAnsi="Aptos"/>
                <w:sz w:val="16"/>
              </w:rPr>
              <w:t>Keeps design, copy, architecture, and build decisions moving.</w:t>
            </w:r>
          </w:p>
        </w:tc>
      </w:tr>
      <w:tr>
        <w:tc>
          <w:tcPr>
            <w:tcW w:type="dxa" w:w="4320"/>
            <w:tcMar>
              <w:top w:w="110" w:type="dxa"/>
              <w:start w:w="110" w:type="dxa"/>
              <w:bottom w:w="110" w:type="dxa"/>
              <w:end w:w="110" w:type="dxa"/>
            </w:tcMar>
            <w:vAlign w:val="center"/>
          </w:tcPr>
          <w:p>
            <w:pPr>
              <w:spacing w:after="0" w:line="240" w:lineRule="auto"/>
            </w:pPr>
            <w:r>
              <w:rPr>
                <w:rFonts w:ascii="Aptos" w:hAnsi="Aptos"/>
                <w:sz w:val="16"/>
              </w:rPr>
              <w:t>Current CRM / lifecycle / routing information</w:t>
            </w:r>
          </w:p>
        </w:tc>
        <w:tc>
          <w:tcPr>
            <w:tcW w:type="dxa" w:w="5328"/>
            <w:tcMar>
              <w:top w:w="110" w:type="dxa"/>
              <w:start w:w="110" w:type="dxa"/>
              <w:bottom w:w="110" w:type="dxa"/>
              <w:end w:w="110" w:type="dxa"/>
            </w:tcMar>
            <w:vAlign w:val="center"/>
          </w:tcPr>
          <w:p>
            <w:pPr>
              <w:spacing w:after="0" w:line="240" w:lineRule="auto"/>
            </w:pPr>
            <w:r>
              <w:rPr>
                <w:rFonts w:ascii="Aptos" w:hAnsi="Aptos"/>
                <w:sz w:val="16"/>
              </w:rPr>
              <w:t>Required for meaningful form, qualification, and measurement implementation.</w:t>
            </w:r>
          </w:p>
        </w:tc>
      </w:tr>
      <w:tr>
        <w:tc>
          <w:tcPr>
            <w:tcW w:type="dxa" w:w="4320"/>
            <w:tcMar>
              <w:top w:w="110" w:type="dxa"/>
              <w:start w:w="110" w:type="dxa"/>
              <w:bottom w:w="110" w:type="dxa"/>
              <w:end w:w="110" w:type="dxa"/>
            </w:tcMar>
            <w:vAlign w:val="center"/>
          </w:tcPr>
          <w:p>
            <w:pPr>
              <w:spacing w:after="0" w:line="240" w:lineRule="auto"/>
            </w:pPr>
            <w:r>
              <w:rPr>
                <w:rFonts w:ascii="Aptos" w:hAnsi="Aptos"/>
                <w:sz w:val="16"/>
              </w:rPr>
              <w:t>Final legal/privacy/compliance requirements</w:t>
            </w:r>
          </w:p>
        </w:tc>
        <w:tc>
          <w:tcPr>
            <w:tcW w:type="dxa" w:w="5328"/>
            <w:tcMar>
              <w:top w:w="110" w:type="dxa"/>
              <w:start w:w="110" w:type="dxa"/>
              <w:bottom w:w="110" w:type="dxa"/>
              <w:end w:w="110" w:type="dxa"/>
            </w:tcMar>
            <w:vAlign w:val="center"/>
          </w:tcPr>
          <w:p>
            <w:pPr>
              <w:spacing w:after="0" w:line="240" w:lineRule="auto"/>
            </w:pPr>
            <w:r>
              <w:rPr>
                <w:rFonts w:ascii="Aptos" w:hAnsi="Aptos"/>
                <w:sz w:val="16"/>
              </w:rPr>
              <w:t>Required before launch where relevant.</w:t>
            </w:r>
          </w:p>
        </w:tc>
      </w:tr>
      <w:tr>
        <w:tc>
          <w:tcPr>
            <w:tcW w:type="dxa" w:w="4320"/>
            <w:tcMar>
              <w:top w:w="110" w:type="dxa"/>
              <w:start w:w="110" w:type="dxa"/>
              <w:bottom w:w="110" w:type="dxa"/>
              <w:end w:w="110" w:type="dxa"/>
            </w:tcMar>
            <w:vAlign w:val="center"/>
          </w:tcPr>
          <w:p>
            <w:pPr>
              <w:spacing w:after="0" w:line="240" w:lineRule="auto"/>
            </w:pPr>
            <w:r>
              <w:rPr>
                <w:rFonts w:ascii="Aptos" w:hAnsi="Aptos"/>
                <w:sz w:val="16"/>
              </w:rPr>
              <w:t>Ownership decisions for post-launch systems and publishing</w:t>
            </w:r>
          </w:p>
        </w:tc>
        <w:tc>
          <w:tcPr>
            <w:tcW w:type="dxa" w:w="5328"/>
            <w:tcMar>
              <w:top w:w="110" w:type="dxa"/>
              <w:start w:w="110" w:type="dxa"/>
              <w:bottom w:w="110" w:type="dxa"/>
              <w:end w:w="110" w:type="dxa"/>
            </w:tcMar>
            <w:vAlign w:val="center"/>
          </w:tcPr>
          <w:p>
            <w:pPr>
              <w:spacing w:after="0" w:line="240" w:lineRule="auto"/>
            </w:pPr>
            <w:r>
              <w:rPr>
                <w:rFonts w:ascii="Aptos" w:hAnsi="Aptos"/>
                <w:sz w:val="16"/>
              </w:rPr>
              <w:t>Ensures Foundation closes with clear ongoing responsibility.</w:t>
            </w:r>
          </w:p>
        </w:tc>
      </w:tr>
    </w:tbl>
    <w:p>
      <w:pPr>
        <w:spacing w:after="20"/>
      </w:pPr>
    </w:p>
    <w:p>
      <w:pPr>
        <w:pStyle w:val="Heading1"/>
      </w:pPr>
      <w:r>
        <w:t>Scope Assumptions</w:t>
      </w:r>
    </w:p>
    <w:p>
      <w:pPr>
        <w:spacing w:after="120"/>
      </w:pPr>
      <w:r>
        <w:rPr>
          <w:rFonts w:ascii="Aptos" w:hAnsi="Aptos"/>
          <w:b w:val="0"/>
        </w:rPr>
        <w:t>Because this is a full-scope demonstration rather than a completed commercial scoping record, the following assumptions must be replaced with the approved Blueprint/Foundation Scoping inputs before this proposal is sent.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464"/>
            <w:shd w:fill="173B56"/>
            <w:tcMar>
              <w:top w:w="110" w:type="dxa"/>
              <w:start w:w="110" w:type="dxa"/>
              <w:bottom w:w="110" w:type="dxa"/>
              <w:end w:w="110" w:type="dxa"/>
            </w:tcMar>
            <w:vAlign w:val="center"/>
          </w:tcPr>
          <w:p>
            <w:r>
              <w:rPr>
                <w:rFonts w:ascii="Aptos" w:hAnsi="Aptos"/>
                <w:b/>
                <w:color w:val="FFFFFF"/>
                <w:sz w:val="15"/>
              </w:rPr>
              <w:t>Assumption</w:t>
            </w:r>
          </w:p>
        </w:tc>
        <w:tc>
          <w:tcPr>
            <w:tcW w:type="dxa" w:w="5184"/>
            <w:shd w:fill="173B56"/>
            <w:tcMar>
              <w:top w:w="110" w:type="dxa"/>
              <w:start w:w="110" w:type="dxa"/>
              <w:bottom w:w="110" w:type="dxa"/>
              <w:end w:w="110" w:type="dxa"/>
            </w:tcMar>
            <w:vAlign w:val="center"/>
          </w:tcPr>
          <w:p>
            <w:r>
              <w:rPr>
                <w:rFonts w:ascii="Aptos" w:hAnsi="Aptos"/>
                <w:b/>
                <w:color w:val="FFFFFF"/>
                <w:sz w:val="15"/>
              </w:rPr>
              <w:t>Commercial Handling</w:t>
            </w:r>
          </w:p>
        </w:tc>
      </w:tr>
      <w:tr>
        <w:tc>
          <w:tcPr>
            <w:tcW w:type="dxa" w:w="4464"/>
            <w:tcMar>
              <w:top w:w="110" w:type="dxa"/>
              <w:start w:w="110" w:type="dxa"/>
              <w:bottom w:w="110" w:type="dxa"/>
              <w:end w:w="110" w:type="dxa"/>
            </w:tcMar>
            <w:vAlign w:val="center"/>
          </w:tcPr>
          <w:p>
            <w:pPr>
              <w:spacing w:after="0" w:line="240" w:lineRule="auto"/>
            </w:pPr>
            <w:r>
              <w:rPr>
                <w:rFonts w:ascii="Aptos" w:hAnsi="Aptos"/>
                <w:sz w:val="15"/>
              </w:rPr>
              <w:t>One primary organization and one primary website</w:t>
            </w:r>
          </w:p>
        </w:tc>
        <w:tc>
          <w:tcPr>
            <w:tcW w:type="dxa" w:w="5184"/>
            <w:tcMar>
              <w:top w:w="110" w:type="dxa"/>
              <w:start w:w="110" w:type="dxa"/>
              <w:bottom w:w="110" w:type="dxa"/>
              <w:end w:w="110" w:type="dxa"/>
            </w:tcMar>
            <w:vAlign w:val="center"/>
          </w:tcPr>
          <w:p>
            <w:pPr>
              <w:spacing w:after="0" w:line="240" w:lineRule="auto"/>
            </w:pPr>
            <w:r>
              <w:rPr>
                <w:rFonts w:ascii="Aptos" w:hAnsi="Aptos"/>
                <w:sz w:val="15"/>
              </w:rPr>
              <w:t>Multiple brands, websites, regions, or languages require additional complexity review.</w:t>
            </w:r>
          </w:p>
        </w:tc>
      </w:tr>
      <w:tr>
        <w:tc>
          <w:tcPr>
            <w:tcW w:type="dxa" w:w="4464"/>
            <w:tcMar>
              <w:top w:w="110" w:type="dxa"/>
              <w:start w:w="110" w:type="dxa"/>
              <w:bottom w:w="110" w:type="dxa"/>
              <w:end w:w="110" w:type="dxa"/>
            </w:tcMar>
            <w:vAlign w:val="center"/>
          </w:tcPr>
          <w:p>
            <w:pPr>
              <w:spacing w:after="0" w:line="240" w:lineRule="auto"/>
            </w:pPr>
            <w:r>
              <w:rPr>
                <w:rFonts w:ascii="Aptos" w:hAnsi="Aptos"/>
                <w:sz w:val="15"/>
              </w:rPr>
              <w:t>Custom WordPress implementation</w:t>
            </w:r>
          </w:p>
        </w:tc>
        <w:tc>
          <w:tcPr>
            <w:tcW w:type="dxa" w:w="5184"/>
            <w:tcMar>
              <w:top w:w="110" w:type="dxa"/>
              <w:start w:w="110" w:type="dxa"/>
              <w:bottom w:w="110" w:type="dxa"/>
              <w:end w:w="110" w:type="dxa"/>
            </w:tcMar>
            <w:vAlign w:val="center"/>
          </w:tcPr>
          <w:p>
            <w:pPr>
              <w:spacing w:after="0" w:line="240" w:lineRule="auto"/>
            </w:pPr>
            <w:r>
              <w:rPr>
                <w:rFonts w:ascii="Aptos" w:hAnsi="Aptos"/>
                <w:sz w:val="15"/>
              </w:rPr>
              <w:t>Different CMS/platform requirements require technical and commercial review.</w:t>
            </w:r>
          </w:p>
        </w:tc>
      </w:tr>
      <w:tr>
        <w:tc>
          <w:tcPr>
            <w:tcW w:type="dxa" w:w="4464"/>
            <w:tcMar>
              <w:top w:w="110" w:type="dxa"/>
              <w:start w:w="110" w:type="dxa"/>
              <w:bottom w:w="110" w:type="dxa"/>
              <w:end w:w="110" w:type="dxa"/>
            </w:tcMar>
            <w:vAlign w:val="center"/>
          </w:tcPr>
          <w:p>
            <w:pPr>
              <w:spacing w:after="0" w:line="240" w:lineRule="auto"/>
            </w:pPr>
            <w:r>
              <w:rPr>
                <w:rFonts w:ascii="Aptos" w:hAnsi="Aptos"/>
                <w:sz w:val="15"/>
              </w:rPr>
              <w:t>Normal stakeholder group</w:t>
            </w:r>
          </w:p>
        </w:tc>
        <w:tc>
          <w:tcPr>
            <w:tcW w:type="dxa" w:w="5184"/>
            <w:tcMar>
              <w:top w:w="110" w:type="dxa"/>
              <w:start w:w="110" w:type="dxa"/>
              <w:bottom w:w="110" w:type="dxa"/>
              <w:end w:w="110" w:type="dxa"/>
            </w:tcMar>
            <w:vAlign w:val="center"/>
          </w:tcPr>
          <w:p>
            <w:pPr>
              <w:spacing w:after="0" w:line="240" w:lineRule="auto"/>
            </w:pPr>
            <w:r>
              <w:rPr>
                <w:rFonts w:ascii="Aptos" w:hAnsi="Aptos"/>
                <w:sz w:val="15"/>
              </w:rPr>
              <w:t>More than five active stakeholders is an automatic Foundation human-review trigger.</w:t>
            </w:r>
          </w:p>
        </w:tc>
      </w:tr>
      <w:tr>
        <w:tc>
          <w:tcPr>
            <w:tcW w:type="dxa" w:w="4464"/>
            <w:tcMar>
              <w:top w:w="110" w:type="dxa"/>
              <w:start w:w="110" w:type="dxa"/>
              <w:bottom w:w="110" w:type="dxa"/>
              <w:end w:w="110" w:type="dxa"/>
            </w:tcMar>
            <w:vAlign w:val="center"/>
          </w:tcPr>
          <w:p>
            <w:pPr>
              <w:spacing w:after="0" w:line="240" w:lineRule="auto"/>
            </w:pPr>
            <w:r>
              <w:rPr>
                <w:rFonts w:ascii="Aptos" w:hAnsi="Aptos"/>
                <w:sz w:val="15"/>
              </w:rPr>
              <w:t>Approved strategic direction exists</w:t>
            </w:r>
          </w:p>
        </w:tc>
        <w:tc>
          <w:tcPr>
            <w:tcW w:type="dxa" w:w="5184"/>
            <w:tcMar>
              <w:top w:w="110" w:type="dxa"/>
              <w:start w:w="110" w:type="dxa"/>
              <w:bottom w:w="110" w:type="dxa"/>
              <w:end w:w="110" w:type="dxa"/>
            </w:tcMar>
            <w:vAlign w:val="center"/>
          </w:tcPr>
          <w:p>
            <w:pPr>
              <w:spacing w:after="0" w:line="240" w:lineRule="auto"/>
            </w:pPr>
            <w:r>
              <w:rPr>
                <w:rFonts w:ascii="Aptos" w:hAnsi="Aptos"/>
                <w:sz w:val="15"/>
              </w:rPr>
              <w:t>Material strategy changes during Foundation may require strategic review and scope impact assessment.</w:t>
            </w:r>
          </w:p>
        </w:tc>
      </w:tr>
      <w:tr>
        <w:tc>
          <w:tcPr>
            <w:tcW w:type="dxa" w:w="4464"/>
            <w:tcMar>
              <w:top w:w="110" w:type="dxa"/>
              <w:start w:w="110" w:type="dxa"/>
              <w:bottom w:w="110" w:type="dxa"/>
              <w:end w:w="110" w:type="dxa"/>
            </w:tcMar>
            <w:vAlign w:val="center"/>
          </w:tcPr>
          <w:p>
            <w:pPr>
              <w:spacing w:after="0" w:line="240" w:lineRule="auto"/>
            </w:pPr>
            <w:r>
              <w:rPr>
                <w:rFonts w:ascii="Aptos" w:hAnsi="Aptos"/>
                <w:sz w:val="15"/>
              </w:rPr>
              <w:t>Integrations are limited to defined approved systems</w:t>
            </w:r>
          </w:p>
        </w:tc>
        <w:tc>
          <w:tcPr>
            <w:tcW w:type="dxa" w:w="5184"/>
            <w:tcMar>
              <w:top w:w="110" w:type="dxa"/>
              <w:start w:w="110" w:type="dxa"/>
              <w:bottom w:w="110" w:type="dxa"/>
              <w:end w:w="110" w:type="dxa"/>
            </w:tcMar>
            <w:vAlign w:val="center"/>
          </w:tcPr>
          <w:p>
            <w:pPr>
              <w:spacing w:after="0" w:line="240" w:lineRule="auto"/>
            </w:pPr>
            <w:r>
              <w:rPr>
                <w:rFonts w:ascii="Aptos" w:hAnsi="Aptos"/>
                <w:sz w:val="15"/>
              </w:rPr>
              <w:t>Custom APIs, ERP, extensive CRM architecture, or custom application functionality require technical and pricing review.</w:t>
            </w:r>
          </w:p>
        </w:tc>
      </w:tr>
      <w:tr>
        <w:tc>
          <w:tcPr>
            <w:tcW w:type="dxa" w:w="4464"/>
            <w:tcMar>
              <w:top w:w="110" w:type="dxa"/>
              <w:start w:w="110" w:type="dxa"/>
              <w:bottom w:w="110" w:type="dxa"/>
              <w:end w:w="110" w:type="dxa"/>
            </w:tcMar>
            <w:vAlign w:val="center"/>
          </w:tcPr>
          <w:p>
            <w:pPr>
              <w:spacing w:after="0" w:line="240" w:lineRule="auto"/>
            </w:pPr>
            <w:r>
              <w:rPr>
                <w:rFonts w:ascii="Aptos" w:hAnsi="Aptos"/>
                <w:sz w:val="15"/>
              </w:rPr>
              <w:t>Migration volume and content responsibilities are known before final pricing</w:t>
            </w:r>
          </w:p>
        </w:tc>
        <w:tc>
          <w:tcPr>
            <w:tcW w:type="dxa" w:w="5184"/>
            <w:tcMar>
              <w:top w:w="110" w:type="dxa"/>
              <w:start w:w="110" w:type="dxa"/>
              <w:bottom w:w="110" w:type="dxa"/>
              <w:end w:w="110" w:type="dxa"/>
            </w:tcMar>
            <w:vAlign w:val="center"/>
          </w:tcPr>
          <w:p>
            <w:pPr>
              <w:spacing w:after="0" w:line="240" w:lineRule="auto"/>
            </w:pPr>
            <w:r>
              <w:rPr>
                <w:rFonts w:ascii="Aptos" w:hAnsi="Aptos"/>
                <w:sz w:val="15"/>
              </w:rPr>
              <w:t>Extensive migration/content creation can materially change scope and delivery economics.</w:t>
            </w:r>
          </w:p>
        </w:tc>
      </w:tr>
      <w:tr>
        <w:tc>
          <w:tcPr>
            <w:tcW w:type="dxa" w:w="4464"/>
            <w:tcMar>
              <w:top w:w="110" w:type="dxa"/>
              <w:start w:w="110" w:type="dxa"/>
              <w:bottom w:w="110" w:type="dxa"/>
              <w:end w:w="110" w:type="dxa"/>
            </w:tcMar>
            <w:vAlign w:val="center"/>
          </w:tcPr>
          <w:p>
            <w:pPr>
              <w:spacing w:after="0" w:line="240" w:lineRule="auto"/>
            </w:pPr>
            <w:r>
              <w:rPr>
                <w:rFonts w:ascii="Aptos" w:hAnsi="Aptos"/>
                <w:sz w:val="15"/>
              </w:rPr>
              <w:t>Timeline is not materially compressed</w:t>
            </w:r>
          </w:p>
        </w:tc>
        <w:tc>
          <w:tcPr>
            <w:tcW w:type="dxa" w:w="5184"/>
            <w:tcMar>
              <w:top w:w="110" w:type="dxa"/>
              <w:start w:w="110" w:type="dxa"/>
              <w:bottom w:w="110" w:type="dxa"/>
              <w:end w:w="110" w:type="dxa"/>
            </w:tcMar>
            <w:vAlign w:val="center"/>
          </w:tcPr>
          <w:p>
            <w:pPr>
              <w:spacing w:after="0" w:line="240" w:lineRule="auto"/>
            </w:pPr>
            <w:r>
              <w:rPr>
                <w:rFonts w:ascii="Aptos" w:hAnsi="Aptos"/>
                <w:sz w:val="15"/>
              </w:rPr>
              <w:t>Compressed timelines require delivery-risk and pricing review.</w:t>
            </w:r>
          </w:p>
        </w:tc>
      </w:tr>
    </w:tbl>
    <w:p>
      <w:pPr>
        <w:spacing w:after="20"/>
      </w:pPr>
    </w:p>
    <w:p>
      <w:pPr>
        <w:pStyle w:val="Heading1"/>
      </w:pPr>
      <w:r>
        <w:t>Not Included Unless Explicitly Added to the Approved Scope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173B56"/>
            <w:tcMar>
              <w:top w:w="110" w:type="dxa"/>
              <w:start w:w="110" w:type="dxa"/>
              <w:bottom w:w="110" w:type="dxa"/>
              <w:end w:w="110" w:type="dxa"/>
            </w:tcMar>
            <w:vAlign w:val="center"/>
          </w:tcPr>
          <w:p>
            <w:r>
              <w:rPr>
                <w:rFonts w:ascii="Aptos" w:hAnsi="Aptos"/>
                <w:b/>
                <w:color w:val="FFFFFF"/>
                <w:sz w:val="15"/>
              </w:rPr>
              <w:t>Potential Out-of-Scope Area</w:t>
            </w:r>
          </w:p>
        </w:tc>
        <w:tc>
          <w:tcPr>
            <w:tcW w:type="dxa" w:w="5040"/>
            <w:shd w:fill="173B56"/>
            <w:tcMar>
              <w:top w:w="110" w:type="dxa"/>
              <w:start w:w="110" w:type="dxa"/>
              <w:bottom w:w="110" w:type="dxa"/>
              <w:end w:w="110" w:type="dxa"/>
            </w:tcMar>
            <w:vAlign w:val="center"/>
          </w:tcPr>
          <w:p>
            <w:r>
              <w:rPr>
                <w:rFonts w:ascii="Aptos" w:hAnsi="Aptos"/>
                <w:b/>
                <w:color w:val="FFFFFF"/>
                <w:sz w:val="15"/>
              </w:rPr>
              <w:t>Treatment</w:t>
            </w:r>
          </w:p>
        </w:tc>
      </w:tr>
      <w:tr>
        <w:tc>
          <w:tcPr>
            <w:tcW w:type="dxa" w:w="4608"/>
            <w:tcMar>
              <w:top w:w="110" w:type="dxa"/>
              <w:start w:w="110" w:type="dxa"/>
              <w:bottom w:w="110" w:type="dxa"/>
              <w:end w:w="110" w:type="dxa"/>
            </w:tcMar>
            <w:vAlign w:val="center"/>
          </w:tcPr>
          <w:p>
            <w:pPr>
              <w:spacing w:after="0" w:line="240" w:lineRule="auto"/>
            </w:pPr>
            <w:r>
              <w:rPr>
                <w:rFonts w:ascii="Aptos" w:hAnsi="Aptos"/>
                <w:sz w:val="15"/>
              </w:rPr>
              <w:t>New business/brand strategy beyond the approved Blueprint</w:t>
            </w:r>
          </w:p>
        </w:tc>
        <w:tc>
          <w:tcPr>
            <w:tcW w:type="dxa" w:w="5040"/>
            <w:tcMar>
              <w:top w:w="110" w:type="dxa"/>
              <w:start w:w="110" w:type="dxa"/>
              <w:bottom w:w="110" w:type="dxa"/>
              <w:end w:w="110" w:type="dxa"/>
            </w:tcMar>
            <w:vAlign w:val="center"/>
          </w:tcPr>
          <w:p>
            <w:pPr>
              <w:spacing w:after="0" w:line="240" w:lineRule="auto"/>
            </w:pPr>
            <w:r>
              <w:rPr>
                <w:rFonts w:ascii="Aptos" w:hAnsi="Aptos"/>
                <w:sz w:val="15"/>
              </w:rPr>
              <w:t>Strategic review / separate scope if material.</w:t>
            </w:r>
          </w:p>
        </w:tc>
      </w:tr>
      <w:tr>
        <w:tc>
          <w:tcPr>
            <w:tcW w:type="dxa" w:w="4608"/>
            <w:tcMar>
              <w:top w:w="110" w:type="dxa"/>
              <w:start w:w="110" w:type="dxa"/>
              <w:bottom w:w="110" w:type="dxa"/>
              <w:end w:w="110" w:type="dxa"/>
            </w:tcMar>
            <w:vAlign w:val="center"/>
          </w:tcPr>
          <w:p>
            <w:pPr>
              <w:spacing w:after="0" w:line="240" w:lineRule="auto"/>
            </w:pPr>
            <w:r>
              <w:rPr>
                <w:rFonts w:ascii="Aptos" w:hAnsi="Aptos"/>
                <w:sz w:val="15"/>
              </w:rPr>
              <w:t>Multiple additional websites, brands, regions, languages, or localization programs</w:t>
            </w:r>
          </w:p>
        </w:tc>
        <w:tc>
          <w:tcPr>
            <w:tcW w:type="dxa" w:w="5040"/>
            <w:tcMar>
              <w:top w:w="110" w:type="dxa"/>
              <w:start w:w="110" w:type="dxa"/>
              <w:bottom w:w="110" w:type="dxa"/>
              <w:end w:w="110" w:type="dxa"/>
            </w:tcMar>
            <w:vAlign w:val="center"/>
          </w:tcPr>
          <w:p>
            <w:pPr>
              <w:spacing w:after="0" w:line="240" w:lineRule="auto"/>
            </w:pPr>
            <w:r>
              <w:rPr>
                <w:rFonts w:ascii="Aptos" w:hAnsi="Aptos"/>
                <w:sz w:val="15"/>
              </w:rPr>
              <w:t>Custom Foundation review.</w:t>
            </w:r>
          </w:p>
        </w:tc>
      </w:tr>
      <w:tr>
        <w:tc>
          <w:tcPr>
            <w:tcW w:type="dxa" w:w="4608"/>
            <w:tcMar>
              <w:top w:w="110" w:type="dxa"/>
              <w:start w:w="110" w:type="dxa"/>
              <w:bottom w:w="110" w:type="dxa"/>
              <w:end w:w="110" w:type="dxa"/>
            </w:tcMar>
            <w:vAlign w:val="center"/>
          </w:tcPr>
          <w:p>
            <w:pPr>
              <w:spacing w:after="0" w:line="240" w:lineRule="auto"/>
            </w:pPr>
            <w:r>
              <w:rPr>
                <w:rFonts w:ascii="Aptos" w:hAnsi="Aptos"/>
                <w:sz w:val="15"/>
              </w:rPr>
              <w:t>Custom applications, portals, ERP, or complex API development</w:t>
            </w:r>
          </w:p>
        </w:tc>
        <w:tc>
          <w:tcPr>
            <w:tcW w:type="dxa" w:w="5040"/>
            <w:tcMar>
              <w:top w:w="110" w:type="dxa"/>
              <w:start w:w="110" w:type="dxa"/>
              <w:bottom w:w="110" w:type="dxa"/>
              <w:end w:w="110" w:type="dxa"/>
            </w:tcMar>
            <w:vAlign w:val="center"/>
          </w:tcPr>
          <w:p>
            <w:pPr>
              <w:spacing w:after="0" w:line="240" w:lineRule="auto"/>
            </w:pPr>
            <w:r>
              <w:rPr>
                <w:rFonts w:ascii="Aptos" w:hAnsi="Aptos"/>
                <w:sz w:val="15"/>
              </w:rPr>
              <w:t>Technical review + custom commercial scope.</w:t>
            </w:r>
          </w:p>
        </w:tc>
      </w:tr>
      <w:tr>
        <w:tc>
          <w:tcPr>
            <w:tcW w:type="dxa" w:w="4608"/>
            <w:tcMar>
              <w:top w:w="110" w:type="dxa"/>
              <w:start w:w="110" w:type="dxa"/>
              <w:bottom w:w="110" w:type="dxa"/>
              <w:end w:w="110" w:type="dxa"/>
            </w:tcMar>
            <w:vAlign w:val="center"/>
          </w:tcPr>
          <w:p>
            <w:pPr>
              <w:spacing w:after="0" w:line="240" w:lineRule="auto"/>
            </w:pPr>
            <w:r>
              <w:rPr>
                <w:rFonts w:ascii="Aptos" w:hAnsi="Aptos"/>
                <w:sz w:val="15"/>
              </w:rPr>
              <w:t>Ongoing paid media management, campaign production, or broad recurring content production</w:t>
            </w:r>
          </w:p>
        </w:tc>
        <w:tc>
          <w:tcPr>
            <w:tcW w:type="dxa" w:w="5040"/>
            <w:tcMar>
              <w:top w:w="110" w:type="dxa"/>
              <w:start w:w="110" w:type="dxa"/>
              <w:bottom w:w="110" w:type="dxa"/>
              <w:end w:w="110" w:type="dxa"/>
            </w:tcMar>
            <w:vAlign w:val="center"/>
          </w:tcPr>
          <w:p>
            <w:pPr>
              <w:spacing w:after="0" w:line="240" w:lineRule="auto"/>
            </w:pPr>
            <w:r>
              <w:rPr>
                <w:rFonts w:ascii="Aptos" w:hAnsi="Aptos"/>
                <w:sz w:val="15"/>
              </w:rPr>
              <w:t>Handled through separate engagement or appropriate SimpliCARE scope.</w:t>
            </w:r>
          </w:p>
        </w:tc>
      </w:tr>
      <w:tr>
        <w:tc>
          <w:tcPr>
            <w:tcW w:type="dxa" w:w="4608"/>
            <w:tcMar>
              <w:top w:w="110" w:type="dxa"/>
              <w:start w:w="110" w:type="dxa"/>
              <w:bottom w:w="110" w:type="dxa"/>
              <w:end w:w="110" w:type="dxa"/>
            </w:tcMar>
            <w:vAlign w:val="center"/>
          </w:tcPr>
          <w:p>
            <w:pPr>
              <w:spacing w:after="0" w:line="240" w:lineRule="auto"/>
            </w:pPr>
            <w:r>
              <w:rPr>
                <w:rFonts w:ascii="Aptos" w:hAnsi="Aptos"/>
                <w:sz w:val="15"/>
              </w:rPr>
              <w:t>Ongoing hosting/maintenance/security as a standalone responsibility</w:t>
            </w:r>
          </w:p>
        </w:tc>
        <w:tc>
          <w:tcPr>
            <w:tcW w:type="dxa" w:w="5040"/>
            <w:tcMar>
              <w:top w:w="110" w:type="dxa"/>
              <w:start w:w="110" w:type="dxa"/>
              <w:bottom w:w="110" w:type="dxa"/>
              <w:end w:w="110" w:type="dxa"/>
            </w:tcMar>
            <w:vAlign w:val="center"/>
          </w:tcPr>
          <w:p>
            <w:pPr>
              <w:spacing w:after="0" w:line="240" w:lineRule="auto"/>
            </w:pPr>
            <w:r>
              <w:rPr>
                <w:rFonts w:ascii="Aptos" w:hAnsi="Aptos"/>
                <w:sz w:val="15"/>
              </w:rPr>
              <w:t>Defined separately or within the approved ongoing service model.</w:t>
            </w:r>
          </w:p>
        </w:tc>
      </w:tr>
      <w:tr>
        <w:tc>
          <w:tcPr>
            <w:tcW w:type="dxa" w:w="4608"/>
            <w:tcMar>
              <w:top w:w="110" w:type="dxa"/>
              <w:start w:w="110" w:type="dxa"/>
              <w:bottom w:w="110" w:type="dxa"/>
              <w:end w:w="110" w:type="dxa"/>
            </w:tcMar>
            <w:vAlign w:val="center"/>
          </w:tcPr>
          <w:p>
            <w:pPr>
              <w:spacing w:after="0" w:line="240" w:lineRule="auto"/>
            </w:pPr>
            <w:r>
              <w:rPr>
                <w:rFonts w:ascii="Aptos" w:hAnsi="Aptos"/>
                <w:sz w:val="15"/>
              </w:rPr>
              <w:t>Work requested after approval that changes the nature or complexity of the engagement</w:t>
            </w:r>
          </w:p>
        </w:tc>
        <w:tc>
          <w:tcPr>
            <w:tcW w:type="dxa" w:w="5040"/>
            <w:tcMar>
              <w:top w:w="110" w:type="dxa"/>
              <w:start w:w="110" w:type="dxa"/>
              <w:bottom w:w="110" w:type="dxa"/>
              <w:end w:w="110" w:type="dxa"/>
            </w:tcMar>
            <w:vAlign w:val="center"/>
          </w:tcPr>
          <w:p>
            <w:pPr>
              <w:spacing w:after="0" w:line="240" w:lineRule="auto"/>
            </w:pPr>
            <w:r>
              <w:rPr>
                <w:rFonts w:ascii="Aptos" w:hAnsi="Aptos"/>
                <w:sz w:val="15"/>
              </w:rPr>
              <w:t>Change order, rescope, or commercial review.</w:t>
            </w:r>
          </w:p>
        </w:tc>
      </w:tr>
    </w:tbl>
    <w:p>
      <w:pPr>
        <w:spacing w:after="20"/>
      </w:pPr>
    </w:p>
    <w:p>
      <w:pPr>
        <w:pStyle w:val="Heading1"/>
      </w:pPr>
      <w:r>
        <w:t>Investment</w:t>
      </w:r>
    </w:p>
    <w:p>
      <w:pPr>
        <w:spacing w:after="120"/>
      </w:pPr>
      <w:r>
        <w:rPr>
          <w:rFonts w:ascii="Aptos" w:hAnsi="Aptos"/>
          <w:b/>
          <w:color w:val="173B56"/>
          <w:sz w:val="26"/>
        </w:rPr>
        <w:t>SimpliFoundation</w:t>
      </w:r>
    </w:p>
    <w:p>
      <w:pPr>
        <w:spacing w:after="120"/>
      </w:pPr>
      <w:r>
        <w:rPr>
          <w:rFonts w:ascii="Aptos" w:hAnsi="Aptos"/>
          <w:b/>
          <w:color w:val="1B7F79"/>
          <w:sz w:val="36"/>
        </w:rPr>
        <w:t>[HUMAN-APPROVED FIXED INVESTMENT REQUIRED]</w:t>
      </w:r>
    </w:p>
    <w:p>
      <w:pPr>
        <w:spacing w:after="120"/>
      </w:pPr>
      <w:r>
        <w:rPr>
          <w:rFonts w:ascii="Aptos" w:hAnsi="Aptos"/>
          <w:b w:val="0"/>
        </w:rPr>
        <w:t>SimpliFoundation engagements currently start at $35,000. The final client-facing Foundation proposal should normally show one fixed investment, not an internal pricing range.</w:t>
      </w:r>
    </w:p>
    <w:tbl>
      <w:tblPr>
        <w:tblStyle w:val="TableGrid"/>
        <w:tblW w:type="auto" w:w="0"/>
        <w:tblLook w:firstColumn="1" w:firstRow="1" w:lastColumn="0" w:lastRow="0" w:noHBand="0" w:noVBand="1" w:val="04A0"/>
      </w:tblPr>
      <w:tblGrid>
        <w:gridCol w:w="10166"/>
      </w:tblGrid>
      <w:tr>
        <w:tc>
          <w:tcPr>
            <w:tcW w:type="dxa" w:w="10166"/>
            <w:shd w:fill="FCE4D6"/>
            <w:tcMar>
              <w:top w:w="145" w:type="dxa"/>
              <w:start w:w="145" w:type="dxa"/>
              <w:bottom w:w="145" w:type="dxa"/>
              <w:end w:w="145" w:type="dxa"/>
            </w:tcMar>
          </w:tcPr>
          <w:p>
            <w:pPr>
              <w:spacing w:after="0" w:line="252" w:lineRule="auto"/>
            </w:pPr>
            <w:r>
              <w:rPr>
                <w:rFonts w:ascii="Aptos" w:hAnsi="Aptos"/>
                <w:color w:val="4B5563"/>
                <w:sz w:val="18"/>
              </w:rPr>
              <w:t>Pricing Review Required for this demonstration. The current Pricing SOP requires the approved Blueprint, Priority Register, deferred priorities, Foundation Complexity Score, deliverable reference-value validation, SimpliCreative responsibilities, estimated delivery economics, contingency, margin validation, and human commercial approval before a fixed Foundation price is presented. Because those inputs are not all available for this synthetic full-scope scenario, this proposal intentionally does not invent a price.</w:t>
            </w:r>
          </w:p>
        </w:tc>
      </w:tr>
    </w:tbl>
    <w:p>
      <w:pPr>
        <w:spacing w:after="20"/>
      </w:pPr>
    </w:p>
    <w:p>
      <w:pPr>
        <w:pStyle w:val="Heading1"/>
      </w:pPr>
      <w:r>
        <w:t>Commercial Pricing Logic</w:t>
      </w:r>
    </w:p>
    <w:p>
      <w:pPr>
        <w:spacing w:after="120"/>
      </w:pPr>
      <w:r>
        <w:rPr>
          <w:rFonts w:ascii="Aptos" w:hAnsi="Aptos"/>
          <w:b w:val="0"/>
        </w:rPr>
        <w:t>Internally, SimpliCreative validates Foundation pricing through three independent controls: complexity, reference value, and delivery economics. Those controls are not client-facing line items and do not turn Foundation into an à la carte menu.</w:t>
      </w:r>
    </w:p>
    <w:p>
      <w:pPr>
        <w:spacing w:after="120"/>
      </w:pPr>
      <w:r>
        <w:rPr>
          <w:rFonts w:ascii="Aptos" w:hAnsi="Aptos"/>
          <w:b w:val="0"/>
        </w:rPr>
        <w:t>Once the approved implementation scope and economics are complete, the client-facing proposal should replace the placeholder above with one human-approved fixed SimpliFoundation investment.</w:t>
      </w:r>
    </w:p>
    <w:p>
      <w:pPr>
        <w:pStyle w:val="Heading1"/>
      </w:pPr>
      <w:r>
        <w:t>Payment Terms &amp; Schedule</w:t>
      </w:r>
    </w:p>
    <w:p>
      <w:pPr>
        <w:spacing w:after="120"/>
      </w:pPr>
      <w:r>
        <w:rPr>
          <w:rFonts w:ascii="Aptos" w:hAnsi="Aptos"/>
          <w:b w:val="0"/>
        </w:rPr>
        <w:t>Payment schedule, project start date, target timeline, contracting terms, and any nonstandard commercial provisions must be inserted from the current approved commercial source before the proposal is issued.</w:t>
      </w:r>
    </w:p>
    <w:p>
      <w:pPr>
        <w:spacing w:after="120"/>
      </w:pPr>
      <w:r>
        <w:rPr>
          <w:rFonts w:ascii="Aptos" w:hAnsi="Aptos"/>
          <w:b w:val="0"/>
        </w:rPr>
        <w:t>AI may not create payment terms or commit to a timeline that has not been approved.</w:t>
      </w:r>
    </w:p>
    <w:p>
      <w:pPr>
        <w:pStyle w:val="Heading1"/>
      </w:pPr>
      <w:r>
        <w:t>What Happens After Launch</w:t>
      </w:r>
    </w:p>
    <w:p>
      <w:pPr>
        <w:spacing w:after="120"/>
      </w:pPr>
      <w:r>
        <w:rPr>
          <w:rFonts w:ascii="Aptos" w:hAnsi="Aptos"/>
          <w:b w:val="0"/>
        </w:rPr>
        <w:t>Foundation closes with an explicit ownership route rather than leaving the client with an undefined post-launch operating model.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B56"/>
            <w:tcMar>
              <w:top w:w="110" w:type="dxa"/>
              <w:start w:w="110" w:type="dxa"/>
              <w:bottom w:w="110" w:type="dxa"/>
              <w:end w:w="110" w:type="dxa"/>
            </w:tcMar>
            <w:vAlign w:val="center"/>
          </w:tcPr>
          <w:p>
            <w:r>
              <w:rPr>
                <w:rFonts w:ascii="Aptos" w:hAnsi="Aptos"/>
                <w:b/>
                <w:color w:val="FFFFFF"/>
                <w:sz w:val="15"/>
              </w:rPr>
              <w:t>Route</w:t>
            </w:r>
          </w:p>
        </w:tc>
        <w:tc>
          <w:tcPr>
            <w:tcW w:type="dxa" w:w="5328"/>
            <w:shd w:fill="173B56"/>
            <w:tcMar>
              <w:top w:w="110" w:type="dxa"/>
              <w:start w:w="110" w:type="dxa"/>
              <w:bottom w:w="110" w:type="dxa"/>
              <w:end w:w="110" w:type="dxa"/>
            </w:tcMar>
            <w:vAlign w:val="center"/>
          </w:tcPr>
          <w:p>
            <w:r>
              <w:rPr>
                <w:rFonts w:ascii="Aptos" w:hAnsi="Aptos"/>
                <w:b/>
                <w:color w:val="FFFFFF"/>
                <w:sz w:val="15"/>
              </w:rPr>
              <w:t>What It Means</w:t>
            </w:r>
          </w:p>
        </w:tc>
        <w:tc>
          <w:tcPr>
            <w:tcW w:type="dxa" w:w="3744"/>
            <w:shd w:fill="173B56"/>
            <w:tcMar>
              <w:top w:w="110" w:type="dxa"/>
              <w:start w:w="110" w:type="dxa"/>
              <w:bottom w:w="110" w:type="dxa"/>
              <w:end w:w="110" w:type="dxa"/>
            </w:tcMar>
            <w:vAlign w:val="center"/>
          </w:tcPr>
          <w:p>
            <w:r>
              <w:rPr>
                <w:rFonts w:ascii="Aptos" w:hAnsi="Aptos"/>
                <w:b/>
                <w:color w:val="FFFFFF"/>
                <w:sz w:val="15"/>
              </w:rPr>
              <w:t>Current Working Pricing Context</w:t>
            </w:r>
          </w:p>
        </w:tc>
      </w:tr>
      <w:tr>
        <w:tc>
          <w:tcPr>
            <w:tcW w:type="dxa" w:w="2448"/>
            <w:tcMar>
              <w:top w:w="110" w:type="dxa"/>
              <w:start w:w="110" w:type="dxa"/>
              <w:bottom w:w="110" w:type="dxa"/>
              <w:end w:w="110" w:type="dxa"/>
            </w:tcMar>
            <w:vAlign w:val="center"/>
          </w:tcPr>
          <w:p>
            <w:pPr>
              <w:spacing w:after="0" w:line="240" w:lineRule="auto"/>
            </w:pPr>
            <w:r>
              <w:rPr>
                <w:rFonts w:ascii="Aptos" w:hAnsi="Aptos"/>
                <w:sz w:val="15"/>
              </w:rPr>
              <w:t>Client / Partner Ownership</w:t>
            </w:r>
          </w:p>
        </w:tc>
        <w:tc>
          <w:tcPr>
            <w:tcW w:type="dxa" w:w="5328"/>
            <w:tcMar>
              <w:top w:w="110" w:type="dxa"/>
              <w:start w:w="110" w:type="dxa"/>
              <w:bottom w:w="110" w:type="dxa"/>
              <w:end w:w="110" w:type="dxa"/>
            </w:tcMar>
            <w:vAlign w:val="center"/>
          </w:tcPr>
          <w:p>
            <w:pPr>
              <w:spacing w:after="0" w:line="240" w:lineRule="auto"/>
            </w:pPr>
            <w:r>
              <w:rPr>
                <w:rFonts w:ascii="Aptos" w:hAnsi="Aptos"/>
                <w:sz w:val="15"/>
              </w:rPr>
              <w:t>Northstar or an approved partner assumes ongoing website/content/measurement responsibilities using the delivered documentation and governance.</w:t>
            </w:r>
          </w:p>
        </w:tc>
        <w:tc>
          <w:tcPr>
            <w:tcW w:type="dxa" w:w="3744"/>
            <w:tcMar>
              <w:top w:w="110" w:type="dxa"/>
              <w:start w:w="110" w:type="dxa"/>
              <w:bottom w:w="110" w:type="dxa"/>
              <w:end w:w="110" w:type="dxa"/>
            </w:tcMar>
            <w:vAlign w:val="center"/>
          </w:tcPr>
          <w:p>
            <w:pPr>
              <w:spacing w:after="0" w:line="240" w:lineRule="auto"/>
            </w:pPr>
            <w:r>
              <w:rPr>
                <w:rFonts w:ascii="Aptos" w:hAnsi="Aptos"/>
                <w:sz w:val="15"/>
              </w:rPr>
              <w:t>No SimpliCARE commitment required.</w:t>
            </w:r>
          </w:p>
        </w:tc>
      </w:tr>
      <w:tr>
        <w:tc>
          <w:tcPr>
            <w:tcW w:type="dxa" w:w="2448"/>
            <w:tcMar>
              <w:top w:w="110" w:type="dxa"/>
              <w:start w:w="110" w:type="dxa"/>
              <w:bottom w:w="110" w:type="dxa"/>
              <w:end w:w="110" w:type="dxa"/>
            </w:tcMar>
            <w:vAlign w:val="center"/>
          </w:tcPr>
          <w:p>
            <w:pPr>
              <w:spacing w:after="0" w:line="240" w:lineRule="auto"/>
            </w:pPr>
            <w:r>
              <w:rPr>
                <w:rFonts w:ascii="Aptos" w:hAnsi="Aptos"/>
                <w:sz w:val="15"/>
              </w:rPr>
              <w:t>SimpliCARE Foundation</w:t>
            </w:r>
          </w:p>
        </w:tc>
        <w:tc>
          <w:tcPr>
            <w:tcW w:type="dxa" w:w="5328"/>
            <w:tcMar>
              <w:top w:w="110" w:type="dxa"/>
              <w:start w:w="110" w:type="dxa"/>
              <w:bottom w:w="110" w:type="dxa"/>
              <w:end w:w="110" w:type="dxa"/>
            </w:tcMar>
            <w:vAlign w:val="center"/>
          </w:tcPr>
          <w:p>
            <w:pPr>
              <w:spacing w:after="0" w:line="240" w:lineRule="auto"/>
            </w:pPr>
            <w:r>
              <w:rPr>
                <w:rFonts w:ascii="Aptos" w:hAnsi="Aptos"/>
                <w:sz w:val="15"/>
              </w:rPr>
              <w:t>Strategic stewardship, technical assurance, baseline measurement, and limited optimization/website support.</w:t>
            </w:r>
          </w:p>
        </w:tc>
        <w:tc>
          <w:tcPr>
            <w:tcW w:type="dxa" w:w="3744"/>
            <w:tcMar>
              <w:top w:w="110" w:type="dxa"/>
              <w:start w:w="110" w:type="dxa"/>
              <w:bottom w:w="110" w:type="dxa"/>
              <w:end w:w="110" w:type="dxa"/>
            </w:tcMar>
            <w:vAlign w:val="center"/>
          </w:tcPr>
          <w:p>
            <w:pPr>
              <w:spacing w:after="0" w:line="240" w:lineRule="auto"/>
            </w:pPr>
            <w:r>
              <w:rPr>
                <w:rFonts w:ascii="Aptos" w:hAnsi="Aptos"/>
                <w:sz w:val="15"/>
              </w:rPr>
              <w:t>Approximately $3,500/month, subject to current commercial source and approved scope.</w:t>
            </w:r>
          </w:p>
        </w:tc>
      </w:tr>
      <w:tr>
        <w:tc>
          <w:tcPr>
            <w:tcW w:type="dxa" w:w="2448"/>
            <w:tcMar>
              <w:top w:w="110" w:type="dxa"/>
              <w:start w:w="110" w:type="dxa"/>
              <w:bottom w:w="110" w:type="dxa"/>
              <w:end w:w="110" w:type="dxa"/>
            </w:tcMar>
            <w:vAlign w:val="center"/>
          </w:tcPr>
          <w:p>
            <w:pPr>
              <w:spacing w:after="0" w:line="240" w:lineRule="auto"/>
            </w:pPr>
            <w:r>
              <w:rPr>
                <w:rFonts w:ascii="Aptos" w:hAnsi="Aptos"/>
                <w:sz w:val="15"/>
              </w:rPr>
              <w:t>SimpliCARE Growth</w:t>
            </w:r>
          </w:p>
        </w:tc>
        <w:tc>
          <w:tcPr>
            <w:tcW w:type="dxa" w:w="5328"/>
            <w:tcMar>
              <w:top w:w="110" w:type="dxa"/>
              <w:start w:w="110" w:type="dxa"/>
              <w:bottom w:w="110" w:type="dxa"/>
              <w:end w:w="110" w:type="dxa"/>
            </w:tcMar>
            <w:vAlign w:val="center"/>
          </w:tcPr>
          <w:p>
            <w:pPr>
              <w:spacing w:after="0" w:line="240" w:lineRule="auto"/>
            </w:pPr>
            <w:r>
              <w:rPr>
                <w:rFonts w:ascii="Aptos" w:hAnsi="Aptos"/>
                <w:sz w:val="15"/>
              </w:rPr>
              <w:t>Ongoing strategy plus recurring optimization/execution, measurement, AEO, content/site evolution, landing pages, and CRO support.</w:t>
            </w:r>
          </w:p>
        </w:tc>
        <w:tc>
          <w:tcPr>
            <w:tcW w:type="dxa" w:w="3744"/>
            <w:tcMar>
              <w:top w:w="110" w:type="dxa"/>
              <w:start w:w="110" w:type="dxa"/>
              <w:bottom w:w="110" w:type="dxa"/>
              <w:end w:w="110" w:type="dxa"/>
            </w:tcMar>
            <w:vAlign w:val="center"/>
          </w:tcPr>
          <w:p>
            <w:pPr>
              <w:spacing w:after="0" w:line="240" w:lineRule="auto"/>
            </w:pPr>
            <w:r>
              <w:rPr>
                <w:rFonts w:ascii="Aptos" w:hAnsi="Aptos"/>
                <w:sz w:val="15"/>
              </w:rPr>
              <w:t>Approximately $6,500/month, subject to current commercial source and approved scope.</w:t>
            </w:r>
          </w:p>
        </w:tc>
      </w:tr>
      <w:tr>
        <w:tc>
          <w:tcPr>
            <w:tcW w:type="dxa" w:w="2448"/>
            <w:tcMar>
              <w:top w:w="110" w:type="dxa"/>
              <w:start w:w="110" w:type="dxa"/>
              <w:bottom w:w="110" w:type="dxa"/>
              <w:end w:w="110" w:type="dxa"/>
            </w:tcMar>
            <w:vAlign w:val="center"/>
          </w:tcPr>
          <w:p>
            <w:pPr>
              <w:spacing w:after="0" w:line="240" w:lineRule="auto"/>
            </w:pPr>
            <w:r>
              <w:rPr>
                <w:rFonts w:ascii="Aptos" w:hAnsi="Aptos"/>
                <w:sz w:val="15"/>
              </w:rPr>
              <w:t>SimpliCARE Strategic</w:t>
            </w:r>
          </w:p>
        </w:tc>
        <w:tc>
          <w:tcPr>
            <w:tcW w:type="dxa" w:w="5328"/>
            <w:tcMar>
              <w:top w:w="110" w:type="dxa"/>
              <w:start w:w="110" w:type="dxa"/>
              <w:bottom w:w="110" w:type="dxa"/>
              <w:end w:w="110" w:type="dxa"/>
            </w:tcMar>
            <w:vAlign w:val="center"/>
          </w:tcPr>
          <w:p>
            <w:pPr>
              <w:spacing w:after="0" w:line="240" w:lineRule="auto"/>
            </w:pPr>
            <w:r>
              <w:rPr>
                <w:rFonts w:ascii="Aptos" w:hAnsi="Aptos"/>
                <w:sz w:val="15"/>
              </w:rPr>
              <w:t>High-touch strategic partnership with significant optimization, reporting, content/site evolution, CRM/MarTech, and executive involvement.</w:t>
            </w:r>
          </w:p>
        </w:tc>
        <w:tc>
          <w:tcPr>
            <w:tcW w:type="dxa" w:w="3744"/>
            <w:tcMar>
              <w:top w:w="110" w:type="dxa"/>
              <w:start w:w="110" w:type="dxa"/>
              <w:bottom w:w="110" w:type="dxa"/>
              <w:end w:w="110" w:type="dxa"/>
            </w:tcMar>
            <w:vAlign w:val="center"/>
          </w:tcPr>
          <w:p>
            <w:pPr>
              <w:spacing w:after="0" w:line="240" w:lineRule="auto"/>
            </w:pPr>
            <w:r>
              <w:rPr>
                <w:rFonts w:ascii="Aptos" w:hAnsi="Aptos"/>
                <w:sz w:val="15"/>
              </w:rPr>
              <w:t>$10,000+/month, human commercial approval required.</w:t>
            </w:r>
          </w:p>
        </w:tc>
      </w:tr>
    </w:tbl>
    <w:p>
      <w:pPr>
        <w:spacing w:after="20"/>
      </w:pPr>
    </w:p>
    <w:p>
      <w:pPr>
        <w:pStyle w:val="Heading1"/>
      </w:pPr>
      <w:r>
        <w:t>Next Steps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173B56"/>
            <w:tcMar>
              <w:top w:w="110" w:type="dxa"/>
              <w:start w:w="110" w:type="dxa"/>
              <w:bottom w:w="110" w:type="dxa"/>
              <w:end w:w="110" w:type="dxa"/>
            </w:tcMar>
            <w:vAlign w:val="center"/>
          </w:tcPr>
          <w:p>
            <w:r>
              <w:rPr>
                <w:rFonts w:ascii="Aptos" w:hAnsi="Aptos"/>
                <w:b/>
                <w:color w:val="FFFFFF"/>
                <w:sz w:val="16"/>
              </w:rPr>
              <w:t>Step</w:t>
            </w:r>
          </w:p>
        </w:tc>
        <w:tc>
          <w:tcPr>
            <w:tcW w:type="dxa" w:w="7848"/>
            <w:shd w:fill="173B56"/>
            <w:tcMar>
              <w:top w:w="110" w:type="dxa"/>
              <w:start w:w="110" w:type="dxa"/>
              <w:bottom w:w="110" w:type="dxa"/>
              <w:end w:w="110" w:type="dxa"/>
            </w:tcMar>
            <w:vAlign w:val="center"/>
          </w:tcPr>
          <w:p>
            <w:r>
              <w:rPr>
                <w:rFonts w:ascii="Aptos" w:hAnsi="Aptos"/>
                <w:b/>
                <w:color w:val="FFFFFF"/>
                <w:sz w:val="16"/>
              </w:rPr>
              <w:t>Action</w:t>
            </w:r>
          </w:p>
        </w:tc>
      </w:tr>
      <w:tr>
        <w:tc>
          <w:tcPr>
            <w:tcW w:type="dxa" w:w="1800"/>
            <w:tcMar>
              <w:top w:w="110" w:type="dxa"/>
              <w:start w:w="110" w:type="dxa"/>
              <w:bottom w:w="110" w:type="dxa"/>
              <w:end w:w="110" w:type="dxa"/>
            </w:tcMar>
            <w:vAlign w:val="center"/>
          </w:tcPr>
          <w:p>
            <w:pPr>
              <w:spacing w:after="0" w:line="240" w:lineRule="auto"/>
            </w:pPr>
            <w:r>
              <w:rPr>
                <w:rFonts w:ascii="Aptos" w:hAnsi="Aptos"/>
                <w:sz w:val="16"/>
              </w:rPr>
              <w:t>1. Confirm final Foundation scope</w:t>
            </w:r>
          </w:p>
        </w:tc>
        <w:tc>
          <w:tcPr>
            <w:tcW w:type="dxa" w:w="7848"/>
            <w:tcMar>
              <w:top w:w="110" w:type="dxa"/>
              <w:start w:w="110" w:type="dxa"/>
              <w:bottom w:w="110" w:type="dxa"/>
              <w:end w:w="110" w:type="dxa"/>
            </w:tcMar>
            <w:vAlign w:val="center"/>
          </w:tcPr>
          <w:p>
            <w:pPr>
              <w:spacing w:after="0" w:line="240" w:lineRule="auto"/>
            </w:pPr>
            <w:r>
              <w:rPr>
                <w:rFonts w:ascii="Aptos" w:hAnsi="Aptos"/>
                <w:sz w:val="16"/>
              </w:rPr>
              <w:t>Reconcile the approved Blueprint against the full implementation scope, client responsibilities, dependencies, and exclusions.</w:t>
            </w:r>
          </w:p>
        </w:tc>
      </w:tr>
      <w:tr>
        <w:tc>
          <w:tcPr>
            <w:tcW w:type="dxa" w:w="1800"/>
            <w:tcMar>
              <w:top w:w="110" w:type="dxa"/>
              <w:start w:w="110" w:type="dxa"/>
              <w:bottom w:w="110" w:type="dxa"/>
              <w:end w:w="110" w:type="dxa"/>
            </w:tcMar>
            <w:vAlign w:val="center"/>
          </w:tcPr>
          <w:p>
            <w:pPr>
              <w:spacing w:after="0" w:line="240" w:lineRule="auto"/>
            </w:pPr>
            <w:r>
              <w:rPr>
                <w:rFonts w:ascii="Aptos" w:hAnsi="Aptos"/>
                <w:sz w:val="16"/>
              </w:rPr>
              <w:t>2. Complete commercial validation</w:t>
            </w:r>
          </w:p>
        </w:tc>
        <w:tc>
          <w:tcPr>
            <w:tcW w:type="dxa" w:w="7848"/>
            <w:tcMar>
              <w:top w:w="110" w:type="dxa"/>
              <w:start w:w="110" w:type="dxa"/>
              <w:bottom w:w="110" w:type="dxa"/>
              <w:end w:w="110" w:type="dxa"/>
            </w:tcMar>
            <w:vAlign w:val="center"/>
          </w:tcPr>
          <w:p>
            <w:pPr>
              <w:spacing w:after="0" w:line="240" w:lineRule="auto"/>
            </w:pPr>
            <w:r>
              <w:rPr>
                <w:rFonts w:ascii="Aptos" w:hAnsi="Aptos"/>
                <w:sz w:val="16"/>
              </w:rPr>
              <w:t>Calculate Foundation complexity, delivery responsibility, reference-value validation, delivery economics, margin, and one recommended fixed investment.</w:t>
            </w:r>
          </w:p>
        </w:tc>
      </w:tr>
      <w:tr>
        <w:tc>
          <w:tcPr>
            <w:tcW w:type="dxa" w:w="1800"/>
            <w:tcMar>
              <w:top w:w="110" w:type="dxa"/>
              <w:start w:w="110" w:type="dxa"/>
              <w:bottom w:w="110" w:type="dxa"/>
              <w:end w:w="110" w:type="dxa"/>
            </w:tcMar>
            <w:vAlign w:val="center"/>
          </w:tcPr>
          <w:p>
            <w:pPr>
              <w:spacing w:after="0" w:line="240" w:lineRule="auto"/>
            </w:pPr>
            <w:r>
              <w:rPr>
                <w:rFonts w:ascii="Aptos" w:hAnsi="Aptos"/>
                <w:sz w:val="16"/>
              </w:rPr>
              <w:t>3. Human commercial approval</w:t>
            </w:r>
          </w:p>
        </w:tc>
        <w:tc>
          <w:tcPr>
            <w:tcW w:type="dxa" w:w="7848"/>
            <w:tcMar>
              <w:top w:w="110" w:type="dxa"/>
              <w:start w:w="110" w:type="dxa"/>
              <w:bottom w:w="110" w:type="dxa"/>
              <w:end w:w="110" w:type="dxa"/>
            </w:tcMar>
            <w:vAlign w:val="center"/>
          </w:tcPr>
          <w:p>
            <w:pPr>
              <w:spacing w:after="0" w:line="240" w:lineRule="auto"/>
            </w:pPr>
            <w:r>
              <w:rPr>
                <w:rFonts w:ascii="Aptos" w:hAnsi="Aptos"/>
                <w:sz w:val="16"/>
              </w:rPr>
              <w:t>Authorized SimpliCreative approver confirms fixed investment, payment terms, timeline, and any exceptions.</w:t>
            </w:r>
          </w:p>
        </w:tc>
      </w:tr>
      <w:tr>
        <w:tc>
          <w:tcPr>
            <w:tcW w:type="dxa" w:w="1800"/>
            <w:tcMar>
              <w:top w:w="110" w:type="dxa"/>
              <w:start w:w="110" w:type="dxa"/>
              <w:bottom w:w="110" w:type="dxa"/>
              <w:end w:w="110" w:type="dxa"/>
            </w:tcMar>
            <w:vAlign w:val="center"/>
          </w:tcPr>
          <w:p>
            <w:pPr>
              <w:spacing w:after="0" w:line="240" w:lineRule="auto"/>
            </w:pPr>
            <w:r>
              <w:rPr>
                <w:rFonts w:ascii="Aptos" w:hAnsi="Aptos"/>
                <w:sz w:val="16"/>
              </w:rPr>
              <w:t>4. Issue final proposal / agreement</w:t>
            </w:r>
          </w:p>
        </w:tc>
        <w:tc>
          <w:tcPr>
            <w:tcW w:type="dxa" w:w="7848"/>
            <w:tcMar>
              <w:top w:w="110" w:type="dxa"/>
              <w:start w:w="110" w:type="dxa"/>
              <w:bottom w:w="110" w:type="dxa"/>
              <w:end w:w="110" w:type="dxa"/>
            </w:tcMar>
            <w:vAlign w:val="center"/>
          </w:tcPr>
          <w:p>
            <w:pPr>
              <w:spacing w:after="0" w:line="240" w:lineRule="auto"/>
            </w:pPr>
            <w:r>
              <w:rPr>
                <w:rFonts w:ascii="Aptos" w:hAnsi="Aptos"/>
                <w:sz w:val="16"/>
              </w:rPr>
              <w:t>Replace the demo pricing placeholder with the approved commercial terms.</w:t>
            </w:r>
          </w:p>
        </w:tc>
      </w:tr>
      <w:tr>
        <w:tc>
          <w:tcPr>
            <w:tcW w:type="dxa" w:w="1800"/>
            <w:tcMar>
              <w:top w:w="110" w:type="dxa"/>
              <w:start w:w="110" w:type="dxa"/>
              <w:bottom w:w="110" w:type="dxa"/>
              <w:end w:w="110" w:type="dxa"/>
            </w:tcMar>
            <w:vAlign w:val="center"/>
          </w:tcPr>
          <w:p>
            <w:pPr>
              <w:spacing w:after="0" w:line="240" w:lineRule="auto"/>
            </w:pPr>
            <w:r>
              <w:rPr>
                <w:rFonts w:ascii="Aptos" w:hAnsi="Aptos"/>
                <w:sz w:val="16"/>
              </w:rPr>
              <w:t>5. Sign + activate Foundation</w:t>
            </w:r>
          </w:p>
        </w:tc>
        <w:tc>
          <w:tcPr>
            <w:tcW w:type="dxa" w:w="7848"/>
            <w:tcMar>
              <w:top w:w="110" w:type="dxa"/>
              <w:start w:w="110" w:type="dxa"/>
              <w:bottom w:w="110" w:type="dxa"/>
              <w:end w:w="110" w:type="dxa"/>
            </w:tcMar>
            <w:vAlign w:val="center"/>
          </w:tcPr>
          <w:p>
            <w:pPr>
              <w:spacing w:after="0" w:line="240" w:lineRule="auto"/>
            </w:pPr>
            <w:r>
              <w:rPr>
                <w:rFonts w:ascii="Aptos" w:hAnsi="Aptos"/>
                <w:sz w:val="16"/>
              </w:rPr>
              <w:t>Create the active Foundation record, confirm access/owners, and begin implementation handoff.</w:t>
            </w:r>
          </w:p>
        </w:tc>
      </w:tr>
    </w:tbl>
    <w:p>
      <w:pPr>
        <w:spacing w:after="20"/>
      </w:pPr>
    </w:p>
    <w:p>
      <w:pPr>
        <w:pStyle w:val="Heading1"/>
      </w:pPr>
      <w:r>
        <w:t>Proposal Generation Boundary</w:t>
      </w:r>
    </w:p>
    <w:tbl>
      <w:tblPr>
        <w:tblStyle w:val="TableGrid"/>
        <w:tblW w:type="auto" w:w="0"/>
        <w:tblLook w:firstColumn="1" w:firstRow="1" w:lastColumn="0" w:lastRow="0" w:noHBand="0" w:noVBand="1" w:val="04A0"/>
      </w:tblPr>
      <w:tblGrid>
        <w:gridCol w:w="10166"/>
      </w:tblGrid>
      <w:tr>
        <w:tc>
          <w:tcPr>
            <w:tcW w:type="dxa" w:w="10166"/>
            <w:shd w:fill="E2F0D9"/>
            <w:tcMar>
              <w:top w:w="145" w:type="dxa"/>
              <w:start w:w="145" w:type="dxa"/>
              <w:bottom w:w="145" w:type="dxa"/>
              <w:end w:w="145" w:type="dxa"/>
            </w:tcMar>
          </w:tcPr>
          <w:p>
            <w:pPr>
              <w:spacing w:after="0" w:line="252" w:lineRule="auto"/>
            </w:pPr>
            <w:r>
              <w:rPr>
                <w:rFonts w:ascii="Aptos" w:hAnsi="Aptos"/>
                <w:color w:val="4B5563"/>
                <w:sz w:val="18"/>
              </w:rPr>
              <w:t>This proposal assumes the full Foundation service set is required. In production, the SOW determines what SimpliCreative has agreed to deliver. The AI may draft from approved scope, but it may not add services merely because they are available, expose internal pricing economics, invent a fixed Foundation price, create unauthorized payment terms, or make a client commitment without human approval.</w:t>
            </w:r>
          </w:p>
        </w:tc>
      </w:tr>
    </w:tbl>
    <w:p>
      <w:pPr>
        <w:spacing w:after="2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GS-SALES-002 | Demonstration Gold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5"/>
      </w:rPr>
      <w:t>SimpliCreative | SimpliFoundation Proposal | Northstar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B7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