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t>Proposal Send &amp; Next-Step Email</w:t>
      </w:r>
    </w:p>
    <w:p>
      <w:pPr>
        <w:spacing w:after="200"/>
      </w:pPr>
      <w:r>
        <w:rPr>
          <w:rFonts w:ascii="Aptos" w:hAnsi="Aptos"/>
          <w:color w:val="4B5563"/>
          <w:sz w:val="20"/>
        </w:rPr>
        <w:t>Northstar Leadership Institute | Demonstration Gold Standard</w:t>
      </w:r>
    </w:p>
    <w:tbl>
      <w:tblPr>
        <w:tblStyle w:val="TableGrid"/>
        <w:tblW w:type="auto" w:w="0"/>
        <w:jc w:val="center"/>
        <w:tblLook w:firstColumn="1" w:firstRow="1" w:lastColumn="0" w:lastRow="0" w:noHBand="0" w:noVBand="1" w:val="04A0"/>
      </w:tblPr>
      <w:tblGrid>
        <w:gridCol w:w="4968"/>
        <w:gridCol w:w="4968"/>
      </w:tblGrid>
      <w:tr>
        <w:tc>
          <w:tcPr>
            <w:tcW w:type="dxa" w:w="4968"/>
            <w:shd w:fill="F3F5F7"/>
            <w:tcMar>
              <w:top w:w="130" w:type="dxa"/>
              <w:start w:w="130" w:type="dxa"/>
              <w:bottom w:w="130" w:type="dxa"/>
              <w:end w:w="130" w:type="dxa"/>
            </w:tcMar>
            <w:vAlign w:val="center"/>
          </w:tcPr>
          <w:p>
            <w:pPr>
              <w:spacing w:after="0"/>
            </w:pPr>
            <w:r>
              <w:rPr>
                <w:rFonts w:ascii="Aptos" w:hAnsi="Aptos"/>
                <w:b/>
                <w:color w:val="173B56"/>
                <w:sz w:val="18"/>
              </w:rPr>
              <w:t>Output</w:t>
            </w:r>
          </w:p>
        </w:tc>
        <w:tc>
          <w:tcPr>
            <w:tcW w:type="dxa" w:w="4968"/>
            <w:tcMar>
              <w:top w:w="130" w:type="dxa"/>
              <w:start w:w="130" w:type="dxa"/>
              <w:bottom w:w="130" w:type="dxa"/>
              <w:end w:w="130" w:type="dxa"/>
            </w:tcMar>
            <w:vAlign w:val="center"/>
          </w:tcPr>
          <w:p>
            <w:pPr>
              <w:spacing w:after="0"/>
            </w:pPr>
            <w:r>
              <w:rPr>
                <w:rFonts w:ascii="Aptos" w:hAnsi="Aptos"/>
                <w:sz w:val="18"/>
              </w:rPr>
              <w:t>Proposal Send / Next-Step Email</w:t>
            </w:r>
          </w:p>
        </w:tc>
      </w:tr>
      <w:tr>
        <w:tc>
          <w:tcPr>
            <w:tcW w:type="dxa" w:w="4968"/>
            <w:shd w:fill="F3F5F7"/>
            <w:tcMar>
              <w:top w:w="130" w:type="dxa"/>
              <w:start w:w="130" w:type="dxa"/>
              <w:bottom w:w="130" w:type="dxa"/>
              <w:end w:w="130" w:type="dxa"/>
            </w:tcMar>
            <w:vAlign w:val="center"/>
          </w:tcPr>
          <w:p>
            <w:pPr>
              <w:spacing w:after="0"/>
            </w:pPr>
            <w:r>
              <w:rPr>
                <w:rFonts w:ascii="Aptos" w:hAnsi="Aptos"/>
                <w:b/>
                <w:color w:val="173B56"/>
                <w:sz w:val="18"/>
              </w:rPr>
              <w:t>Audience</w:t>
            </w:r>
          </w:p>
        </w:tc>
        <w:tc>
          <w:tcPr>
            <w:tcW w:type="dxa" w:w="4968"/>
            <w:tcMar>
              <w:top w:w="130" w:type="dxa"/>
              <w:start w:w="130" w:type="dxa"/>
              <w:bottom w:w="130" w:type="dxa"/>
              <w:end w:w="130" w:type="dxa"/>
            </w:tcMar>
            <w:vAlign w:val="center"/>
          </w:tcPr>
          <w:p>
            <w:pPr>
              <w:spacing w:after="0"/>
            </w:pPr>
            <w:r>
              <w:rPr>
                <w:rFonts w:ascii="Aptos" w:hAnsi="Aptos"/>
                <w:sz w:val="18"/>
              </w:rPr>
              <w:t>Prospect / Client</w:t>
            </w:r>
          </w:p>
        </w:tc>
      </w:tr>
      <w:tr>
        <w:tc>
          <w:tcPr>
            <w:tcW w:type="dxa" w:w="4968"/>
            <w:shd w:fill="F3F5F7"/>
            <w:tcMar>
              <w:top w:w="130" w:type="dxa"/>
              <w:start w:w="130" w:type="dxa"/>
              <w:bottom w:w="130" w:type="dxa"/>
              <w:end w:w="130" w:type="dxa"/>
            </w:tcMar>
            <w:vAlign w:val="center"/>
          </w:tcPr>
          <w:p>
            <w:pPr>
              <w:spacing w:after="0"/>
            </w:pPr>
            <w:r>
              <w:rPr>
                <w:rFonts w:ascii="Aptos" w:hAnsi="Aptos"/>
                <w:b/>
                <w:color w:val="173B56"/>
                <w:sz w:val="18"/>
              </w:rPr>
              <w:t>Commercial Route</w:t>
            </w:r>
          </w:p>
        </w:tc>
        <w:tc>
          <w:tcPr>
            <w:tcW w:type="dxa" w:w="4968"/>
            <w:tcMar>
              <w:top w:w="130" w:type="dxa"/>
              <w:start w:w="130" w:type="dxa"/>
              <w:bottom w:w="130" w:type="dxa"/>
              <w:end w:w="130" w:type="dxa"/>
            </w:tcMar>
            <w:vAlign w:val="center"/>
          </w:tcPr>
          <w:p>
            <w:pPr>
              <w:spacing w:after="0"/>
            </w:pPr>
            <w:r>
              <w:rPr>
                <w:rFonts w:ascii="Aptos" w:hAnsi="Aptos"/>
                <w:sz w:val="18"/>
              </w:rPr>
              <w:t>SimpliBlueprint proposal</w:t>
            </w:r>
          </w:p>
        </w:tc>
      </w:tr>
      <w:tr>
        <w:tc>
          <w:tcPr>
            <w:tcW w:type="dxa" w:w="4968"/>
            <w:shd w:fill="F3F5F7"/>
            <w:tcMar>
              <w:top w:w="130" w:type="dxa"/>
              <w:start w:w="130" w:type="dxa"/>
              <w:bottom w:w="130" w:type="dxa"/>
              <w:end w:w="130" w:type="dxa"/>
            </w:tcMar>
            <w:vAlign w:val="center"/>
          </w:tcPr>
          <w:p>
            <w:pPr>
              <w:spacing w:after="0"/>
            </w:pPr>
            <w:r>
              <w:rPr>
                <w:rFonts w:ascii="Aptos" w:hAnsi="Aptos"/>
                <w:b/>
                <w:color w:val="173B56"/>
                <w:sz w:val="18"/>
              </w:rPr>
              <w:t>Required State</w:t>
            </w:r>
          </w:p>
        </w:tc>
        <w:tc>
          <w:tcPr>
            <w:tcW w:type="dxa" w:w="4968"/>
            <w:tcMar>
              <w:top w:w="130" w:type="dxa"/>
              <w:start w:w="130" w:type="dxa"/>
              <w:bottom w:w="130" w:type="dxa"/>
              <w:end w:w="130" w:type="dxa"/>
            </w:tcMar>
            <w:vAlign w:val="center"/>
          </w:tcPr>
          <w:p>
            <w:pPr>
              <w:spacing w:after="0"/>
            </w:pPr>
            <w:r>
              <w:rPr>
                <w:rFonts w:ascii="Aptos" w:hAnsi="Aptos"/>
                <w:sz w:val="18"/>
              </w:rPr>
              <w:t>Human-approved proposal readiness + approved proposal</w:t>
            </w:r>
          </w:p>
        </w:tc>
      </w:tr>
      <w:tr>
        <w:tc>
          <w:tcPr>
            <w:tcW w:type="dxa" w:w="4968"/>
            <w:shd w:fill="F3F5F7"/>
            <w:tcMar>
              <w:top w:w="130" w:type="dxa"/>
              <w:start w:w="130" w:type="dxa"/>
              <w:bottom w:w="130" w:type="dxa"/>
              <w:end w:w="130" w:type="dxa"/>
            </w:tcMar>
            <w:vAlign w:val="center"/>
          </w:tcPr>
          <w:p>
            <w:pPr>
              <w:spacing w:after="0"/>
            </w:pPr>
            <w:r>
              <w:rPr>
                <w:rFonts w:ascii="Aptos" w:hAnsi="Aptos"/>
                <w:b/>
                <w:color w:val="173B56"/>
                <w:sz w:val="18"/>
              </w:rPr>
              <w:t>Approval</w:t>
            </w:r>
          </w:p>
        </w:tc>
        <w:tc>
          <w:tcPr>
            <w:tcW w:type="dxa" w:w="4968"/>
            <w:tcMar>
              <w:top w:w="130" w:type="dxa"/>
              <w:start w:w="130" w:type="dxa"/>
              <w:bottom w:w="130" w:type="dxa"/>
              <w:end w:w="130" w:type="dxa"/>
            </w:tcMar>
            <w:vAlign w:val="center"/>
          </w:tcPr>
          <w:p>
            <w:pPr>
              <w:spacing w:after="0"/>
            </w:pPr>
            <w:r>
              <w:rPr>
                <w:rFonts w:ascii="Aptos" w:hAnsi="Aptos"/>
                <w:sz w:val="18"/>
              </w:rPr>
              <w:t>Human commercial review before send</w:t>
            </w:r>
          </w:p>
        </w:tc>
      </w:tr>
    </w:tbl>
    <w:p/>
    <w:p>
      <w:pPr>
        <w:pStyle w:val="Heading1"/>
      </w:pPr>
      <w:r>
        <w:t>Client-Facing Email</w:t>
      </w:r>
    </w:p>
    <w:tbl>
      <w:tblPr>
        <w:tblStyle w:val="TableGrid"/>
        <w:tblW w:type="auto" w:w="0"/>
        <w:jc w:val="center"/>
        <w:tblLook w:firstColumn="1" w:firstRow="1" w:lastColumn="0" w:lastRow="0" w:noHBand="0" w:noVBand="1" w:val="04A0"/>
      </w:tblPr>
      <w:tblGrid>
        <w:gridCol w:w="4968"/>
        <w:gridCol w:w="4968"/>
      </w:tblGrid>
      <w:tr>
        <w:tc>
          <w:tcPr>
            <w:tcW w:type="dxa" w:w="4968"/>
            <w:shd w:fill="F3F5F7"/>
            <w:tcMar>
              <w:top w:w="130" w:type="dxa"/>
              <w:start w:w="130" w:type="dxa"/>
              <w:bottom w:w="130" w:type="dxa"/>
              <w:end w:w="130" w:type="dxa"/>
            </w:tcMar>
            <w:vAlign w:val="center"/>
          </w:tcPr>
          <w:p>
            <w:pPr>
              <w:spacing w:after="0"/>
            </w:pPr>
            <w:r>
              <w:rPr>
                <w:rFonts w:ascii="Aptos" w:hAnsi="Aptos"/>
                <w:b/>
                <w:color w:val="173B56"/>
                <w:sz w:val="18"/>
              </w:rPr>
              <w:t>To</w:t>
            </w:r>
          </w:p>
        </w:tc>
        <w:tc>
          <w:tcPr>
            <w:tcW w:type="dxa" w:w="4968"/>
            <w:tcMar>
              <w:top w:w="130" w:type="dxa"/>
              <w:start w:w="130" w:type="dxa"/>
              <w:bottom w:w="130" w:type="dxa"/>
              <w:end w:w="130" w:type="dxa"/>
            </w:tcMar>
            <w:vAlign w:val="center"/>
          </w:tcPr>
          <w:p>
            <w:pPr>
              <w:spacing w:after="0"/>
            </w:pPr>
            <w:r>
              <w:rPr>
                <w:rFonts w:ascii="Aptos" w:hAnsi="Aptos"/>
                <w:sz w:val="18"/>
              </w:rPr>
              <w:t>Maya Chen</w:t>
            </w:r>
          </w:p>
        </w:tc>
      </w:tr>
      <w:tr>
        <w:tc>
          <w:tcPr>
            <w:tcW w:type="dxa" w:w="4968"/>
            <w:shd w:fill="F3F5F7"/>
            <w:tcMar>
              <w:top w:w="130" w:type="dxa"/>
              <w:start w:w="130" w:type="dxa"/>
              <w:bottom w:w="130" w:type="dxa"/>
              <w:end w:w="130" w:type="dxa"/>
            </w:tcMar>
            <w:vAlign w:val="center"/>
          </w:tcPr>
          <w:p>
            <w:pPr>
              <w:spacing w:after="0"/>
            </w:pPr>
            <w:r>
              <w:rPr>
                <w:rFonts w:ascii="Aptos" w:hAnsi="Aptos"/>
                <w:b/>
                <w:color w:val="173B56"/>
                <w:sz w:val="18"/>
              </w:rPr>
              <w:t>Subject</w:t>
            </w:r>
          </w:p>
        </w:tc>
        <w:tc>
          <w:tcPr>
            <w:tcW w:type="dxa" w:w="4968"/>
            <w:tcMar>
              <w:top w:w="130" w:type="dxa"/>
              <w:start w:w="130" w:type="dxa"/>
              <w:bottom w:w="130" w:type="dxa"/>
              <w:end w:w="130" w:type="dxa"/>
            </w:tcMar>
            <w:vAlign w:val="center"/>
          </w:tcPr>
          <w:p>
            <w:pPr>
              <w:spacing w:after="0"/>
            </w:pPr>
            <w:r>
              <w:rPr>
                <w:rFonts w:ascii="Aptos" w:hAnsi="Aptos"/>
                <w:sz w:val="18"/>
              </w:rPr>
              <w:t>Northstar SimpliBlueprint proposal and next steps</w:t>
            </w:r>
          </w:p>
        </w:tc>
      </w:tr>
    </w:tbl>
    <w:p/>
    <w:p>
      <w:pPr>
        <w:spacing w:after="160"/>
      </w:pPr>
      <w:r>
        <w:t>Hi Maya,</w:t>
      </w:r>
    </w:p>
    <w:p>
      <w:pPr>
        <w:spacing w:after="160"/>
      </w:pPr>
      <w:r>
        <w:t>Thank you again for the conversation and for the additional context you shared.</w:t>
      </w:r>
    </w:p>
    <w:p>
      <w:pPr>
        <w:spacing w:after="160"/>
      </w:pPr>
      <w:r>
        <w:t>Based on what we heard, we believe SimpliBlueprint is the right next step for Northstar because the opportunity appears broader than simply driving more website traffic. The more important questions are how corporate buyers evaluate Northstar, how clearly the website communicates the strongest proof and differentiation, and how reliably marketing activity can be connected to qualified opportunities.</w:t>
      </w:r>
    </w:p>
    <w:p>
      <w:pPr>
        <w:spacing w:after="160"/>
      </w:pPr>
      <w:r>
        <w:t>I’ve attached the SimpliBlueprint proposal. It outlines the strategic questions we would investigate, the workstreams involved, the deliverables Northstar would receive, and the standard $12,500 investment.</w:t>
      </w:r>
    </w:p>
    <w:p>
      <w:pPr>
        <w:spacing w:after="160"/>
      </w:pPr>
      <w:r>
        <w:t>The intent of the Blueprint is to give Northstar a clear, evidence-backed implementation plan before committing to a larger website or marketing investment. It is designed to stand on its own, so you can use the final strategy with SimpliCreative, another implementation partner, or internally.</w:t>
      </w:r>
    </w:p>
    <w:p>
      <w:pPr>
        <w:spacing w:after="160"/>
      </w:pPr>
      <w:r>
        <w:t>The next step is to review the proposal and confirm whether it reflects the engagement you want to move forward with. If it does, we’ll finalize the current commercial terms and agreement, then activate the Blueprint and send the personalized questionnaire.</w:t>
      </w:r>
    </w:p>
    <w:p>
      <w:pPr>
        <w:spacing w:after="160"/>
      </w:pPr>
      <w:r>
        <w:t>If it would be helpful, we can also use the next conversation to align with the CEO and Chief Growth Officer before activation.</w:t>
      </w:r>
    </w:p>
    <w:p>
      <w:pPr>
        <w:spacing w:after="160"/>
      </w:pPr>
      <w:r>
        <w:t>Best,</w:t>
      </w:r>
      <w:r>
        <w:br/>
      </w:r>
      <w:r>
        <w:rPr>
          <w:b/>
        </w:rPr>
        <w:t>SimpliCreative</w:t>
      </w:r>
    </w:p>
    <w:p>
      <w:pPr>
        <w:pStyle w:val="Heading1"/>
      </w:pPr>
      <w:r>
        <w:t>Generation Rules</w:t>
      </w:r>
    </w:p>
    <w:tbl>
      <w:tblPr>
        <w:tblStyle w:val="TableGrid"/>
        <w:tblW w:type="auto" w:w="0"/>
        <w:tblLook w:firstColumn="1" w:firstRow="1" w:lastColumn="0" w:lastRow="0" w:noHBand="0" w:noVBand="1" w:val="04A0"/>
      </w:tblPr>
      <w:tblGrid>
        <w:gridCol w:w="9936"/>
      </w:tblGrid>
      <w:tr>
        <w:tc>
          <w:tcPr>
            <w:tcW w:type="dxa" w:w="9936"/>
            <w:shd w:fill="FCE4D6"/>
            <w:tcMar>
              <w:top w:w="150" w:type="dxa"/>
              <w:start w:w="150" w:type="dxa"/>
              <w:bottom w:w="150" w:type="dxa"/>
              <w:end w:w="150" w:type="dxa"/>
            </w:tcMar>
          </w:tcPr>
          <w:p>
            <w:pPr>
              <w:spacing w:after="0"/>
            </w:pPr>
            <w:r>
              <w:rPr>
                <w:rFonts w:ascii="Aptos" w:hAnsi="Aptos"/>
                <w:color w:val="4B5563"/>
                <w:sz w:val="18"/>
              </w:rPr>
              <w:t>Generate this email only after the proposal is actually approved for send. It may summarize the approved route, proposal scope, approved investment, and agreed next step. It may not invent price, payment terms, timeline, proposal readiness, urgency, or new strategy.</w:t>
            </w:r>
          </w:p>
        </w:tc>
      </w:tr>
    </w:tbl>
    <w:p/>
    <w:p>
      <w:pPr>
        <w:pStyle w:val="ListBullet"/>
        <w:spacing w:after="60"/>
      </w:pPr>
      <w:r>
        <w:t>Source of truth: approved Diagnostic Record + human route decision + proposal-readiness state + approved proposal.</w:t>
      </w:r>
    </w:p>
    <w:p>
      <w:pPr>
        <w:pStyle w:val="ListBullet"/>
        <w:spacing w:after="60"/>
      </w:pPr>
      <w:r>
        <w:t>The email should be shorter than the proposal and should not re-sell the entire engagement.</w:t>
      </w:r>
    </w:p>
    <w:p>
      <w:pPr>
        <w:pStyle w:val="ListBullet"/>
        <w:spacing w:after="60"/>
      </w:pPr>
      <w:r>
        <w:t>Use only the approved price and offer language from the proposal being sent.</w:t>
      </w:r>
    </w:p>
    <w:p>
      <w:pPr>
        <w:pStyle w:val="ListBullet"/>
        <w:spacing w:after="60"/>
      </w:pPr>
      <w:r>
        <w:t>If the proposal changes, regenerate the email from the current approved proposal.</w:t>
      </w:r>
    </w:p>
    <w:p>
      <w:pPr>
        <w:pStyle w:val="ListBullet"/>
        <w:spacing w:after="60"/>
      </w:pPr>
      <w:r>
        <w:t>Human commercial approval is required before send.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B5563"/>
        <w:sz w:val="16"/>
      </w:rPr>
      <w:t>GS-SALES-004 | SimpliCreative | Demonstration Gold Standard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B5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B5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