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b/>
          <w:color w:val="1B7F79"/>
          <w:sz w:val="20"/>
        </w:rPr>
        <w:t>SIMPLICREATIVE</w:t>
      </w:r>
    </w:p>
    <w:p>
      <w:pPr>
        <w:pStyle w:val="Title"/>
        <w:jc w:val="center"/>
      </w:pPr>
      <w:r>
        <w:t>Templated WordPress Website Proposal</w:t>
      </w:r>
    </w:p>
    <w:p>
      <w:pPr>
        <w:jc w:val="center"/>
      </w:pPr>
      <w:r>
        <w:rPr>
          <w:rFonts w:ascii="Aptos" w:hAnsi="Aptos"/>
          <w:b/>
          <w:color w:val="4B5563"/>
          <w:sz w:val="28"/>
        </w:rPr>
        <w:t>Prepared for Ibar Special Needs Trust Advisors</w:t>
      </w:r>
    </w:p>
    <w:p>
      <w:pPr>
        <w:jc w:val="center"/>
      </w:pPr>
      <w:r>
        <w:rPr>
          <w:rFonts w:ascii="Aptos" w:hAnsi="Aptos"/>
          <w:b w:val="0"/>
          <w:color w:val="173B56"/>
          <w:sz w:val="22"/>
        </w:rPr>
        <w:t>Direct Productized Website Implementation</w:t>
      </w:r>
    </w:p>
    <w:p>
      <w:pPr>
        <w:jc w:val="center"/>
      </w:pPr>
      <w:r>
        <w:rPr>
          <w:rFonts w:ascii="Aptos" w:hAnsi="Aptos"/>
          <w:b w:val="0"/>
          <w:color w:val="4B5563"/>
          <w:sz w:val="18"/>
        </w:rPr>
        <w:t>Gold Standard Demonstration | GS-SALES-005 | v1.0</w:t>
      </w:r>
    </w:p>
    <w:tbl>
      <w:tblPr>
        <w:tblStyle w:val="TableGrid"/>
        <w:tblW w:type="auto" w:w="0"/>
        <w:jc w:val="center"/>
        <w:tblLook w:firstColumn="1" w:firstRow="1" w:lastColumn="0" w:lastRow="0" w:noHBand="0" w:noVBand="1" w:val="04A0"/>
      </w:tblPr>
      <w:tblGrid>
        <w:gridCol w:w="10166"/>
      </w:tblGrid>
      <w:tr>
        <w:tc>
          <w:tcPr>
            <w:tcW w:type="dxa" w:w="10166"/>
            <w:shd w:fill="DDEBF7"/>
            <w:tcMar>
              <w:top w:w="140" w:type="dxa"/>
              <w:start w:w="140" w:type="dxa"/>
              <w:bottom w:w="140" w:type="dxa"/>
              <w:end w:w="140" w:type="dxa"/>
            </w:tcMar>
          </w:tcPr>
          <w:p>
            <w:pPr>
              <w:spacing w:after="0"/>
            </w:pPr>
            <w:r>
              <w:rPr>
                <w:rFonts w:ascii="Aptos" w:hAnsi="Aptos"/>
                <w:color w:val="4B5563"/>
                <w:sz w:val="18"/>
              </w:rPr>
              <w:t>This demonstration assumes the human strategist has confirmed that Ibar's strategy, positioning, primary audiences, offer direction, sitemap, and implementation requirements are sufficiently established for the Direct Templated WordPress route. The proposal does not replace that eligibility decision.</w:t>
            </w:r>
          </w:p>
        </w:tc>
      </w:tr>
    </w:tbl>
    <w:p>
      <w:pPr>
        <w:spacing w:after="20"/>
      </w:pPr>
    </w:p>
    <w:p>
      <w:r>
        <w:br w:type="page"/>
      </w:r>
    </w:p>
    <w:p>
      <w:pPr>
        <w:pStyle w:val="Heading1"/>
      </w:pPr>
      <w:r>
        <w:t>The Opportunity</w:t>
      </w:r>
    </w:p>
    <w:p>
      <w:r>
        <w:rPr>
          <w:rFonts w:ascii="Aptos" w:hAnsi="Aptos"/>
          <w:b w:val="0"/>
        </w:rPr>
        <w:t>Ibar has a clear business and website objective: make it easier for families and estate-planning attorneys to understand what Ibar does, why the Ibar-plus-corporate-trustee model is different, and how to take the next step. The website should support new third-party / estate-planning business while continuing to educate families, preserve attorney referral value, and make qualification straightforward.</w:t>
      </w:r>
    </w:p>
    <w:p>
      <w:r>
        <w:rPr>
          <w:rFonts w:ascii="Aptos" w:hAnsi="Aptos"/>
          <w:b w:val="0"/>
        </w:rPr>
        <w:t>Based on the approved productized route, SimpliCreative would focus on implementing that established direction through a stronger WordPress website rather than reopening strategy through a full Blueprint or custom Foundation engagement.</w:t>
      </w:r>
    </w:p>
    <w:tbl>
      <w:tblPr>
        <w:tblStyle w:val="TableGrid"/>
        <w:tblW w:type="auto" w:w="0"/>
        <w:jc w:val="center"/>
        <w:tblLook w:firstColumn="1" w:firstRow="1" w:lastColumn="0" w:lastRow="0" w:noHBand="0" w:noVBand="1" w:val="04A0"/>
      </w:tblPr>
      <w:tblGrid>
        <w:gridCol w:w="10166"/>
      </w:tblGrid>
      <w:tr>
        <w:tc>
          <w:tcPr>
            <w:tcW w:type="dxa" w:w="10166"/>
            <w:shd w:fill="E2F0D9"/>
            <w:tcMar>
              <w:top w:w="140" w:type="dxa"/>
              <w:start w:w="140" w:type="dxa"/>
              <w:bottom w:w="140" w:type="dxa"/>
              <w:end w:w="140" w:type="dxa"/>
            </w:tcMar>
          </w:tcPr>
          <w:p>
            <w:pPr>
              <w:spacing w:after="0"/>
            </w:pPr>
            <w:r>
              <w:rPr>
                <w:rFonts w:ascii="Aptos" w:hAnsi="Aptos"/>
                <w:color w:val="4B5563"/>
                <w:sz w:val="18"/>
              </w:rPr>
              <w:t>Templated WordPress is not a discounted SimpliFoundation engagement. It is appropriate only because the strategic direction and implementation requirements are assumed sufficiently established for a productized build.</w:t>
            </w:r>
          </w:p>
        </w:tc>
      </w:tr>
    </w:tbl>
    <w:p>
      <w:pPr>
        <w:spacing w:after="20"/>
      </w:pPr>
    </w:p>
    <w:p>
      <w:pPr>
        <w:pStyle w:val="Heading1"/>
      </w:pPr>
      <w:r>
        <w:t>What We Heard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Priority</w:t>
            </w:r>
          </w:p>
        </w:tc>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What It Means for the Website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Clarify what Ibar does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Explain Ibar as the personal, high-touch advisor working alongside the continuity and security of a corporate trustee.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Prioritize families while supporting attorneys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Make the family journey easy to understand while giving estate-planning attorneys enough context to research and refer confidently.</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Explain the two trust paths simply</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Use everyday language for special-needs-trust administration through estate planning and personal-injury settlements.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Make proof visible</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Bring forward Ibar's third-generation history, 40+ years of expertise, 800+ trusts, dedicated-advisor model, and continuity story where approved.</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Create a qualified contact path</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Use a contact form with the approved trust-asset question while still providing a helpful response for lower-asset inquiries.</w:t>
            </w:r>
          </w:p>
        </w:tc>
      </w:tr>
    </w:tbl>
    <w:p>
      <w:pPr>
        <w:spacing w:after="20"/>
      </w:pPr>
    </w:p>
    <w:p>
      <w:pPr>
        <w:pStyle w:val="Heading1"/>
      </w:pPr>
      <w:r>
        <w:t>Recommended Engagement</w:t>
      </w:r>
    </w:p>
    <w:p>
      <w:r>
        <w:rPr>
          <w:rFonts w:ascii="Aptos" w:hAnsi="Aptos"/>
          <w:b/>
          <w:color w:val="173B56"/>
          <w:sz w:val="28"/>
        </w:rPr>
        <w:t>Direct Templated WordPress Website</w:t>
      </w:r>
    </w:p>
    <w:p>
      <w:r>
        <w:rPr>
          <w:rFonts w:ascii="Aptos" w:hAnsi="Aptos"/>
          <w:b w:val="0"/>
        </w:rPr>
        <w:t>A productized WordPress implementation for organizations that already have sufficient strategic clarity and need a professional, easier-to-manage website without the cost or complexity of a custom strategic build.</w:t>
      </w:r>
    </w:p>
    <w:p>
      <w:pPr>
        <w:pStyle w:val="Heading1"/>
      </w:pPr>
      <w:r>
        <w:t>Included Scope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Included</w:t>
            </w:r>
          </w:p>
        </w:tc>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Scope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Website discovery confirmation</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Use the approved client questionnaire to confirm page-level content, proof, CTA, brand, logistics, and implementation inputs.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Template recommendation</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Recommend an approved premium WordPress theme / template direction suited to the confirmed content and brand.</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Layout recommendations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Map the approved content into the selected template structure without custom UX architecture.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WordPress implementation</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Build and configure the approved template-based WordPress website.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Up to 8 standard pages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Implement the approved standard-page sitemap within the productized scope.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Primary contact form</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Implement the approved inquiry form and qualification fields.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Responsive implementation</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Configure the approved experience for desktop, tablet, and mobile within the selected template system.</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Foundational implementation</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Apply approved page titles, metadata, URLs, internal links, and basic technical setup where provided / applicable.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QA and launch</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Perform standard implementation QA and support production launch.</w:t>
            </w:r>
          </w:p>
        </w:tc>
      </w:tr>
    </w:tbl>
    <w:p>
      <w:pPr>
        <w:spacing w:after="20"/>
      </w:pPr>
    </w:p>
    <w:p>
      <w:pPr>
        <w:pStyle w:val="Heading1"/>
      </w:pPr>
      <w:r>
        <w:t>Proposed Sitemap</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Page</w:t>
            </w:r>
          </w:p>
        </w:tc>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Primary Role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Home</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Explain Ibar's lifetime-solution promise, core model, proof, and next action.</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What We Do</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Explain special-needs-trust administration in clear, everyday language.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Who We Work With</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Help families and attorneys understand how Ibar supports each audience.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Testimonials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Provide approved credibility and client / referral proof.</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About Us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Tell the family-business story, experience, team model, and leadership.</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Blog</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Provide an ongoing educational resource and authority platform.</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Contact</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Support qualified inquiries through the approved intake form.</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Privacy / Legal</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Publish approved privacy, legal, and compliance content supplied by the client / counsel.</w:t>
            </w:r>
          </w:p>
        </w:tc>
      </w:tr>
    </w:tbl>
    <w:p>
      <w:pPr>
        <w:spacing w:after="20"/>
      </w:pPr>
    </w:p>
    <w:p>
      <w:pPr>
        <w:pStyle w:val="Heading1"/>
      </w:pPr>
      <w:r>
        <w:t>Approved Add-On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B56"/>
            <w:tcMar>
              <w:top w:w="120" w:type="dxa"/>
              <w:start w:w="120" w:type="dxa"/>
              <w:bottom w:w="120" w:type="dxa"/>
              <w:end w:w="120" w:type="dxa"/>
            </w:tcMar>
            <w:vAlign w:val="center"/>
          </w:tcPr>
          <w:p>
            <w:pPr>
              <w:jc w:val="center"/>
            </w:pPr>
            <w:r>
              <w:rPr>
                <w:rFonts w:ascii="Aptos" w:hAnsi="Aptos"/>
                <w:b/>
                <w:color w:val="FFFFFF"/>
                <w:sz w:val="16"/>
              </w:rPr>
              <w:t>Add-On</w:t>
            </w:r>
          </w:p>
        </w:tc>
        <w:tc>
          <w:tcPr>
            <w:tcW w:type="dxa" w:w="3389"/>
            <w:shd w:fill="173B56"/>
            <w:tcMar>
              <w:top w:w="120" w:type="dxa"/>
              <w:start w:w="120" w:type="dxa"/>
              <w:bottom w:w="120" w:type="dxa"/>
              <w:end w:w="120" w:type="dxa"/>
            </w:tcMar>
            <w:vAlign w:val="center"/>
          </w:tcPr>
          <w:p>
            <w:pPr>
              <w:jc w:val="center"/>
            </w:pPr>
            <w:r>
              <w:rPr>
                <w:rFonts w:ascii="Aptos" w:hAnsi="Aptos"/>
                <w:b/>
                <w:color w:val="FFFFFF"/>
                <w:sz w:val="16"/>
              </w:rPr>
              <w:t>Why Included</w:t>
            </w:r>
          </w:p>
        </w:tc>
        <w:tc>
          <w:tcPr>
            <w:tcW w:type="dxa" w:w="3389"/>
            <w:shd w:fill="173B56"/>
            <w:tcMar>
              <w:top w:w="120" w:type="dxa"/>
              <w:start w:w="120" w:type="dxa"/>
              <w:bottom w:w="120" w:type="dxa"/>
              <w:end w:w="120" w:type="dxa"/>
            </w:tcMar>
            <w:vAlign w:val="center"/>
          </w:tcPr>
          <w:p>
            <w:pPr>
              <w:jc w:val="center"/>
            </w:pPr>
            <w:r>
              <w:rPr>
                <w:rFonts w:ascii="Aptos" w:hAnsi="Aptos"/>
                <w:b/>
                <w:color w:val="FFFFFF"/>
                <w:sz w:val="16"/>
              </w:rPr>
              <w:t>Investment</w:t>
            </w:r>
          </w:p>
        </w:tc>
      </w:tr>
      <w:tr>
        <w:trPr>
          <w:cantSplit/>
        </w:trPr>
        <w:tc>
          <w:tcPr>
            <w:tcW w:type="dxa" w:w="3389"/>
            <w:tcMar>
              <w:top w:w="120" w:type="dxa"/>
              <w:start w:w="120" w:type="dxa"/>
              <w:bottom w:w="120" w:type="dxa"/>
              <w:end w:w="120" w:type="dxa"/>
            </w:tcMar>
            <w:vAlign w:val="center"/>
          </w:tcPr>
          <w:p>
            <w:pPr>
              <w:spacing w:after="0" w:line="245" w:lineRule="auto"/>
            </w:pPr>
            <w:r>
              <w:rPr>
                <w:rFonts w:ascii="Aptos" w:hAnsi="Aptos"/>
                <w:color w:val="4B5563"/>
                <w:sz w:val="16"/>
              </w:rPr>
              <w:t>Blog</w:t>
            </w:r>
          </w:p>
        </w:tc>
        <w:tc>
          <w:tcPr>
            <w:tcW w:type="dxa" w:w="3389"/>
            <w:tcMar>
              <w:top w:w="120" w:type="dxa"/>
              <w:start w:w="120" w:type="dxa"/>
              <w:bottom w:w="120" w:type="dxa"/>
              <w:end w:w="120" w:type="dxa"/>
            </w:tcMar>
            <w:vAlign w:val="center"/>
          </w:tcPr>
          <w:p>
            <w:pPr>
              <w:spacing w:after="0" w:line="245" w:lineRule="auto"/>
            </w:pPr>
            <w:r>
              <w:rPr>
                <w:rFonts w:ascii="Aptos" w:hAnsi="Aptos"/>
                <w:color w:val="4B5563"/>
                <w:sz w:val="16"/>
              </w:rPr>
              <w:t>Ibar's approved sitemap includes a blog / educational publishing area.</w:t>
            </w:r>
          </w:p>
        </w:tc>
        <w:tc>
          <w:tcPr>
            <w:tcW w:type="dxa" w:w="3389"/>
            <w:tcMar>
              <w:top w:w="120" w:type="dxa"/>
              <w:start w:w="120" w:type="dxa"/>
              <w:bottom w:w="120" w:type="dxa"/>
              <w:end w:w="120" w:type="dxa"/>
            </w:tcMar>
            <w:vAlign w:val="center"/>
          </w:tcPr>
          <w:p>
            <w:pPr>
              <w:spacing w:after="0" w:line="245" w:lineRule="auto"/>
            </w:pPr>
            <w:r>
              <w:rPr>
                <w:rFonts w:ascii="Aptos" w:hAnsi="Aptos"/>
                <w:color w:val="4B5563"/>
                <w:sz w:val="16"/>
              </w:rPr>
              <w:t>$750</w:t>
            </w:r>
          </w:p>
        </w:tc>
      </w:tr>
    </w:tbl>
    <w:p>
      <w:pPr>
        <w:spacing w:after="20"/>
      </w:pPr>
    </w:p>
    <w:p>
      <w:pPr>
        <w:pStyle w:val="Heading1"/>
      </w:pPr>
      <w:r>
        <w:t>Client Responsibilities</w:t>
      </w:r>
    </w:p>
    <w:p>
      <w:r>
        <w:rPr>
          <w:rFonts w:ascii="Aptos" w:hAnsi="Aptos"/>
          <w:b w:val="0"/>
        </w:rPr>
        <w:t>The productized route works because Ibar retains responsibility for the strategic and content inputs that would otherwise require a custom engagement.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Ibar Provides / Approves</w:t>
            </w:r>
          </w:p>
        </w:tc>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Why It Matters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Final approved positioning and service language</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Template implementation assumes the strategic direction is established.</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Final factual content and subject-matter review</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SimpliCreative should not invent fiduciary, trust, benefit, or compliance claims.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Approved testimonials, proof, logos, and permissions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Only approved evidence should be published.</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Final brand assets and imagery</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Required for implementation and visual consistency.</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Legal / compliance language from counsel where needed</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Legal, privacy, licensing, fiduciary, and compliance language remains client/counsel controlled.</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Domain, hosting, CMS, analytics, and required technical access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Required for build, QA, and launch.</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Consolidated feedback and final approvals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The productized model assumes limited stakeholders and defined review rounds.</w:t>
            </w:r>
          </w:p>
        </w:tc>
      </w:tr>
    </w:tbl>
    <w:p>
      <w:pPr>
        <w:spacing w:after="20"/>
      </w:pPr>
    </w:p>
    <w:p>
      <w:pPr>
        <w:pStyle w:val="Heading1"/>
      </w:pPr>
      <w:r>
        <w:t>What Is Not Included in the Base Productized Scope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Not Included</w:t>
            </w:r>
          </w:p>
        </w:tc>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Required Treatment</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Material positioning or messaging strategy</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Route to Blueprint / strategic review.</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Custom UX or information-architecture strategy</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Route to Foundation / custom implementation review.</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Complex CRM or marketing automation architecture</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Foundation / technical review required.</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Custom API, ERP, portal, application, or advanced custom functionality</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Technical review required and may trigger Foundation routing.</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Extensive content creation or original strategic research</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Separate strategic/content scope required.</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Substantial migration beyond approved productized limits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Use current approved migration add-ons or rescope.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Additional pages, layouts, forms, integrations, meetings, or revision rounds</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Use current approved add-ons after human commercial approval.</w:t>
            </w:r>
          </w:p>
        </w:tc>
      </w:tr>
    </w:tbl>
    <w:p>
      <w:pPr>
        <w:spacing w:after="20"/>
      </w:pPr>
    </w:p>
    <w:p>
      <w:pPr>
        <w:pStyle w:val="Heading1"/>
      </w:pPr>
      <w:r>
        <w:t>Investment</w:t>
      </w:r>
    </w:p>
    <w:p>
      <w:r>
        <w:rPr>
          <w:rFonts w:ascii="Aptos" w:hAnsi="Aptos"/>
          <w:b/>
          <w:color w:val="173B56"/>
          <w:sz w:val="24"/>
        </w:rPr>
        <w:t>Direct Templated WordPress Website</w:t>
      </w:r>
    </w:p>
    <w:p>
      <w:r>
        <w:rPr>
          <w:rFonts w:ascii="Aptos" w:hAnsi="Aptos"/>
          <w:b/>
          <w:color w:val="1B7F79"/>
          <w:sz w:val="40"/>
        </w:rPr>
        <w:t>$8,500 fixed</w:t>
      </w:r>
    </w:p>
    <w:p>
      <w:r>
        <w:rPr>
          <w:rFonts w:ascii="Aptos" w:hAnsi="Aptos"/>
          <w:b/>
          <w:color w:val="173B56"/>
          <w:sz w:val="22"/>
        </w:rPr>
        <w:t>Blog add-on</w:t>
      </w:r>
    </w:p>
    <w:p>
      <w:r>
        <w:rPr>
          <w:rFonts w:ascii="Aptos" w:hAnsi="Aptos"/>
          <w:b/>
          <w:color w:val="1B7F79"/>
          <w:sz w:val="30"/>
        </w:rPr>
        <w:t>$750 fixed</w:t>
      </w:r>
    </w:p>
    <w:tbl>
      <w:tblPr>
        <w:tblStyle w:val="TableGrid"/>
        <w:tblW w:type="auto" w:w="0"/>
        <w:jc w:val="center"/>
        <w:tblLook w:firstColumn="1" w:firstRow="1" w:lastColumn="0" w:lastRow="0" w:noHBand="0" w:noVBand="1" w:val="04A0"/>
      </w:tblPr>
      <w:tblGrid>
        <w:gridCol w:w="5083"/>
        <w:gridCol w:w="5083"/>
      </w:tblGrid>
      <w:tr>
        <w:tc>
          <w:tcPr>
            <w:tcW w:type="dxa" w:w="5083"/>
            <w:tcMar>
              <w:top w:w="140" w:type="dxa"/>
              <w:start w:w="140" w:type="dxa"/>
              <w:bottom w:w="140" w:type="dxa"/>
              <w:end w:w="140" w:type="dxa"/>
            </w:tcMar>
            <w:vAlign w:val="center"/>
            <w:shd w:fill="E2F0D9"/>
          </w:tcPr>
          <w:p>
            <w:r>
              <w:rPr>
                <w:b/>
                <w:color w:val="173B56"/>
                <w:sz w:val="22"/>
              </w:rPr>
              <w:t>Total proposed investment</w:t>
            </w:r>
          </w:p>
        </w:tc>
        <w:tc>
          <w:tcPr>
            <w:tcW w:type="dxa" w:w="5083"/>
            <w:tcMar>
              <w:top w:w="140" w:type="dxa"/>
              <w:start w:w="140" w:type="dxa"/>
              <w:bottom w:w="140" w:type="dxa"/>
              <w:end w:w="140" w:type="dxa"/>
            </w:tcMar>
            <w:vAlign w:val="center"/>
            <w:shd w:fill="E2F0D9"/>
          </w:tcPr>
          <w:p>
            <w:r>
              <w:rPr>
                <w:b/>
                <w:color w:val="173B56"/>
                <w:sz w:val="22"/>
              </w:rPr>
              <w:t>$9,250 fixed</w:t>
            </w:r>
          </w:p>
        </w:tc>
      </w:tr>
      <w:tr>
        <w:tc>
          <w:tcPr>
            <w:tcW w:type="dxa" w:w="5083"/>
            <w:tcMar>
              <w:top w:w="140" w:type="dxa"/>
              <w:start w:w="140" w:type="dxa"/>
              <w:bottom w:w="140" w:type="dxa"/>
              <w:end w:w="140" w:type="dxa"/>
            </w:tcMar>
            <w:vAlign w:val="center"/>
          </w:tcPr>
          <w:p>
            <w:r>
              <w:rPr>
                <w:b/>
              </w:rPr>
              <w:t>Payment schedule</w:t>
            </w:r>
          </w:p>
        </w:tc>
        <w:tc>
          <w:tcPr>
            <w:tcW w:type="dxa" w:w="5083"/>
            <w:tcMar>
              <w:top w:w="140" w:type="dxa"/>
              <w:start w:w="140" w:type="dxa"/>
              <w:bottom w:w="140" w:type="dxa"/>
              <w:end w:w="140" w:type="dxa"/>
            </w:tcMar>
            <w:vAlign w:val="center"/>
          </w:tcPr>
          <w:p>
            <w:r>
              <w:t>Per current approved agreement</w:t>
            </w:r>
          </w:p>
        </w:tc>
      </w:tr>
    </w:tbl>
    <w:p/>
    <w:tbl>
      <w:tblPr>
        <w:tblStyle w:val="TableGrid"/>
        <w:tblW w:type="auto" w:w="0"/>
        <w:jc w:val="center"/>
        <w:tblLook w:firstColumn="1" w:firstRow="1" w:lastColumn="0" w:lastRow="0" w:noHBand="0" w:noVBand="1" w:val="04A0"/>
      </w:tblPr>
      <w:tblGrid>
        <w:gridCol w:w="10166"/>
      </w:tblGrid>
      <w:tr>
        <w:tc>
          <w:tcPr>
            <w:tcW w:type="dxa" w:w="10166"/>
            <w:shd w:fill="F3F6F8"/>
            <w:tcMar>
              <w:top w:w="140" w:type="dxa"/>
              <w:start w:w="140" w:type="dxa"/>
              <w:bottom w:w="140" w:type="dxa"/>
              <w:end w:w="140" w:type="dxa"/>
            </w:tcMar>
          </w:tcPr>
          <w:p>
            <w:pPr>
              <w:spacing w:after="0"/>
            </w:pPr>
            <w:r>
              <w:rPr>
                <w:rFonts w:ascii="Aptos" w:hAnsi="Aptos"/>
                <w:color w:val="4B5563"/>
                <w:sz w:val="18"/>
              </w:rPr>
              <w:t>The pricing above uses the current Direct Templated WordPress base price and the current approved Blog add-on. Any scope change or additional add-on must be approved before it becomes part of the engagement.</w:t>
            </w:r>
          </w:p>
        </w:tc>
      </w:tr>
    </w:tbl>
    <w:p>
      <w:pPr>
        <w:spacing w:after="20"/>
      </w:pPr>
    </w:p>
    <w:p>
      <w:pPr>
        <w:pStyle w:val="Heading1"/>
      </w:pPr>
      <w:r>
        <w:t>How the Project Moves Forward</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Step</w:t>
            </w:r>
          </w:p>
        </w:tc>
        <w:tc>
          <w:tcPr>
            <w:tcW w:type="dxa" w:w="5083"/>
            <w:shd w:fill="173B56"/>
            <w:tcMar>
              <w:top w:w="120" w:type="dxa"/>
              <w:start w:w="120" w:type="dxa"/>
              <w:bottom w:w="120" w:type="dxa"/>
              <w:end w:w="120" w:type="dxa"/>
            </w:tcMar>
            <w:vAlign w:val="center"/>
          </w:tcPr>
          <w:p>
            <w:pPr>
              <w:jc w:val="center"/>
            </w:pPr>
            <w:r>
              <w:rPr>
                <w:rFonts w:ascii="Aptos" w:hAnsi="Aptos"/>
                <w:b/>
                <w:color w:val="FFFFFF"/>
                <w:sz w:val="16"/>
              </w:rPr>
              <w:t>What Happens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1. Confirm proposal</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Ibar confirms the productized website scope and approved commercial terms.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2. Agreement + activation</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SimpliCreative issues the current controlled agreement / SOW and confirms activation requirements.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3. Discovery confirmation</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Ibar completes or confirms the Website Discovery Questionnaire and supplies required assets/access.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4. Content + page planning</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SimpliCreative organizes the approved page requirements for implementation.</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5. Template + build</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SimpliCreative recommends the template direction and implements the approved website.</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6. Client review</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Ibar provides consolidated feedback within the approved review process.</w:t>
            </w:r>
          </w:p>
        </w:tc>
      </w:tr>
      <w:tr>
        <w:trPr>
          <w:cantSplit/>
        </w:trPr>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7. QA + launch</w:t>
            </w:r>
          </w:p>
        </w:tc>
        <w:tc>
          <w:tcPr>
            <w:tcW w:type="dxa" w:w="5083"/>
            <w:tcMar>
              <w:top w:w="120" w:type="dxa"/>
              <w:start w:w="120" w:type="dxa"/>
              <w:bottom w:w="120" w:type="dxa"/>
              <w:end w:w="120" w:type="dxa"/>
            </w:tcMar>
            <w:vAlign w:val="center"/>
          </w:tcPr>
          <w:p>
            <w:pPr>
              <w:spacing w:after="0" w:line="245" w:lineRule="auto"/>
            </w:pPr>
            <w:r>
              <w:rPr>
                <w:rFonts w:ascii="Aptos" w:hAnsi="Aptos"/>
                <w:color w:val="4B5563"/>
                <w:sz w:val="16"/>
              </w:rPr>
              <w:t>SimpliCreative completes standard QA and supports production launch.</w:t>
            </w:r>
          </w:p>
        </w:tc>
      </w:tr>
    </w:tbl>
    <w:p>
      <w:pPr>
        <w:spacing w:after="20"/>
      </w:pPr>
    </w:p>
    <w:p>
      <w:pPr>
        <w:pStyle w:val="Heading1"/>
      </w:pPr>
      <w:r>
        <w:t>Scope Protection</w:t>
      </w:r>
    </w:p>
    <w:tbl>
      <w:tblPr>
        <w:tblStyle w:val="TableGrid"/>
        <w:tblW w:type="auto" w:w="0"/>
        <w:jc w:val="center"/>
        <w:tblLook w:firstColumn="1" w:firstRow="1" w:lastColumn="0" w:lastRow="0" w:noHBand="0" w:noVBand="1" w:val="04A0"/>
      </w:tblPr>
      <w:tblGrid>
        <w:gridCol w:w="10166"/>
      </w:tblGrid>
      <w:tr>
        <w:tc>
          <w:tcPr>
            <w:tcW w:type="dxa" w:w="10166"/>
            <w:shd w:fill="FCE4D6"/>
            <w:tcMar>
              <w:top w:w="140" w:type="dxa"/>
              <w:start w:w="140" w:type="dxa"/>
              <w:bottom w:w="140" w:type="dxa"/>
              <w:end w:w="140" w:type="dxa"/>
            </w:tcMar>
          </w:tcPr>
          <w:p>
            <w:pPr>
              <w:spacing w:after="0"/>
            </w:pPr>
            <w:r>
              <w:rPr>
                <w:rFonts w:ascii="Aptos" w:hAnsi="Aptos"/>
                <w:color w:val="4B5563"/>
                <w:sz w:val="18"/>
              </w:rPr>
              <w:t>If discovery or implementation reveals material strategic uncertainty, custom UX, complex CRM / automation, custom API requirements, or other complexity outside the productized model, SimpliCreative will pause and recommend the appropriate review rather than forcing the work into the Templated WordPress scope.</w:t>
            </w:r>
          </w:p>
        </w:tc>
      </w:tr>
    </w:tbl>
    <w:p>
      <w:pPr>
        <w:spacing w:after="20"/>
      </w:pPr>
    </w:p>
    <w:p>
      <w:pPr>
        <w:pStyle w:val="Heading1"/>
      </w:pPr>
      <w:r>
        <w:t>Next Step</w:t>
      </w:r>
    </w:p>
    <w:p>
      <w:r>
        <w:rPr>
          <w:rFonts w:ascii="Aptos" w:hAnsi="Aptos"/>
          <w:b w:val="0"/>
        </w:rPr>
        <w:t>If this scope reflects the website Ibar wants to move forward with, the next step is human commercial approval of the final proposal and current agreement terms. Once the agreement is executed and activation requirements are satisfied, SimpliCreative can begin the productized website workflow.</w:t>
      </w:r>
    </w:p>
    <w:p>
      <w:pPr>
        <w:pStyle w:val="Heading1"/>
      </w:pPr>
      <w:r>
        <w:t>Internal Gold-Standard Boundary</w:t>
      </w:r>
    </w:p>
    <w:p>
      <w:r>
        <w:rPr>
          <w:rFonts w:ascii="Aptos" w:hAnsi="Aptos"/>
          <w:b w:val="0"/>
        </w:rPr>
        <w:t>This is a demonstration proposal. Production proposals must be generated from the current approved route, scope, pricing source, add-ons, and commercial terms. AI may draft the proposal after proposal readiness is approved. AI may not change eligibility, invent scope, approve price, create payment terms, or send the proposal without human approval.</w:t>
      </w:r>
    </w:p>
    <w:sectPr w:rsidR="00FC693F" w:rsidRPr="0006063C" w:rsidSect="00034616">
      <w:headerReference w:type="default" r:id="rId9"/>
      <w:footerReference w:type="default" r:id="rId10"/>
      <w:pgSz w:w="12240" w:h="15840"/>
      <w:pgMar w:top="864"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5"/>
      </w:rPr>
      <w:t>SimpliCreative | Demonstration Gold Standard | Reference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5"/>
      </w:rPr>
      <w:t>GS-SALES-005 | Templated WordPress Website Proposal | Ibar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B7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