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b304b64ff62059b18ab60293f02f78d53ff4c1a"/>
    <w:p>
      <w:pPr>
        <w:pStyle w:val="Heading1"/>
      </w:pPr>
      <w:r>
        <w:t xml:space="preserve">GS-SALES-006 Personalized SimpliCARE Proposal</w:t>
      </w:r>
    </w:p>
    <w:p>
      <w:pPr>
        <w:pStyle w:val="FirstParagraph"/>
      </w:pPr>
      <w:r>
        <w:t xml:space="preserve">Client: Here App</w:t>
      </w:r>
      <w:r>
        <w:br/>
      </w:r>
      <w:r>
        <w:t xml:space="preserve">Engagement: SimpliCARE Growth</w:t>
      </w:r>
      <w:r>
        <w:br/>
      </w:r>
      <w:r>
        <w:t xml:space="preserve">Version: 1.0</w:t>
      </w:r>
      <w:r>
        <w:br/>
      </w:r>
      <w:r>
        <w:t xml:space="preserve">Classification: Gold Standard Demonstration</w:t>
      </w:r>
      <w:r>
        <w:br/>
      </w:r>
      <w:r>
        <w:t xml:space="preserve">Status: Demonstration / Reference Only</w:t>
      </w:r>
      <w:r>
        <w:br/>
      </w:r>
      <w:r>
        <w:t xml:space="preserve">Client-Facing Format: Editable DOCX</w:t>
      </w:r>
    </w:p>
    <w:p>
      <w:pPr>
        <w:pStyle w:val="BlockText"/>
      </w:pPr>
      <w:r>
        <w:t xml:space="preserve">Demonstration only. This example assumes SimpliCARE Growth, the recurring scope, monthly cadence, and $6,500/month investment have already received human commercial approval. Historical Here App pricing does not carry forward.</w:t>
      </w:r>
    </w:p>
    <w:bookmarkEnd w:id="20"/>
    <w:bookmarkStart w:id="21" w:name="the-opportunity"/>
    <w:p>
      <w:pPr>
        <w:pStyle w:val="Heading1"/>
      </w:pPr>
      <w:r>
        <w:t xml:space="preserve">The Opportunity</w:t>
      </w:r>
    </w:p>
    <w:p>
      <w:pPr>
        <w:pStyle w:val="FirstParagraph"/>
      </w:pPr>
      <w:r>
        <w:t xml:space="preserve">Here App’s primary growth objective is to help more teens discover the app, understand its value, and complete the path from awareness to download and active use.</w:t>
      </w:r>
    </w:p>
    <w:p>
      <w:pPr>
        <w:pStyle w:val="BodyText"/>
      </w:pPr>
      <w:r>
        <w:t xml:space="preserve">The website and broader digital foundation now need ongoing stewardship so marketing activity does not become disconnected across paid traffic, organic search, content, app-store handoff, analytics, and partner activity.</w:t>
      </w:r>
    </w:p>
    <w:p>
      <w:pPr>
        <w:pStyle w:val="BodyText"/>
      </w:pPr>
      <w:r>
        <w:t xml:space="preserve">The opportunity is not simply to maintain the website. It is to keep the digital foundation healthy, measurable, and aligned while using evidence to determine what should be improved next.</w:t>
      </w:r>
    </w:p>
    <w:bookmarkEnd w:id="21"/>
    <w:bookmarkStart w:id="22" w:name="why-simplicare"/>
    <w:p>
      <w:pPr>
        <w:pStyle w:val="Heading1"/>
      </w:pPr>
      <w:r>
        <w:t xml:space="preserve">Why SimpliCARE</w:t>
      </w:r>
    </w:p>
    <w:p>
      <w:pPr>
        <w:pStyle w:val="FirstParagraph"/>
      </w:pPr>
      <w:r>
        <w:t xml:space="preserve">SimpliCARE is designed for organizations that already have an active digital foundation and need an ongoing strategic partner to maintain it, improve it, and help the marketing team interpret what the evidence is saying.</w:t>
      </w:r>
    </w:p>
    <w:p>
      <w:pPr>
        <w:pStyle w:val="BodyText"/>
      </w:pPr>
      <w:r>
        <w:t xml:space="preserve">For Here App, this means maintaining the website and measurement foundation while helping the team improve the path from discovery to app download and identify the most useful discoverability, content, and conversion opportunities over time.</w:t>
      </w:r>
    </w:p>
    <w:p>
      <w:pPr>
        <w:pStyle w:val="BodyText"/>
      </w:pPr>
      <w:r>
        <w:rPr>
          <w:rStyle w:val="VerbatimChar"/>
        </w:rPr>
        <w:t xml:space="preserve">MAINTAIN THE FOUNDATION. IMPROVE IT WITH EVIDENCE.</w:t>
      </w:r>
    </w:p>
    <w:bookmarkEnd w:id="22"/>
    <w:bookmarkStart w:id="24" w:name="recommended-engagement"/>
    <w:p>
      <w:pPr>
        <w:pStyle w:val="Heading1"/>
      </w:pPr>
      <w:r>
        <w:t xml:space="preserve">Recommended Engagement</w:t>
      </w:r>
    </w:p>
    <w:bookmarkStart w:id="23" w:name="simplicare-growth"/>
    <w:p>
      <w:pPr>
        <w:pStyle w:val="Heading2"/>
      </w:pPr>
      <w:r>
        <w:t xml:space="preserve">SimpliCARE Growth</w:t>
      </w:r>
    </w:p>
    <w:p>
      <w:pPr>
        <w:pStyle w:val="FirstParagraph"/>
      </w:pPr>
      <w:r>
        <w:t xml:space="preserve">An ongoing strategic and execution partnership focused on digital-foundation stewardship, performance intelligence, discoverability, conversion improvement, and coordinated implementation.</w:t>
      </w:r>
    </w:p>
    <w:p>
      <w:pPr>
        <w:pStyle w:val="BodyText"/>
      </w:pPr>
      <w:r>
        <w:t xml:space="preserve">This is not an unlimited request queue. It is an ongoing relationship with an approved level of responsibility, clear priorities, and defined scope boundaries.</w:t>
      </w:r>
    </w:p>
    <w:bookmarkEnd w:id="23"/>
    <w:bookmarkEnd w:id="24"/>
    <w:bookmarkStart w:id="33" w:name="ongoing-scope"/>
    <w:p>
      <w:pPr>
        <w:pStyle w:val="Heading1"/>
      </w:pPr>
      <w:r>
        <w:t xml:space="preserve">Ongoing Scope</w:t>
      </w:r>
    </w:p>
    <w:bookmarkStart w:id="25" w:name="website-digital-foundation-stewardship"/>
    <w:p>
      <w:pPr>
        <w:pStyle w:val="Heading2"/>
      </w:pPr>
      <w:r>
        <w:t xml:space="preserve">Website &amp; Digital Foundation Stewardship</w:t>
      </w:r>
    </w:p>
    <w:p>
      <w:pPr>
        <w:pStyle w:val="FirstParagraph"/>
      </w:pPr>
      <w:r>
        <w:t xml:space="preserve">SimpliCreative will maintain and improve the approved website foundation within the CARE scope. Typical work may include approved page updates, content implementation, CTA refinements, conversion-path improvements, technical fixes, responsive corrections, analytics-related implementation, and other routine website improvements that fit the agreed responsibility.</w:t>
      </w:r>
    </w:p>
    <w:p>
      <w:pPr>
        <w:pStyle w:val="BodyText"/>
      </w:pPr>
      <w:r>
        <w:t xml:space="preserve">Larger redesigns, major custom development, major new integrations, substantial IA restructuring, or separate strategic initiatives require additional scoping.</w:t>
      </w:r>
    </w:p>
    <w:bookmarkEnd w:id="25"/>
    <w:bookmarkStart w:id="26" w:name="marketing-performance-intelligence"/>
    <w:p>
      <w:pPr>
        <w:pStyle w:val="Heading2"/>
      </w:pPr>
      <w:r>
        <w:t xml:space="preserve">Marketing Performance Intelligence</w:t>
      </w:r>
    </w:p>
    <w:p>
      <w:pPr>
        <w:pStyle w:val="FirstParagraph"/>
      </w:pPr>
      <w:r>
        <w:t xml:space="preserve">SimpliCreative will synthesize approved marketing and website data into a client-facing Marketing Performance Intelligence Report designed for both the marketing team and leadership.</w:t>
      </w:r>
    </w:p>
    <w:p>
      <w:pPr>
        <w:pStyle w:val="BodyText"/>
      </w:pPr>
      <w:r>
        <w:t xml:space="preserve">The report may include the primary business or mission outcome, conversion performance, demand and reach, engagement, organic discoverability, channel quality, content and page performance, measurement health, what is working, what needs attention, and next-period priorities.</w:t>
      </w:r>
    </w:p>
    <w:p>
      <w:pPr>
        <w:pStyle w:val="BodyText"/>
      </w:pPr>
      <w:r>
        <w:t xml:space="preserve">For this demonstration, the approved cadence is monthly.</w:t>
      </w:r>
    </w:p>
    <w:bookmarkEnd w:id="26"/>
    <w:bookmarkStart w:id="27" w:name="executive-board-summary"/>
    <w:p>
      <w:pPr>
        <w:pStyle w:val="Heading2"/>
      </w:pPr>
      <w:r>
        <w:t xml:space="preserve">Executive / Board Summary</w:t>
      </w:r>
    </w:p>
    <w:p>
      <w:pPr>
        <w:pStyle w:val="FirstParagraph"/>
      </w:pPr>
      <w:r>
        <w:t xml:space="preserve">When needed, SimpliCreative may extract a concise Executive Impact Deck from the approved performance report.</w:t>
      </w:r>
    </w:p>
    <w:p>
      <w:pPr>
        <w:pStyle w:val="BodyText"/>
      </w:pPr>
      <w:r>
        <w:t xml:space="preserve">This board-ready summary may include the primary outcome, KPI snapshot, what is working, what needs attention, measurement limitations, and next-period priorities.</w:t>
      </w:r>
    </w:p>
    <w:p>
      <w:pPr>
        <w:pStyle w:val="BodyText"/>
      </w:pPr>
      <w:r>
        <w:t xml:space="preserve">It does not create a separate analysis from raw data.</w:t>
      </w:r>
    </w:p>
    <w:bookmarkEnd w:id="27"/>
    <w:bookmarkStart w:id="28" w:name="Xf45dbdd1d766357fb078d98332716c7a6d834e8"/>
    <w:p>
      <w:pPr>
        <w:pStyle w:val="Heading2"/>
      </w:pPr>
      <w:r>
        <w:t xml:space="preserve">Discoverability &amp; Content Opportunity Intelligence</w:t>
      </w:r>
    </w:p>
    <w:p>
      <w:pPr>
        <w:pStyle w:val="FirstParagraph"/>
      </w:pPr>
      <w:r>
        <w:t xml:space="preserve">SimpliCreative will use approved search and client evidence to identify discoverability and content opportunities.</w:t>
      </w:r>
    </w:p>
    <w:p>
      <w:pPr>
        <w:pStyle w:val="BodyText"/>
      </w:pPr>
      <w:r>
        <w:t xml:space="preserve">This may include high-impression, low-click queries; non-branded search demand; branded and rebrand-search behavior; priority service or topic themes; existing pages that should be improved; missing content opportunities; content consolidation opportunities; and AI-search visibility where defensible evidence exists.</w:t>
      </w:r>
    </w:p>
    <w:p>
      <w:pPr>
        <w:pStyle w:val="BodyText"/>
      </w:pPr>
      <w:r>
        <w:t xml:space="preserve">Recommendations will connect search evidence to audience, business relevance, available expertise, proof, and an appropriate next action.</w:t>
      </w:r>
    </w:p>
    <w:p>
      <w:pPr>
        <w:pStyle w:val="BodyText"/>
      </w:pPr>
      <w:r>
        <w:t xml:space="preserve">Search volume alone does not determine content strategy.</w:t>
      </w:r>
    </w:p>
    <w:bookmarkEnd w:id="28"/>
    <w:bookmarkStart w:id="29" w:name="conversion-journey-optimization"/>
    <w:p>
      <w:pPr>
        <w:pStyle w:val="Heading2"/>
      </w:pPr>
      <w:r>
        <w:t xml:space="preserve">Conversion &amp; Journey Optimization</w:t>
      </w:r>
    </w:p>
    <w:p>
      <w:pPr>
        <w:pStyle w:val="FirstParagraph"/>
      </w:pPr>
      <w:r>
        <w:t xml:space="preserve">SimpliCreative will monitor meaningful conversion behavior and identify evidence-supported opportunities to improve the path from website visit to desired action.</w:t>
      </w:r>
    </w:p>
    <w:p>
      <w:pPr>
        <w:pStyle w:val="BodyText"/>
      </w:pPr>
      <w:r>
        <w:t xml:space="preserve">For Here App, this may include the website-to-app-store handoff, download-page clarity, CTA prominence, campaign landing-page experience, and other approved conversion paths.</w:t>
      </w:r>
    </w:p>
    <w:p>
      <w:pPr>
        <w:pStyle w:val="BodyText"/>
      </w:pPr>
      <w:r>
        <w:rPr>
          <w:rStyle w:val="VerbatimChar"/>
        </w:rPr>
        <w:t xml:space="preserve">OBSERVATION → HYPOTHESIS → CHANGE → MEASUREMENT → LEARNING</w:t>
      </w:r>
    </w:p>
    <w:p>
      <w:pPr>
        <w:pStyle w:val="BodyText"/>
      </w:pPr>
      <w:r>
        <w:t xml:space="preserve">SimpliCreative will not claim that a change caused an outcome unless the available evidence can responsibly support that conclusion.</w:t>
      </w:r>
    </w:p>
    <w:bookmarkEnd w:id="29"/>
    <w:bookmarkStart w:id="30" w:name="measurement-stewardship"/>
    <w:p>
      <w:pPr>
        <w:pStyle w:val="Heading2"/>
      </w:pPr>
      <w:r>
        <w:t xml:space="preserve">Measurement Stewardship</w:t>
      </w:r>
    </w:p>
    <w:p>
      <w:pPr>
        <w:pStyle w:val="FirstParagraph"/>
      </w:pPr>
      <w:r>
        <w:t xml:space="preserve">SimpliCreative will help protect the measurement foundation required for useful reporting and decision-making.</w:t>
      </w:r>
    </w:p>
    <w:p>
      <w:pPr>
        <w:pStyle w:val="BodyText"/>
      </w:pPr>
      <w:r>
        <w:t xml:space="preserve">Depending on approved access and systems, this may include GA4, Google Search Console, app/download evidence, CRM or marketing automation, paid-platform data, and other approved sources.</w:t>
      </w:r>
    </w:p>
    <w:p>
      <w:pPr>
        <w:pStyle w:val="BodyText"/>
      </w:pPr>
      <w:r>
        <w:t xml:space="preserve">Work may include tracking review, event-definition review, source/UTM consistency, conversion-definition cleanup, and validation after approved website changes.</w:t>
      </w:r>
    </w:p>
    <w:p>
      <w:pPr>
        <w:pStyle w:val="BodyText"/>
      </w:pPr>
      <w:r>
        <w:t xml:space="preserve">Installed analytics is not the same as meaningful measurement.</w:t>
      </w:r>
    </w:p>
    <w:bookmarkEnd w:id="30"/>
    <w:bookmarkStart w:id="31" w:name="strategy-priority-review"/>
    <w:p>
      <w:pPr>
        <w:pStyle w:val="Heading2"/>
      </w:pPr>
      <w:r>
        <w:t xml:space="preserve">Strategy &amp; Priority Review</w:t>
      </w:r>
    </w:p>
    <w:p>
      <w:pPr>
        <w:pStyle w:val="FirstParagraph"/>
      </w:pPr>
      <w:r>
        <w:t xml:space="preserve">SimpliCreative will hold a monthly strategy review to discuss performance, priorities, open questions, approved opportunities, and what deserves attention next.</w:t>
      </w:r>
    </w:p>
    <w:p>
      <w:pPr>
        <w:pStyle w:val="BodyText"/>
      </w:pPr>
      <w:r>
        <w:t xml:space="preserve">The purpose is to keep website execution tied to marketing objectives rather than letting the relationship become a stream of disconnected requests.</w:t>
      </w:r>
    </w:p>
    <w:bookmarkEnd w:id="31"/>
    <w:bookmarkStart w:id="32" w:name="partner-coordination"/>
    <w:p>
      <w:pPr>
        <w:pStyle w:val="Heading2"/>
      </w:pPr>
      <w:r>
        <w:t xml:space="preserve">Partner Coordination</w:t>
      </w:r>
    </w:p>
    <w:p>
      <w:pPr>
        <w:pStyle w:val="FirstParagraph"/>
      </w:pPr>
      <w:r>
        <w:t xml:space="preserve">Here App may continue to work with paid-media specialists, internal team members, app/product partners, content partners, or other specialists.</w:t>
      </w:r>
    </w:p>
    <w:p>
      <w:pPr>
        <w:pStyle w:val="BodyText"/>
      </w:pPr>
      <w:r>
        <w:t xml:space="preserve">SimpliCreative will coordinate where their recommendations materially affect the website, measurement, messaging, conversion path, or digital foundation within our scope.</w:t>
      </w:r>
    </w:p>
    <w:p>
      <w:pPr>
        <w:pStyle w:val="BodyText"/>
      </w:pPr>
      <w:r>
        <w:t xml:space="preserve">SimpliCreative does not need to own every channel.</w:t>
      </w:r>
    </w:p>
    <w:bookmarkEnd w:id="32"/>
    <w:bookmarkEnd w:id="33"/>
    <w:bookmarkStart w:id="34" w:name="standard-care-outputs"/>
    <w:p>
      <w:pPr>
        <w:pStyle w:val="Heading1"/>
      </w:pPr>
      <w:r>
        <w:t xml:space="preserve">Standard CARE Outputs</w:t>
      </w:r>
    </w:p>
    <w:tbl>
      <w:tblPr>
        <w:tblStyle w:val="Table"/>
        <w:tblW w:type="pct" w:w="5000"/>
        <w:jc w:val="center"/>
        <w:tblLayout w:type="fixed"/>
        <w:tblLook w:firstRow="1" w:lastRow="0" w:firstColumn="0" w:lastColumn="0" w:noHBand="0" w:noVBand="0" w:val="0020"/>
      </w:tblPr>
      <w:tblGrid>
        <w:gridCol w:w="3960"/>
        <w:gridCol w:w="3960"/>
      </w:tblGrid>
      <w:tr>
        <w:trPr>
          <w:tblHeader w:val="on"/>
          <w:cantSplit/>
          <w:tblHeader w:val="true"/>
        </w:trPr>
        <w:tc>
          <w:tcPr>
            <w:tcMar>
              <w:top w:w="105" w:type="dxa"/>
              <w:start w:w="105" w:type="dxa"/>
              <w:bottom w:w="105" w:type="dxa"/>
              <w:end w:w="105" w:type="dxa"/>
            </w:tcMar>
            <w:vAlign w:val="center"/>
            <w:shd w:fill="0F5B59"/>
          </w:tcPr>
          <w:p>
            <w:pPr>
              <w:pStyle w:val="Compact"/>
              <w:spacing w:after="0"/>
              <w:jc w:val="left"/>
            </w:pPr>
            <w:r>
              <w:rPr>
                <w:rFonts w:ascii="Aptos" w:hAnsi="Aptos"/>
                <w:b/>
                <w:color w:val="FFFFFF"/>
                <w:sz w:val="15"/>
              </w:rPr>
              <w:t xml:space="preserve">Output</w:t>
            </w:r>
          </w:p>
        </w:tc>
        <w:tc>
          <w:tcPr>
            <w:tcMar>
              <w:top w:w="105" w:type="dxa"/>
              <w:start w:w="105" w:type="dxa"/>
              <w:bottom w:w="105" w:type="dxa"/>
              <w:end w:w="105" w:type="dxa"/>
            </w:tcMar>
            <w:vAlign w:val="center"/>
            <w:shd w:fill="0F5B59"/>
          </w:tcPr>
          <w:p>
            <w:pPr>
              <w:pStyle w:val="Compact"/>
              <w:spacing w:after="0"/>
              <w:jc w:val="left"/>
            </w:pPr>
            <w:r>
              <w:rPr>
                <w:rFonts w:ascii="Aptos" w:hAnsi="Aptos"/>
                <w:b/>
                <w:color w:val="FFFFFF"/>
                <w:sz w:val="15"/>
              </w:rPr>
              <w:t xml:space="preserve">Cadence / Trigger</w:t>
            </w:r>
          </w:p>
        </w:tc>
      </w:tr>
      <w:tr>
        <w:trPr>
          <w:cantSplit/>
        </w:trPr>
        <w:tc>
          <w:tcPr>
            <w:tcMar>
              <w:top w:w="105" w:type="dxa"/>
              <w:start w:w="105" w:type="dxa"/>
              <w:bottom w:w="105" w:type="dxa"/>
              <w:end w:w="105" w:type="dxa"/>
            </w:tcMar>
            <w:vAlign w:val="center"/>
          </w:tcPr>
          <w:p>
            <w:pPr>
              <w:pStyle w:val="Compact"/>
              <w:spacing w:after="0"/>
              <w:jc w:val="left"/>
            </w:pPr>
            <w:r>
              <w:rPr>
                <w:rFonts w:ascii="Aptos" w:hAnsi="Aptos"/>
                <w:color w:val="252525"/>
                <w:sz w:val="15"/>
              </w:rPr>
              <w:t xml:space="preserve">Marketing Performance Intelligence Report</w:t>
            </w:r>
          </w:p>
        </w:tc>
        <w:tc>
          <w:tcPr>
            <w:tcMar>
              <w:top w:w="105" w:type="dxa"/>
              <w:start w:w="105" w:type="dxa"/>
              <w:bottom w:w="105" w:type="dxa"/>
              <w:end w:w="105" w:type="dxa"/>
            </w:tcMar>
            <w:vAlign w:val="center"/>
          </w:tcPr>
          <w:p>
            <w:pPr>
              <w:pStyle w:val="Compact"/>
              <w:spacing w:after="0"/>
              <w:jc w:val="left"/>
            </w:pPr>
            <w:r>
              <w:rPr>
                <w:rFonts w:ascii="Aptos" w:hAnsi="Aptos"/>
                <w:color w:val="252525"/>
                <w:sz w:val="15"/>
              </w:rPr>
              <w:t xml:space="preserve">Monthly</w:t>
            </w:r>
          </w:p>
        </w:tc>
      </w:tr>
      <w:tr>
        <w:trPr>
          <w:cantSplit/>
        </w:trPr>
        <w:tc>
          <w:tcPr>
            <w:tcMar>
              <w:top w:w="105" w:type="dxa"/>
              <w:start w:w="105" w:type="dxa"/>
              <w:bottom w:w="105" w:type="dxa"/>
              <w:end w:w="105" w:type="dxa"/>
            </w:tcMar>
            <w:vAlign w:val="center"/>
          </w:tcPr>
          <w:p>
            <w:pPr>
              <w:pStyle w:val="Compact"/>
              <w:spacing w:after="0"/>
              <w:jc w:val="left"/>
            </w:pPr>
            <w:r>
              <w:rPr>
                <w:rFonts w:ascii="Aptos" w:hAnsi="Aptos"/>
                <w:color w:val="252525"/>
                <w:sz w:val="15"/>
              </w:rPr>
              <w:t xml:space="preserve">Executive Impact Deck</w:t>
            </w:r>
          </w:p>
        </w:tc>
        <w:tc>
          <w:tcPr>
            <w:tcMar>
              <w:top w:w="105" w:type="dxa"/>
              <w:start w:w="105" w:type="dxa"/>
              <w:bottom w:w="105" w:type="dxa"/>
              <w:end w:w="105" w:type="dxa"/>
            </w:tcMar>
            <w:vAlign w:val="center"/>
          </w:tcPr>
          <w:p>
            <w:pPr>
              <w:pStyle w:val="Compact"/>
              <w:spacing w:after="0"/>
              <w:jc w:val="left"/>
            </w:pPr>
            <w:r>
              <w:rPr>
                <w:rFonts w:ascii="Aptos" w:hAnsi="Aptos"/>
                <w:color w:val="252525"/>
                <w:sz w:val="15"/>
              </w:rPr>
              <w:t xml:space="preserve">When leadership / board version is requested</w:t>
            </w:r>
          </w:p>
        </w:tc>
      </w:tr>
      <w:tr>
        <w:trPr>
          <w:cantSplit/>
        </w:trPr>
        <w:tc>
          <w:tcPr>
            <w:tcMar>
              <w:top w:w="105" w:type="dxa"/>
              <w:start w:w="105" w:type="dxa"/>
              <w:bottom w:w="105" w:type="dxa"/>
              <w:end w:w="105" w:type="dxa"/>
            </w:tcMar>
            <w:vAlign w:val="center"/>
          </w:tcPr>
          <w:p>
            <w:pPr>
              <w:pStyle w:val="Compact"/>
              <w:spacing w:after="0"/>
              <w:jc w:val="left"/>
            </w:pPr>
            <w:r>
              <w:rPr>
                <w:rFonts w:ascii="Aptos" w:hAnsi="Aptos"/>
                <w:color w:val="252525"/>
                <w:sz w:val="15"/>
              </w:rPr>
              <w:t xml:space="preserve">Discoverability &amp; Content Opportunity Report</w:t>
            </w:r>
          </w:p>
        </w:tc>
        <w:tc>
          <w:tcPr>
            <w:tcMar>
              <w:top w:w="105" w:type="dxa"/>
              <w:start w:w="105" w:type="dxa"/>
              <w:bottom w:w="105" w:type="dxa"/>
              <w:end w:w="105" w:type="dxa"/>
            </w:tcMar>
            <w:vAlign w:val="center"/>
          </w:tcPr>
          <w:p>
            <w:pPr>
              <w:pStyle w:val="Compact"/>
              <w:spacing w:after="0"/>
              <w:jc w:val="left"/>
            </w:pPr>
            <w:r>
              <w:rPr>
                <w:rFonts w:ascii="Aptos" w:hAnsi="Aptos"/>
                <w:color w:val="252525"/>
                <w:sz w:val="15"/>
              </w:rPr>
              <w:t xml:space="preserve">As approved search evidence supports a meaningful opportunity cycle</w:t>
            </w:r>
          </w:p>
        </w:tc>
      </w:tr>
      <w:tr>
        <w:trPr>
          <w:cantSplit/>
        </w:trPr>
        <w:tc>
          <w:tcPr>
            <w:tcMar>
              <w:top w:w="105" w:type="dxa"/>
              <w:start w:w="105" w:type="dxa"/>
              <w:bottom w:w="105" w:type="dxa"/>
              <w:end w:w="105" w:type="dxa"/>
            </w:tcMar>
            <w:vAlign w:val="center"/>
          </w:tcPr>
          <w:p>
            <w:pPr>
              <w:pStyle w:val="Compact"/>
              <w:spacing w:after="0"/>
              <w:jc w:val="left"/>
            </w:pPr>
            <w:r>
              <w:rPr>
                <w:rFonts w:ascii="Aptos" w:hAnsi="Aptos"/>
                <w:color w:val="252525"/>
                <w:sz w:val="15"/>
              </w:rPr>
              <w:t xml:space="preserve">Strategy &amp; Priority Review</w:t>
            </w:r>
          </w:p>
        </w:tc>
        <w:tc>
          <w:tcPr>
            <w:tcMar>
              <w:top w:w="105" w:type="dxa"/>
              <w:start w:w="105" w:type="dxa"/>
              <w:bottom w:w="105" w:type="dxa"/>
              <w:end w:w="105" w:type="dxa"/>
            </w:tcMar>
            <w:vAlign w:val="center"/>
          </w:tcPr>
          <w:p>
            <w:pPr>
              <w:pStyle w:val="Compact"/>
              <w:spacing w:after="0"/>
              <w:jc w:val="left"/>
            </w:pPr>
            <w:r>
              <w:rPr>
                <w:rFonts w:ascii="Aptos" w:hAnsi="Aptos"/>
                <w:color w:val="252525"/>
                <w:sz w:val="15"/>
              </w:rPr>
              <w:t xml:space="preserve">Monthly</w:t>
            </w:r>
          </w:p>
        </w:tc>
      </w:tr>
      <w:tr>
        <w:trPr>
          <w:cantSplit/>
        </w:trPr>
        <w:tc>
          <w:tcPr>
            <w:tcMar>
              <w:top w:w="105" w:type="dxa"/>
              <w:start w:w="105" w:type="dxa"/>
              <w:bottom w:w="105" w:type="dxa"/>
              <w:end w:w="105" w:type="dxa"/>
            </w:tcMar>
            <w:vAlign w:val="center"/>
          </w:tcPr>
          <w:p>
            <w:pPr>
              <w:pStyle w:val="Compact"/>
              <w:spacing w:after="0"/>
              <w:jc w:val="left"/>
            </w:pPr>
            <w:r>
              <w:rPr>
                <w:rFonts w:ascii="Aptos" w:hAnsi="Aptos"/>
                <w:color w:val="252525"/>
                <w:sz w:val="15"/>
              </w:rPr>
              <w:t xml:space="preserve">Approved website / conversion improvements</w:t>
            </w:r>
          </w:p>
        </w:tc>
        <w:tc>
          <w:tcPr>
            <w:tcMar>
              <w:top w:w="105" w:type="dxa"/>
              <w:start w:w="105" w:type="dxa"/>
              <w:bottom w:w="105" w:type="dxa"/>
              <w:end w:w="105" w:type="dxa"/>
            </w:tcMar>
            <w:vAlign w:val="center"/>
          </w:tcPr>
          <w:p>
            <w:pPr>
              <w:pStyle w:val="Compact"/>
              <w:spacing w:after="0"/>
              <w:jc w:val="left"/>
            </w:pPr>
            <w:r>
              <w:rPr>
                <w:rFonts w:ascii="Aptos" w:hAnsi="Aptos"/>
                <w:color w:val="252525"/>
                <w:sz w:val="15"/>
              </w:rPr>
              <w:t xml:space="preserve">According to prioritized CARE scope</w:t>
            </w:r>
          </w:p>
        </w:tc>
      </w:tr>
      <w:tr>
        <w:trPr>
          <w:cantSplit/>
        </w:trPr>
        <w:tc>
          <w:tcPr>
            <w:tcMar>
              <w:top w:w="105" w:type="dxa"/>
              <w:start w:w="105" w:type="dxa"/>
              <w:bottom w:w="105" w:type="dxa"/>
              <w:end w:w="105" w:type="dxa"/>
            </w:tcMar>
            <w:vAlign w:val="center"/>
          </w:tcPr>
          <w:p>
            <w:pPr>
              <w:pStyle w:val="Compact"/>
              <w:spacing w:after="0"/>
              <w:jc w:val="left"/>
            </w:pPr>
            <w:r>
              <w:rPr>
                <w:rFonts w:ascii="Aptos" w:hAnsi="Aptos"/>
                <w:color w:val="252525"/>
                <w:sz w:val="15"/>
              </w:rPr>
              <w:t xml:space="preserve">Outcome records</w:t>
            </w:r>
          </w:p>
        </w:tc>
        <w:tc>
          <w:tcPr>
            <w:tcMar>
              <w:top w:w="105" w:type="dxa"/>
              <w:start w:w="105" w:type="dxa"/>
              <w:bottom w:w="105" w:type="dxa"/>
              <w:end w:w="105" w:type="dxa"/>
            </w:tcMar>
            <w:vAlign w:val="center"/>
          </w:tcPr>
          <w:p>
            <w:pPr>
              <w:pStyle w:val="Compact"/>
              <w:spacing w:after="0"/>
              <w:jc w:val="left"/>
            </w:pPr>
            <w:r>
              <w:rPr>
                <w:rFonts w:ascii="Aptos" w:hAnsi="Aptos"/>
                <w:color w:val="252525"/>
                <w:sz w:val="15"/>
              </w:rPr>
              <w:t xml:space="preserve">When implemented recommendations have enough evidence for review</w:t>
            </w:r>
          </w:p>
        </w:tc>
      </w:tr>
    </w:tbl>
    <w:bookmarkEnd w:id="34"/>
    <w:bookmarkStart w:id="35" w:name="client-responsibilities"/>
    <w:p>
      <w:pPr>
        <w:pStyle w:val="Heading1"/>
      </w:pPr>
      <w:r>
        <w:t xml:space="preserve">Client Responsibilities</w:t>
      </w:r>
    </w:p>
    <w:p>
      <w:pPr>
        <w:pStyle w:val="FirstParagraph"/>
      </w:pPr>
      <w:r>
        <w:t xml:space="preserve">Here App will provide timely access to approved systems, current campaign context, relevant app or business data, approved brand and messaging inputs, and consolidated feedback.</w:t>
      </w:r>
    </w:p>
    <w:p>
      <w:pPr>
        <w:pStyle w:val="BodyText"/>
      </w:pPr>
      <w:r>
        <w:t xml:space="preserve">Here App remains responsible for factual accuracy, legal or regulatory claims, app/product decisions, paid-media decisions owned by other partners, and final approval of strategic recommendations and published content.</w:t>
      </w:r>
    </w:p>
    <w:p>
      <w:pPr>
        <w:pStyle w:val="BodyText"/>
      </w:pPr>
      <w:r>
        <w:t xml:space="preserve">Where a recommendation depends on data or access that is unavailable, SimpliCreative will preserve that limitation rather than infer the missing evidence.</w:t>
      </w:r>
    </w:p>
    <w:bookmarkEnd w:id="35"/>
    <w:bookmarkStart w:id="36" w:name="what-is-not-included"/>
    <w:p>
      <w:pPr>
        <w:pStyle w:val="Heading1"/>
      </w:pPr>
      <w:r>
        <w:t xml:space="preserve">What Is Not Included</w:t>
      </w:r>
    </w:p>
    <w:p>
      <w:pPr>
        <w:pStyle w:val="FirstParagraph"/>
      </w:pPr>
      <w:r>
        <w:t xml:space="preserve">The base CARE engagement does not automatically include:</w:t>
      </w:r>
    </w:p>
    <w:p>
      <w:pPr>
        <w:pStyle w:val="Compact"/>
        <w:numPr>
          <w:ilvl w:val="0"/>
          <w:numId w:val="1001"/>
        </w:numPr>
      </w:pPr>
      <w:r>
        <w:t xml:space="preserve">Paid-media campaign management.</w:t>
      </w:r>
    </w:p>
    <w:p>
      <w:pPr>
        <w:pStyle w:val="Compact"/>
        <w:numPr>
          <w:ilvl w:val="0"/>
          <w:numId w:val="1001"/>
        </w:numPr>
      </w:pPr>
      <w:r>
        <w:t xml:space="preserve">Major website redesigns.</w:t>
      </w:r>
    </w:p>
    <w:p>
      <w:pPr>
        <w:pStyle w:val="Compact"/>
        <w:numPr>
          <w:ilvl w:val="0"/>
          <w:numId w:val="1001"/>
        </w:numPr>
      </w:pPr>
      <w:r>
        <w:t xml:space="preserve">Major custom development.</w:t>
      </w:r>
    </w:p>
    <w:p>
      <w:pPr>
        <w:pStyle w:val="Compact"/>
        <w:numPr>
          <w:ilvl w:val="0"/>
          <w:numId w:val="1001"/>
        </w:numPr>
      </w:pPr>
      <w:r>
        <w:t xml:space="preserve">Large new applications, portals, or complex integrations.</w:t>
      </w:r>
    </w:p>
    <w:p>
      <w:pPr>
        <w:pStyle w:val="Compact"/>
        <w:numPr>
          <w:ilvl w:val="0"/>
          <w:numId w:val="1001"/>
        </w:numPr>
      </w:pPr>
      <w:r>
        <w:t xml:space="preserve">Substantial new positioning or messaging strategy.</w:t>
      </w:r>
    </w:p>
    <w:p>
      <w:pPr>
        <w:pStyle w:val="Compact"/>
        <w:numPr>
          <w:ilvl w:val="0"/>
          <w:numId w:val="1001"/>
        </w:numPr>
      </w:pPr>
      <w:r>
        <w:t xml:space="preserve">Full Blueprint-level strategic investigation.</w:t>
      </w:r>
    </w:p>
    <w:p>
      <w:pPr>
        <w:pStyle w:val="Compact"/>
        <w:numPr>
          <w:ilvl w:val="0"/>
          <w:numId w:val="1001"/>
        </w:numPr>
      </w:pPr>
      <w:r>
        <w:t xml:space="preserve">Large content-production programs unless separately approved.</w:t>
      </w:r>
    </w:p>
    <w:p>
      <w:pPr>
        <w:pStyle w:val="Compact"/>
        <w:numPr>
          <w:ilvl w:val="0"/>
          <w:numId w:val="1001"/>
        </w:numPr>
      </w:pPr>
      <w:r>
        <w:t xml:space="preserve">Legal, compliance, or regulatory advice.</w:t>
      </w:r>
    </w:p>
    <w:p>
      <w:pPr>
        <w:pStyle w:val="Compact"/>
        <w:numPr>
          <w:ilvl w:val="0"/>
          <w:numId w:val="1001"/>
        </w:numPr>
      </w:pPr>
      <w:r>
        <w:t xml:space="preserve">Unlimited website requests or unlimited development capacity.</w:t>
      </w:r>
    </w:p>
    <w:p>
      <w:pPr>
        <w:pStyle w:val="FirstParagraph"/>
      </w:pPr>
      <w:r>
        <w:t xml:space="preserve">Work outside the approved responsibility may be handled as a defined mini-project, a commercial scope change, SimpliBlueprint, SimpliFoundation, or another appropriate engagement.</w:t>
      </w:r>
    </w:p>
    <w:bookmarkEnd w:id="36"/>
    <w:bookmarkStart w:id="38" w:name="investment"/>
    <w:p>
      <w:pPr>
        <w:pStyle w:val="Heading1"/>
      </w:pPr>
      <w:r>
        <w:t xml:space="preserve">Investment</w:t>
      </w:r>
    </w:p>
    <w:bookmarkStart w:id="37" w:name="simplicare-growth-1"/>
    <w:p>
      <w:pPr>
        <w:pStyle w:val="Heading2"/>
      </w:pPr>
      <w:r>
        <w:t xml:space="preserve">SimpliCARE Growth</w:t>
      </w:r>
    </w:p>
    <w:p>
      <w:pPr>
        <w:pStyle w:val="FirstParagraph"/>
      </w:pPr>
      <w:r>
        <w:rPr>
          <w:b/>
          <w:bCs/>
        </w:rPr>
        <w:t xml:space="preserve">$6,500 per month</w:t>
      </w:r>
    </w:p>
    <w:p>
      <w:pPr>
        <w:pStyle w:val="BodyText"/>
      </w:pPr>
      <w:r>
        <w:t xml:space="preserve">This demonstration assumes the final scope and $6,500/month investment have already received human commercial approval.</w:t>
      </w:r>
    </w:p>
    <w:p>
      <w:pPr>
        <w:pStyle w:val="BodyText"/>
      </w:pPr>
      <w:r>
        <w:t xml:space="preserve">Production proposals must use the active Pricing Source of Truth and approved client-specific commercial decision.</w:t>
      </w:r>
    </w:p>
    <w:p>
      <w:pPr>
        <w:pStyle w:val="BodyText"/>
      </w:pPr>
      <w:r>
        <w:t xml:space="preserve">No historical price, discount, or prior retainer rate should be treated as current pricing authority.</w:t>
      </w:r>
    </w:p>
    <w:bookmarkEnd w:id="37"/>
    <w:bookmarkEnd w:id="38"/>
    <w:bookmarkStart w:id="39" w:name="commercial-structure"/>
    <w:p>
      <w:pPr>
        <w:pStyle w:val="Heading1"/>
      </w:pPr>
      <w:r>
        <w:t xml:space="preserve">Commercial Structure</w:t>
      </w:r>
    </w:p>
    <w:p>
      <w:pPr>
        <w:pStyle w:val="FirstParagraph"/>
      </w:pPr>
      <w:r>
        <w:t xml:space="preserve">Recurring CARE services are governed by the current approved agreement / SOW and current payment terms.</w:t>
      </w:r>
    </w:p>
    <w:p>
      <w:pPr>
        <w:pStyle w:val="BodyText"/>
      </w:pPr>
      <w:r>
        <w:t xml:space="preserve">The proposal itself does not create or modify legal terms.</w:t>
      </w:r>
    </w:p>
    <w:p>
      <w:pPr>
        <w:pStyle w:val="BodyText"/>
      </w:pPr>
      <w:r>
        <w:t xml:space="preserve">Any material change in responsibility, scope, cadence, or price requires human commercial review.</w:t>
      </w:r>
    </w:p>
    <w:bookmarkEnd w:id="39"/>
    <w:bookmarkStart w:id="40" w:name="how-we-will-work-together"/>
    <w:p>
      <w:pPr>
        <w:pStyle w:val="Heading1"/>
      </w:pPr>
      <w:r>
        <w:t xml:space="preserve">How We Will Work Together</w:t>
      </w:r>
    </w:p>
    <w:tbl>
      <w:tblPr>
        <w:tblStyle w:val="Table"/>
        <w:tblW w:type="pct" w:w="5000"/>
        <w:jc w:val="center"/>
        <w:tblLayout w:type="fixed"/>
        <w:tblLook w:firstRow="1" w:lastRow="0" w:firstColumn="0" w:lastColumn="0" w:noHBand="0" w:noVBand="0" w:val="0020"/>
      </w:tblPr>
      <w:tblGrid>
        <w:gridCol w:w="3960"/>
        <w:gridCol w:w="3960"/>
      </w:tblGrid>
      <w:tr>
        <w:trPr>
          <w:tblHeader w:val="on"/>
          <w:cantSplit/>
          <w:tblHeader w:val="true"/>
        </w:trPr>
        <w:tc>
          <w:tcPr>
            <w:tcMar>
              <w:top w:w="105" w:type="dxa"/>
              <w:start w:w="105" w:type="dxa"/>
              <w:bottom w:w="105" w:type="dxa"/>
              <w:end w:w="105" w:type="dxa"/>
            </w:tcMar>
            <w:vAlign w:val="center"/>
            <w:shd w:fill="0F5B59"/>
          </w:tcPr>
          <w:p>
            <w:pPr>
              <w:pStyle w:val="Compact"/>
              <w:spacing w:after="0"/>
              <w:jc w:val="left"/>
            </w:pPr>
            <w:r>
              <w:rPr>
                <w:rFonts w:ascii="Aptos" w:hAnsi="Aptos"/>
                <w:b/>
                <w:color w:val="FFFFFF"/>
                <w:sz w:val="15"/>
              </w:rPr>
              <w:t xml:space="preserve">Step</w:t>
            </w:r>
          </w:p>
        </w:tc>
        <w:tc>
          <w:tcPr>
            <w:tcMar>
              <w:top w:w="105" w:type="dxa"/>
              <w:start w:w="105" w:type="dxa"/>
              <w:bottom w:w="105" w:type="dxa"/>
              <w:end w:w="105" w:type="dxa"/>
            </w:tcMar>
            <w:vAlign w:val="center"/>
            <w:shd w:fill="0F5B59"/>
          </w:tcPr>
          <w:p>
            <w:pPr>
              <w:pStyle w:val="Compact"/>
              <w:spacing w:after="0"/>
              <w:jc w:val="left"/>
            </w:pPr>
            <w:r>
              <w:rPr>
                <w:rFonts w:ascii="Aptos" w:hAnsi="Aptos"/>
                <w:b/>
                <w:color w:val="FFFFFF"/>
                <w:sz w:val="15"/>
              </w:rPr>
              <w:t xml:space="preserve">What Happens</w:t>
            </w:r>
          </w:p>
        </w:tc>
      </w:tr>
      <w:tr>
        <w:trPr>
          <w:cantSplit/>
        </w:trPr>
        <w:tc>
          <w:tcPr>
            <w:tcMar>
              <w:top w:w="105" w:type="dxa"/>
              <w:start w:w="105" w:type="dxa"/>
              <w:bottom w:w="105" w:type="dxa"/>
              <w:end w:w="105" w:type="dxa"/>
            </w:tcMar>
            <w:vAlign w:val="center"/>
          </w:tcPr>
          <w:p>
            <w:pPr>
              <w:pStyle w:val="Compact"/>
              <w:spacing w:after="0"/>
              <w:jc w:val="left"/>
            </w:pPr>
            <w:r>
              <w:rPr>
                <w:rFonts w:ascii="Aptos" w:hAnsi="Aptos"/>
                <w:color w:val="252525"/>
                <w:sz w:val="15"/>
              </w:rPr>
              <w:t xml:space="preserve">1. Confirm scope</w:t>
            </w:r>
          </w:p>
        </w:tc>
        <w:tc>
          <w:tcPr>
            <w:tcMar>
              <w:top w:w="105" w:type="dxa"/>
              <w:start w:w="105" w:type="dxa"/>
              <w:bottom w:w="105" w:type="dxa"/>
              <w:end w:w="105" w:type="dxa"/>
            </w:tcMar>
            <w:vAlign w:val="center"/>
          </w:tcPr>
          <w:p>
            <w:pPr>
              <w:pStyle w:val="Compact"/>
              <w:spacing w:after="0"/>
              <w:jc w:val="left"/>
            </w:pPr>
            <w:r>
              <w:rPr>
                <w:rFonts w:ascii="Aptos" w:hAnsi="Aptos"/>
                <w:color w:val="252525"/>
                <w:sz w:val="15"/>
              </w:rPr>
              <w:t xml:space="preserve">Confirm the approved CARE responsibility and commercial terms.</w:t>
            </w:r>
          </w:p>
        </w:tc>
      </w:tr>
      <w:tr>
        <w:trPr>
          <w:cantSplit/>
        </w:trPr>
        <w:tc>
          <w:tcPr>
            <w:tcMar>
              <w:top w:w="105" w:type="dxa"/>
              <w:start w:w="105" w:type="dxa"/>
              <w:bottom w:w="105" w:type="dxa"/>
              <w:end w:w="105" w:type="dxa"/>
            </w:tcMar>
            <w:vAlign w:val="center"/>
          </w:tcPr>
          <w:p>
            <w:pPr>
              <w:pStyle w:val="Compact"/>
              <w:spacing w:after="0"/>
              <w:jc w:val="left"/>
            </w:pPr>
            <w:r>
              <w:rPr>
                <w:rFonts w:ascii="Aptos" w:hAnsi="Aptos"/>
                <w:color w:val="252525"/>
                <w:sz w:val="15"/>
              </w:rPr>
              <w:t xml:space="preserve">2. Agreement + activation</w:t>
            </w:r>
          </w:p>
        </w:tc>
        <w:tc>
          <w:tcPr>
            <w:tcMar>
              <w:top w:w="105" w:type="dxa"/>
              <w:start w:w="105" w:type="dxa"/>
              <w:bottom w:w="105" w:type="dxa"/>
              <w:end w:w="105" w:type="dxa"/>
            </w:tcMar>
            <w:vAlign w:val="center"/>
          </w:tcPr>
          <w:p>
            <w:pPr>
              <w:pStyle w:val="Compact"/>
              <w:spacing w:after="0"/>
              <w:jc w:val="left"/>
            </w:pPr>
            <w:r>
              <w:rPr>
                <w:rFonts w:ascii="Aptos" w:hAnsi="Aptos"/>
                <w:color w:val="252525"/>
                <w:sz w:val="15"/>
              </w:rPr>
              <w:t xml:space="preserve">Execute the current controlled agreement / SOW and activation requirements.</w:t>
            </w:r>
          </w:p>
        </w:tc>
      </w:tr>
      <w:tr>
        <w:trPr>
          <w:cantSplit/>
        </w:trPr>
        <w:tc>
          <w:tcPr>
            <w:tcMar>
              <w:top w:w="105" w:type="dxa"/>
              <w:start w:w="105" w:type="dxa"/>
              <w:bottom w:w="105" w:type="dxa"/>
              <w:end w:w="105" w:type="dxa"/>
            </w:tcMar>
            <w:vAlign w:val="center"/>
          </w:tcPr>
          <w:p>
            <w:pPr>
              <w:pStyle w:val="Compact"/>
              <w:spacing w:after="0"/>
              <w:jc w:val="left"/>
            </w:pPr>
            <w:r>
              <w:rPr>
                <w:rFonts w:ascii="Aptos" w:hAnsi="Aptos"/>
                <w:color w:val="252525"/>
                <w:sz w:val="15"/>
              </w:rPr>
              <w:t xml:space="preserve">3. Baseline</w:t>
            </w:r>
          </w:p>
        </w:tc>
        <w:tc>
          <w:tcPr>
            <w:tcMar>
              <w:top w:w="105" w:type="dxa"/>
              <w:start w:w="105" w:type="dxa"/>
              <w:bottom w:w="105" w:type="dxa"/>
              <w:end w:w="105" w:type="dxa"/>
            </w:tcMar>
            <w:vAlign w:val="center"/>
          </w:tcPr>
          <w:p>
            <w:pPr>
              <w:pStyle w:val="Compact"/>
              <w:spacing w:after="0"/>
              <w:jc w:val="left"/>
            </w:pPr>
            <w:r>
              <w:rPr>
                <w:rFonts w:ascii="Aptos" w:hAnsi="Aptos"/>
                <w:color w:val="252525"/>
                <w:sz w:val="15"/>
              </w:rPr>
              <w:t xml:space="preserve">Confirm access, systems, baseline metrics, open issues, partners, and reporting cadence.</w:t>
            </w:r>
          </w:p>
        </w:tc>
      </w:tr>
      <w:tr>
        <w:trPr>
          <w:cantSplit/>
        </w:trPr>
        <w:tc>
          <w:tcPr>
            <w:tcMar>
              <w:top w:w="105" w:type="dxa"/>
              <w:start w:w="105" w:type="dxa"/>
              <w:bottom w:w="105" w:type="dxa"/>
              <w:end w:w="105" w:type="dxa"/>
            </w:tcMar>
            <w:vAlign w:val="center"/>
          </w:tcPr>
          <w:p>
            <w:pPr>
              <w:pStyle w:val="Compact"/>
              <w:spacing w:after="0"/>
              <w:jc w:val="left"/>
            </w:pPr>
            <w:r>
              <w:rPr>
                <w:rFonts w:ascii="Aptos" w:hAnsi="Aptos"/>
                <w:color w:val="252525"/>
                <w:sz w:val="15"/>
              </w:rPr>
              <w:t xml:space="preserve">4. First 30 days</w:t>
            </w:r>
          </w:p>
        </w:tc>
        <w:tc>
          <w:tcPr>
            <w:tcMar>
              <w:top w:w="105" w:type="dxa"/>
              <w:start w:w="105" w:type="dxa"/>
              <w:bottom w:w="105" w:type="dxa"/>
              <w:end w:w="105" w:type="dxa"/>
            </w:tcMar>
            <w:vAlign w:val="center"/>
          </w:tcPr>
          <w:p>
            <w:pPr>
              <w:pStyle w:val="Compact"/>
              <w:spacing w:after="0"/>
              <w:jc w:val="left"/>
            </w:pPr>
            <w:r>
              <w:rPr>
                <w:rFonts w:ascii="Aptos" w:hAnsi="Aptos"/>
                <w:color w:val="252525"/>
                <w:sz w:val="15"/>
              </w:rPr>
              <w:t xml:space="preserve">Establish the first priority plan.</w:t>
            </w:r>
          </w:p>
        </w:tc>
      </w:tr>
      <w:tr>
        <w:trPr>
          <w:cantSplit/>
        </w:trPr>
        <w:tc>
          <w:tcPr>
            <w:tcMar>
              <w:top w:w="105" w:type="dxa"/>
              <w:start w:w="105" w:type="dxa"/>
              <w:bottom w:w="105" w:type="dxa"/>
              <w:end w:w="105" w:type="dxa"/>
            </w:tcMar>
            <w:vAlign w:val="center"/>
          </w:tcPr>
          <w:p>
            <w:pPr>
              <w:pStyle w:val="Compact"/>
              <w:spacing w:after="0"/>
              <w:jc w:val="left"/>
            </w:pPr>
            <w:r>
              <w:rPr>
                <w:rFonts w:ascii="Aptos" w:hAnsi="Aptos"/>
                <w:color w:val="252525"/>
                <w:sz w:val="15"/>
              </w:rPr>
              <w:t xml:space="preserve">5. Recurring CARE</w:t>
            </w:r>
          </w:p>
        </w:tc>
        <w:tc>
          <w:tcPr>
            <w:tcMar>
              <w:top w:w="105" w:type="dxa"/>
              <w:start w:w="105" w:type="dxa"/>
              <w:bottom w:w="105" w:type="dxa"/>
              <w:end w:w="105" w:type="dxa"/>
            </w:tcMar>
            <w:vAlign w:val="center"/>
          </w:tcPr>
          <w:p>
            <w:pPr>
              <w:pStyle w:val="Compact"/>
              <w:spacing w:after="0"/>
              <w:jc w:val="left"/>
            </w:pPr>
            <w:r>
              <w:rPr>
                <w:rFonts w:ascii="Aptos" w:hAnsi="Aptos"/>
                <w:color w:val="252525"/>
                <w:sz w:val="15"/>
              </w:rPr>
              <w:t xml:space="preserve">Begin stewardship, reporting, optimization, and strategy review.</w:t>
            </w:r>
          </w:p>
        </w:tc>
      </w:tr>
      <w:tr>
        <w:trPr>
          <w:cantSplit/>
        </w:trPr>
        <w:tc>
          <w:tcPr>
            <w:tcMar>
              <w:top w:w="105" w:type="dxa"/>
              <w:start w:w="105" w:type="dxa"/>
              <w:bottom w:w="105" w:type="dxa"/>
              <w:end w:w="105" w:type="dxa"/>
            </w:tcMar>
            <w:vAlign w:val="center"/>
          </w:tcPr>
          <w:p>
            <w:pPr>
              <w:pStyle w:val="Compact"/>
              <w:spacing w:after="0"/>
              <w:jc w:val="left"/>
            </w:pPr>
            <w:r>
              <w:rPr>
                <w:rFonts w:ascii="Aptos" w:hAnsi="Aptos"/>
                <w:color w:val="252525"/>
                <w:sz w:val="15"/>
              </w:rPr>
              <w:t xml:space="preserve">6. Reprioritize</w:t>
            </w:r>
          </w:p>
        </w:tc>
        <w:tc>
          <w:tcPr>
            <w:tcMar>
              <w:top w:w="105" w:type="dxa"/>
              <w:start w:w="105" w:type="dxa"/>
              <w:bottom w:w="105" w:type="dxa"/>
              <w:end w:w="105" w:type="dxa"/>
            </w:tcMar>
            <w:vAlign w:val="center"/>
          </w:tcPr>
          <w:p>
            <w:pPr>
              <w:pStyle w:val="Compact"/>
              <w:spacing w:after="0"/>
              <w:jc w:val="left"/>
            </w:pPr>
            <w:r>
              <w:rPr>
                <w:rFonts w:ascii="Aptos" w:hAnsi="Aptos"/>
                <w:color w:val="252525"/>
                <w:sz w:val="15"/>
              </w:rPr>
              <w:t xml:space="preserve">Adjust priorities based on evidence and changing business needs.</w:t>
            </w:r>
          </w:p>
        </w:tc>
      </w:tr>
      <w:tr>
        <w:trPr>
          <w:cantSplit/>
        </w:trPr>
        <w:tc>
          <w:tcPr>
            <w:tcMar>
              <w:top w:w="105" w:type="dxa"/>
              <w:start w:w="105" w:type="dxa"/>
              <w:bottom w:w="105" w:type="dxa"/>
              <w:end w:w="105" w:type="dxa"/>
            </w:tcMar>
            <w:vAlign w:val="center"/>
          </w:tcPr>
          <w:p>
            <w:pPr>
              <w:pStyle w:val="Compact"/>
              <w:spacing w:after="0"/>
              <w:jc w:val="left"/>
            </w:pPr>
            <w:r>
              <w:rPr>
                <w:rFonts w:ascii="Aptos" w:hAnsi="Aptos"/>
                <w:color w:val="252525"/>
                <w:sz w:val="15"/>
              </w:rPr>
              <w:t xml:space="preserve">7. Escalate when needed</w:t>
            </w:r>
          </w:p>
        </w:tc>
        <w:tc>
          <w:tcPr>
            <w:tcMar>
              <w:top w:w="105" w:type="dxa"/>
              <w:start w:w="105" w:type="dxa"/>
              <w:bottom w:w="105" w:type="dxa"/>
              <w:end w:w="105" w:type="dxa"/>
            </w:tcMar>
            <w:vAlign w:val="center"/>
          </w:tcPr>
          <w:p>
            <w:pPr>
              <w:pStyle w:val="Compact"/>
              <w:spacing w:after="0"/>
              <w:jc w:val="left"/>
            </w:pPr>
            <w:r>
              <w:rPr>
                <w:rFonts w:ascii="Aptos" w:hAnsi="Aptos"/>
                <w:color w:val="252525"/>
                <w:sz w:val="15"/>
              </w:rPr>
              <w:t xml:space="preserve">Route material strategic or implementation work into a separately approved scope.</w:t>
            </w:r>
          </w:p>
        </w:tc>
      </w:tr>
    </w:tbl>
    <w:bookmarkEnd w:id="40"/>
    <w:bookmarkStart w:id="41" w:name="next-step"/>
    <w:p>
      <w:pPr>
        <w:pStyle w:val="Heading1"/>
      </w:pPr>
      <w:r>
        <w:t xml:space="preserve">Next Step</w:t>
      </w:r>
    </w:p>
    <w:p>
      <w:pPr>
        <w:pStyle w:val="FirstParagraph"/>
      </w:pPr>
      <w:r>
        <w:t xml:space="preserve">If this ongoing responsibility reflects how Here App wants SimpliCreative to support the marketing team, the next step is to confirm the final scope and current commercial terms, then move into the controlled agreement / SOW and CARE activation process.</w:t>
      </w:r>
    </w:p>
    <w:bookmarkEnd w:id="41"/>
    <w:bookmarkStart w:id="42" w:name="internal-gold-standard-boundary"/>
    <w:p>
      <w:pPr>
        <w:pStyle w:val="Heading1"/>
      </w:pPr>
      <w:r>
        <w:t xml:space="preserve">Internal Gold-Standard Boundary</w:t>
      </w:r>
    </w:p>
    <w:p>
      <w:pPr>
        <w:pStyle w:val="FirstParagraph"/>
      </w:pPr>
      <w:r>
        <w:t xml:space="preserve">AI may produce the first draft only after proposal readiness, CARE scope, cadence, and price are approved.</w:t>
      </w:r>
    </w:p>
    <w:p>
      <w:pPr>
        <w:pStyle w:val="BodyText"/>
      </w:pPr>
      <w:r>
        <w:t xml:space="preserve">AI may not infer CARE inclusions from price alone.</w:t>
      </w:r>
    </w:p>
    <w:p>
      <w:pPr>
        <w:pStyle w:val="BodyText"/>
      </w:pPr>
      <w:r>
        <w:t xml:space="preserve">AI may not invent pricing.</w:t>
      </w:r>
    </w:p>
    <w:p>
      <w:pPr>
        <w:pStyle w:val="BodyText"/>
      </w:pPr>
      <w:r>
        <w:t xml:space="preserve">AI may not create legal terms.</w:t>
      </w:r>
    </w:p>
    <w:p>
      <w:pPr>
        <w:pStyle w:val="BodyText"/>
      </w:pPr>
      <w:r>
        <w:t xml:space="preserve">AI may not expose internal economics.</w:t>
      </w:r>
    </w:p>
    <w:p>
      <w:pPr>
        <w:pStyle w:val="BodyText"/>
      </w:pPr>
      <w:r>
        <w:t xml:space="preserve">AI may not issue the proposal without human commercial approval.</w:t>
      </w:r>
    </w:p>
    <w:bookmarkEnd w:id="42"/>
    <w:sectPr>
      <w:headerReference w:type="default" r:id="rId9"/>
      <w:footerReference w:type="default" r:id="rId10"/>
      <w:pgMar w:top="835" w:bottom="835" w:left="979" w:right="9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727A"/>
        <w:sz w:val="14"/>
      </w:rPr>
      <w:t>SimpliCreative | Private &amp; Confidential | Gold Standard Demonstration</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9727A"/>
        <w:sz w:val="14"/>
      </w:rPr>
      <w:t>GS-SALES-006 | Personalized SimpliCARE Proposal | Here App Demo</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90"/>
    </w:pPr>
    <w:rPr>
      <w:rFonts w:ascii="Aptos" w:hAnsi="Aptos"/>
      <w:sz w:val="19"/>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80" w:before="160"/>
      <w:jc w:val="center"/>
    </w:pPr>
    <w:rPr>
      <w:rFonts w:asciiTheme="majorHAnsi" w:cstheme="majorBidi" w:eastAsiaTheme="majorEastAsia" w:hAnsiTheme="majorHAnsi" w:ascii="Aptos Display" w:hAnsi="Aptos Display"/>
      <w:b/>
      <w:bCs/>
      <w:color w:val="0F5B59"/>
      <w:sz w:val="4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2026-09-06T17:23:06Z</dcterms:created>
  <dcterms:modified xsi:type="dcterms:W3CDTF">2026-09-06T17:23:06Z</dcterms:modified>
</cp:coreProperties>
</file>

<file path=docProps/custom.xml><?xml version="1.0" encoding="utf-8"?>
<Properties xmlns="http://schemas.openxmlformats.org/officeDocument/2006/custom-properties" xmlns:vt="http://schemas.openxmlformats.org/officeDocument/2006/docPropsVTypes"/>
</file>